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216" w:lineRule="exact"/>
        <w:rPr>
          <w:sz w:val="24"/>
          <w:szCs w:val="24"/>
          <w:color w:val="auto"/>
        </w:rPr>
      </w:pPr>
    </w:p>
    <w:p>
      <w:pPr>
        <w:ind w:left="960" w:right="760" w:hanging="655"/>
        <w:spacing w:after="0" w:line="256" w:lineRule="auto"/>
        <w:tabs>
          <w:tab w:leader="none" w:pos="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June 30, 2014</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960" w:right="300" w:hanging="614"/>
        <w:spacing w:after="0" w:line="256"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4" w:lineRule="exact"/>
        <w:rPr>
          <w:sz w:val="24"/>
          <w:szCs w:val="24"/>
          <w:color w:val="auto"/>
        </w:rPr>
      </w:pPr>
    </w:p>
    <w:p>
      <w:pPr>
        <w:ind w:left="4280"/>
        <w:spacing w:after="0"/>
        <w:tabs>
          <w:tab w:leader="none" w:pos="64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(1-14588)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137160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NORTHEAST BANCORP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2580" w:type="dxa"/>
        <w:tblCellMar>
          <w:top w:w="0" w:type="dxa"/>
          <w:left w:w="0" w:type="dxa"/>
          <w:bottom w:w="0" w:type="dxa"/>
          <w:right w:w="0" w:type="dxa"/>
        </w:tblCellMar>
      </w:tblPr>
      <w:tr>
        <w:trPr>
          <w:trHeight w:val="161"/>
        </w:trPr>
        <w:tc>
          <w:tcPr>
            <w:tcW w:w="370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0"/>
              </w:rPr>
              <w:t>Maine</w:t>
            </w:r>
          </w:p>
        </w:tc>
        <w:tc>
          <w:tcPr>
            <w:tcW w:w="2560" w:type="dxa"/>
            <w:vAlign w:val="bottom"/>
          </w:tcPr>
          <w:p>
            <w:pPr>
              <w:jc w:val="right"/>
              <w:ind w:right="1572"/>
              <w:spacing w:after="0"/>
              <w:rPr>
                <w:sz w:val="20"/>
                <w:szCs w:val="20"/>
                <w:color w:val="auto"/>
              </w:rPr>
            </w:pPr>
            <w:r>
              <w:rPr>
                <w:rFonts w:ascii="Arial" w:cs="Arial" w:eastAsia="Arial" w:hAnsi="Arial"/>
                <w:sz w:val="14"/>
                <w:szCs w:val="14"/>
                <w:b w:val="1"/>
                <w:bCs w:val="1"/>
                <w:color w:val="auto"/>
              </w:rPr>
              <w:t>01-0425066</w:t>
            </w:r>
          </w:p>
        </w:tc>
      </w:tr>
      <w:tr>
        <w:trPr>
          <w:trHeight w:val="149"/>
        </w:trPr>
        <w:tc>
          <w:tcPr>
            <w:tcW w:w="3700" w:type="dxa"/>
            <w:vAlign w:val="bottom"/>
            <w:gridSpan w:val="2"/>
          </w:tcPr>
          <w:p>
            <w:pPr>
              <w:jc w:val="center"/>
              <w:ind w:left="1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2560" w:type="dxa"/>
            <w:vAlign w:val="bottom"/>
          </w:tcPr>
          <w:p>
            <w:pPr>
              <w:jc w:val="center"/>
              <w:ind w:right="12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700" w:type="dxa"/>
            <w:vAlign w:val="bottom"/>
            <w:gridSpan w:val="2"/>
          </w:tcPr>
          <w:p>
            <w:pPr>
              <w:jc w:val="center"/>
              <w:ind w:left="172"/>
              <w:spacing w:after="0"/>
              <w:rPr>
                <w:sz w:val="20"/>
                <w:szCs w:val="20"/>
                <w:color w:val="auto"/>
              </w:rPr>
            </w:pPr>
            <w:r>
              <w:rPr>
                <w:rFonts w:ascii="Arial" w:cs="Arial" w:eastAsia="Arial" w:hAnsi="Arial"/>
                <w:sz w:val="14"/>
                <w:szCs w:val="14"/>
                <w:color w:val="auto"/>
                <w:w w:val="88"/>
              </w:rPr>
              <w:t>incorporation or organization)</w:t>
            </w:r>
          </w:p>
        </w:tc>
        <w:tc>
          <w:tcPr>
            <w:tcW w:w="2560" w:type="dxa"/>
            <w:vAlign w:val="bottom"/>
          </w:tcPr>
          <w:p>
            <w:pPr>
              <w:jc w:val="center"/>
              <w:ind w:right="1292"/>
              <w:spacing w:after="0"/>
              <w:rPr>
                <w:sz w:val="20"/>
                <w:szCs w:val="20"/>
                <w:color w:val="auto"/>
              </w:rPr>
            </w:pPr>
            <w:r>
              <w:rPr>
                <w:rFonts w:ascii="Arial" w:cs="Arial" w:eastAsia="Arial" w:hAnsi="Arial"/>
                <w:sz w:val="14"/>
                <w:szCs w:val="14"/>
                <w:color w:val="auto"/>
                <w:w w:val="91"/>
              </w:rPr>
              <w:t>Identification No.)</w:t>
            </w:r>
          </w:p>
        </w:tc>
      </w:tr>
      <w:tr>
        <w:trPr>
          <w:trHeight w:val="368"/>
        </w:trPr>
        <w:tc>
          <w:tcPr>
            <w:tcW w:w="370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8"/>
              </w:rPr>
              <w:t>500 Canal Street, Lewiston, Maine</w:t>
            </w:r>
          </w:p>
        </w:tc>
        <w:tc>
          <w:tcPr>
            <w:tcW w:w="2560" w:type="dxa"/>
            <w:vAlign w:val="bottom"/>
          </w:tcPr>
          <w:p>
            <w:pPr>
              <w:jc w:val="right"/>
              <w:ind w:right="1712"/>
              <w:spacing w:after="0"/>
              <w:rPr>
                <w:sz w:val="20"/>
                <w:szCs w:val="20"/>
                <w:color w:val="auto"/>
              </w:rPr>
            </w:pPr>
            <w:r>
              <w:rPr>
                <w:rFonts w:ascii="Arial" w:cs="Arial" w:eastAsia="Arial" w:hAnsi="Arial"/>
                <w:sz w:val="14"/>
                <w:szCs w:val="14"/>
                <w:b w:val="1"/>
                <w:bCs w:val="1"/>
                <w:color w:val="auto"/>
              </w:rPr>
              <w:t>04240</w:t>
            </w:r>
          </w:p>
        </w:tc>
      </w:tr>
      <w:tr>
        <w:trPr>
          <w:trHeight w:val="149"/>
        </w:trPr>
        <w:tc>
          <w:tcPr>
            <w:tcW w:w="370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w w:val="89"/>
              </w:rPr>
              <w:t>(Address of principal executive</w:t>
            </w:r>
          </w:p>
        </w:tc>
        <w:tc>
          <w:tcPr>
            <w:tcW w:w="2560" w:type="dxa"/>
            <w:vAlign w:val="bottom"/>
          </w:tcPr>
          <w:p>
            <w:pPr>
              <w:jc w:val="center"/>
              <w:ind w:right="1292"/>
              <w:spacing w:after="0" w:line="149" w:lineRule="exact"/>
              <w:rPr>
                <w:sz w:val="20"/>
                <w:szCs w:val="20"/>
                <w:color w:val="auto"/>
              </w:rPr>
            </w:pPr>
            <w:r>
              <w:rPr>
                <w:rFonts w:ascii="Arial" w:cs="Arial" w:eastAsia="Arial" w:hAnsi="Arial"/>
                <w:sz w:val="14"/>
                <w:szCs w:val="14"/>
                <w:color w:val="auto"/>
                <w:w w:val="90"/>
              </w:rPr>
              <w:t>(Zip Code)</w:t>
            </w:r>
          </w:p>
        </w:tc>
      </w:tr>
      <w:tr>
        <w:trPr>
          <w:trHeight w:val="172"/>
        </w:trPr>
        <w:tc>
          <w:tcPr>
            <w:tcW w:w="3700" w:type="dxa"/>
            <w:vAlign w:val="bottom"/>
            <w:gridSpan w:val="2"/>
          </w:tcPr>
          <w:p>
            <w:pPr>
              <w:jc w:val="center"/>
              <w:ind w:left="172"/>
              <w:spacing w:after="0"/>
              <w:rPr>
                <w:sz w:val="20"/>
                <w:szCs w:val="20"/>
                <w:color w:val="auto"/>
              </w:rPr>
            </w:pPr>
            <w:r>
              <w:rPr>
                <w:rFonts w:ascii="Arial" w:cs="Arial" w:eastAsia="Arial" w:hAnsi="Arial"/>
                <w:sz w:val="14"/>
                <w:szCs w:val="14"/>
                <w:color w:val="auto"/>
                <w:w w:val="92"/>
              </w:rPr>
              <w:t>offices)</w:t>
            </w:r>
          </w:p>
        </w:tc>
        <w:tc>
          <w:tcPr>
            <w:tcW w:w="2560" w:type="dxa"/>
            <w:vAlign w:val="bottom"/>
          </w:tcPr>
          <w:p>
            <w:pPr>
              <w:spacing w:after="0"/>
              <w:rPr>
                <w:sz w:val="14"/>
                <w:szCs w:val="14"/>
                <w:color w:val="auto"/>
              </w:rPr>
            </w:pPr>
          </w:p>
        </w:tc>
      </w:tr>
      <w:tr>
        <w:trPr>
          <w:trHeight w:val="339"/>
        </w:trPr>
        <w:tc>
          <w:tcPr>
            <w:tcW w:w="6260" w:type="dxa"/>
            <w:vAlign w:val="bottom"/>
            <w:gridSpan w:val="3"/>
          </w:tcPr>
          <w:p>
            <w:pPr>
              <w:jc w:val="center"/>
              <w:spacing w:after="0"/>
              <w:rPr>
                <w:sz w:val="20"/>
                <w:szCs w:val="20"/>
                <w:color w:val="auto"/>
              </w:rPr>
            </w:pPr>
            <w:r>
              <w:rPr>
                <w:rFonts w:ascii="Arial" w:cs="Arial" w:eastAsia="Arial" w:hAnsi="Arial"/>
                <w:sz w:val="14"/>
                <w:szCs w:val="14"/>
                <w:color w:val="auto"/>
                <w:w w:val="86"/>
              </w:rPr>
              <w:t>Registrant's telephone number, including area code:</w:t>
            </w:r>
          </w:p>
        </w:tc>
      </w:tr>
      <w:tr>
        <w:trPr>
          <w:trHeight w:val="174"/>
        </w:trPr>
        <w:tc>
          <w:tcPr>
            <w:tcW w:w="3700" w:type="dxa"/>
            <w:vAlign w:val="bottom"/>
            <w:gridSpan w:val="2"/>
          </w:tcPr>
          <w:p>
            <w:pPr>
              <w:jc w:val="center"/>
              <w:ind w:left="2512"/>
              <w:spacing w:after="0"/>
              <w:rPr>
                <w:sz w:val="20"/>
                <w:szCs w:val="20"/>
                <w:color w:val="auto"/>
              </w:rPr>
            </w:pPr>
            <w:r>
              <w:rPr>
                <w:rFonts w:ascii="Arial" w:cs="Arial" w:eastAsia="Arial" w:hAnsi="Arial"/>
                <w:sz w:val="14"/>
                <w:szCs w:val="14"/>
                <w:b w:val="1"/>
                <w:bCs w:val="1"/>
                <w:color w:val="auto"/>
                <w:w w:val="87"/>
              </w:rPr>
              <w:t>(207) 786-3245</w:t>
            </w:r>
          </w:p>
        </w:tc>
        <w:tc>
          <w:tcPr>
            <w:tcW w:w="2560" w:type="dxa"/>
            <w:vAlign w:val="bottom"/>
          </w:tcPr>
          <w:p>
            <w:pPr>
              <w:spacing w:after="0"/>
              <w:rPr>
                <w:sz w:val="15"/>
                <w:szCs w:val="15"/>
                <w:color w:val="auto"/>
              </w:rPr>
            </w:pPr>
          </w:p>
        </w:tc>
      </w:tr>
      <w:tr>
        <w:trPr>
          <w:trHeight w:val="365"/>
        </w:trPr>
        <w:tc>
          <w:tcPr>
            <w:tcW w:w="6260" w:type="dxa"/>
            <w:vAlign w:val="bottom"/>
            <w:gridSpan w:val="3"/>
          </w:tcPr>
          <w:p>
            <w:pPr>
              <w:jc w:val="center"/>
              <w:spacing w:after="0"/>
              <w:rPr>
                <w:sz w:val="20"/>
                <w:szCs w:val="20"/>
                <w:color w:val="auto"/>
              </w:rPr>
            </w:pPr>
            <w:r>
              <w:rPr>
                <w:rFonts w:ascii="Arial" w:cs="Arial" w:eastAsia="Arial" w:hAnsi="Arial"/>
                <w:sz w:val="14"/>
                <w:szCs w:val="14"/>
                <w:color w:val="auto"/>
                <w:w w:val="87"/>
              </w:rPr>
              <w:t>Securities registered pursuant to Section 12(b) of the Act:</w:t>
            </w:r>
          </w:p>
        </w:tc>
      </w:tr>
      <w:tr>
        <w:trPr>
          <w:trHeight w:val="339"/>
        </w:trPr>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61"/>
        </w:trPr>
        <w:tc>
          <w:tcPr>
            <w:tcW w:w="37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4"/>
              </w:rPr>
              <w:t>Title of each class: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registered:</w:t>
            </w:r>
          </w:p>
        </w:tc>
      </w:tr>
      <w:tr>
        <w:trPr>
          <w:trHeight w:val="166"/>
        </w:trPr>
        <w:tc>
          <w:tcPr>
            <w:tcW w:w="2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Voting Common Stock, $1.00 par value</w:t>
            </w:r>
          </w:p>
        </w:tc>
        <w:tc>
          <w:tcPr>
            <w:tcW w:w="1140" w:type="dxa"/>
            <w:vAlign w:val="bottom"/>
          </w:tcPr>
          <w:p>
            <w:pPr>
              <w:spacing w:after="0"/>
              <w:rPr>
                <w:sz w:val="14"/>
                <w:szCs w:val="14"/>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The NASDAQ Stock Market LLC</w:t>
            </w:r>
          </w:p>
        </w:tc>
      </w:tr>
    </w:tbl>
    <w:p>
      <w:pPr>
        <w:spacing w:after="0" w:line="181"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Securities registered pursuant to Section 12(g) of the Act:</w:t>
      </w: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128270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340" w:right="3840"/>
        <w:spacing w:after="0" w:line="28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o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o No </w:t>
      </w:r>
      <w:r>
        <w:rPr>
          <w:rFonts w:ascii="MS PGothic" w:cs="MS PGothic" w:eastAsia="MS PGothic" w:hAnsi="MS PGothic"/>
          <w:sz w:val="12"/>
          <w:szCs w:val="12"/>
          <w:color w:val="auto"/>
        </w:rPr>
        <w:t>☒</w:t>
      </w:r>
    </w:p>
    <w:p>
      <w:pPr>
        <w:spacing w:after="0" w:line="179" w:lineRule="exact"/>
        <w:rPr>
          <w:sz w:val="24"/>
          <w:szCs w:val="24"/>
          <w:color w:val="auto"/>
        </w:rPr>
      </w:pPr>
    </w:p>
    <w:p>
      <w:pPr>
        <w:ind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80" w:firstLine="338"/>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79" w:lineRule="exact"/>
        <w:rPr>
          <w:sz w:val="24"/>
          <w:szCs w:val="24"/>
          <w:color w:val="auto"/>
        </w:rPr>
      </w:pPr>
    </w:p>
    <w:p>
      <w:pPr>
        <w:ind w:right="360" w:firstLine="338"/>
        <w:spacing w:after="0" w:line="239"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3" w:lineRule="exact"/>
        <w:rPr>
          <w:sz w:val="24"/>
          <w:szCs w:val="24"/>
          <w:color w:val="auto"/>
        </w:rPr>
      </w:pPr>
    </w:p>
    <w:p>
      <w:pPr>
        <w:ind w:right="54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p>
      <w:pPr>
        <w:ind w:left="500"/>
        <w:spacing w:after="0" w:line="161" w:lineRule="exact"/>
        <w:tabs>
          <w:tab w:leader="none" w:pos="3500" w:val="left"/>
          <w:tab w:leader="none" w:pos="6100" w:val="left"/>
          <w:tab w:leader="none" w:pos="91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204" w:lineRule="exact"/>
        <w:rPr>
          <w:sz w:val="24"/>
          <w:szCs w:val="24"/>
          <w:color w:val="auto"/>
        </w:rPr>
      </w:pPr>
    </w:p>
    <w:p>
      <w:pPr>
        <w:ind w:left="340"/>
        <w:spacing w:after="0" w:line="138" w:lineRule="exact"/>
        <w:tabs>
          <w:tab w:leader="none" w:pos="634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right="80" w:firstLine="335"/>
        <w:spacing w:after="0" w:line="239" w:lineRule="auto"/>
        <w:rPr>
          <w:sz w:val="20"/>
          <w:szCs w:val="20"/>
          <w:color w:val="auto"/>
        </w:rPr>
      </w:pPr>
      <w:r>
        <w:rPr>
          <w:rFonts w:ascii="Arial" w:cs="Arial" w:eastAsia="Arial" w:hAnsi="Arial"/>
          <w:sz w:val="14"/>
          <w:szCs w:val="14"/>
          <w:color w:val="auto"/>
        </w:rPr>
        <w:t>The aggregate market value of the registrant's voting and non-voting common stock held by non-affiliates, computed by reference to the last reported sales price of the registrant's voting common stock on the NASDAQ Global Market on December 31, 2013 was approximately $71,227,626.</w:t>
      </w:r>
    </w:p>
    <w:p>
      <w:pPr>
        <w:sectPr>
          <w:pgSz w:w="11900" w:h="16838" w:orient="portrait"/>
          <w:cols w:equalWidth="0" w:num="1">
            <w:col w:w="11420"/>
          </w:cols>
          <w:pgMar w:left="240" w:top="685" w:right="239" w:bottom="0" w:gutter="0" w:footer="0" w:header="0"/>
        </w:sectPr>
      </w:pPr>
    </w:p>
    <w:bookmarkStart w:id="1" w:name="page2"/>
    <w:bookmarkEnd w:id="1"/>
    <w:p>
      <w:pPr>
        <w:ind w:left="340"/>
        <w:spacing w:after="0"/>
        <w:rPr>
          <w:sz w:val="20"/>
          <w:szCs w:val="20"/>
          <w:color w:val="auto"/>
        </w:rPr>
      </w:pPr>
      <w:r>
        <w:rPr>
          <w:rFonts w:ascii="Arial" w:cs="Arial" w:eastAsia="Arial" w:hAnsi="Arial"/>
          <w:sz w:val="12"/>
          <w:szCs w:val="12"/>
          <w:color w:val="auto"/>
        </w:rPr>
        <w:t>As of September 19, 2014, the registrant had outstanding 9,349,071 shares of voting common stock, $1.00 par value per share, and 880,963 shares of non-voting common stock, $1.00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150495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6" w:lineRule="exact"/>
        <w:rPr>
          <w:sz w:val="20"/>
          <w:szCs w:val="20"/>
          <w:color w:val="auto"/>
        </w:rPr>
      </w:pPr>
    </w:p>
    <w:p>
      <w:pPr>
        <w:ind w:right="120" w:firstLine="338"/>
        <w:spacing w:after="0" w:line="318" w:lineRule="auto"/>
        <w:rPr>
          <w:sz w:val="20"/>
          <w:szCs w:val="20"/>
          <w:color w:val="auto"/>
        </w:rPr>
      </w:pPr>
      <w:r>
        <w:rPr>
          <w:rFonts w:ascii="Arial" w:cs="Arial" w:eastAsia="Arial" w:hAnsi="Arial"/>
          <w:sz w:val="12"/>
          <w:szCs w:val="12"/>
          <w:color w:val="auto"/>
        </w:rPr>
        <w:t>Portions of the registrant's proxy statement for the 2014 Annual Meeting of Shareholders to be held on November 20, 2014 are incorporated by reference in Items 10, 11, 12, 13 and 14 of Part III of this Annual Report on Form 10-K. The registrant intends to file such proxy statement with the Securities and Exchange Commission no later than 120 days after the end of its fiscal year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80" w:type="dxa"/>
            <w:vAlign w:val="bottom"/>
            <w:gridSpan w:val="7"/>
          </w:tcPr>
          <w:p>
            <w:pPr>
              <w:jc w:val="right"/>
              <w:ind w:right="420"/>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4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Part I.</w:t>
              </w:r>
            </w:hyperlink>
          </w:p>
        </w:tc>
        <w:tc>
          <w:tcPr>
            <w:tcW w:w="1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5">
              <w:r>
                <w:rPr>
                  <w:rFonts w:ascii="Arial" w:cs="Arial" w:eastAsia="Arial" w:hAnsi="Arial"/>
                  <w:sz w:val="16"/>
                  <w:szCs w:val="16"/>
                  <w:color w:val="0000EE"/>
                  <w:w w:val="74"/>
                </w:rPr>
                <w:t>1.</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040" w:type="dxa"/>
            <w:vAlign w:val="bottom"/>
            <w:gridSpan w:val="20"/>
          </w:tcPr>
          <w:p>
            <w:pPr>
              <w:spacing w:after="0"/>
              <w:rPr>
                <w:sz w:val="24"/>
                <w:szCs w:val="24"/>
                <w:color w:val="auto"/>
              </w:rPr>
            </w:pPr>
          </w:p>
        </w:tc>
        <w:tc>
          <w:tcPr>
            <w:tcW w:w="1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w:t>
              </w:r>
            </w:hyperlink>
          </w:p>
        </w:tc>
        <w:tc>
          <w:tcPr>
            <w:tcW w:w="280" w:type="dxa"/>
            <w:vAlign w:val="bottom"/>
            <w:tcBorders>
              <w:bottom w:val="single" w:sz="8" w:color="0000EE"/>
            </w:tcBorders>
            <w:gridSpan w:val="3"/>
          </w:tcPr>
          <w:p>
            <w:pPr>
              <w:ind w:left="20"/>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1A.</w:t>
              </w:r>
            </w:hyperlink>
          </w:p>
        </w:tc>
        <w:tc>
          <w:tcPr>
            <w:tcW w:w="220" w:type="dxa"/>
            <w:vAlign w:val="bottom"/>
          </w:tcPr>
          <w:p>
            <w:pPr>
              <w:spacing w:after="0"/>
              <w:rPr>
                <w:sz w:val="24"/>
                <w:szCs w:val="24"/>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6780" w:type="dxa"/>
            <w:vAlign w:val="bottom"/>
            <w:gridSpan w:val="17"/>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w:t>
              </w:r>
            </w:hyperlink>
          </w:p>
        </w:tc>
        <w:tc>
          <w:tcPr>
            <w:tcW w:w="500" w:type="dxa"/>
            <w:vAlign w:val="bottom"/>
            <w:gridSpan w:val="4"/>
          </w:tcPr>
          <w:p>
            <w:pPr>
              <w:ind w:left="20"/>
              <w:spacing w:after="0"/>
              <w:rPr>
                <w:rFonts w:ascii="Arial" w:cs="Arial" w:eastAsia="Arial" w:hAnsi="Arial"/>
                <w:sz w:val="18"/>
                <w:szCs w:val="18"/>
                <w:color w:val="0000EE"/>
              </w:rPr>
            </w:pPr>
            <w:hyperlink w:anchor="page34">
              <w:r>
                <w:rPr>
                  <w:rFonts w:ascii="Arial" w:cs="Arial" w:eastAsia="Arial" w:hAnsi="Arial"/>
                  <w:sz w:val="18"/>
                  <w:szCs w:val="18"/>
                  <w:color w:val="0000EE"/>
                </w:rPr>
                <w:t>1B.</w:t>
              </w:r>
            </w:hyperlink>
          </w:p>
        </w:tc>
        <w:tc>
          <w:tcPr>
            <w:tcW w:w="76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560" w:type="dxa"/>
            <w:vAlign w:val="bottom"/>
            <w:gridSpan w:val="4"/>
          </w:tcPr>
          <w:p>
            <w:pPr>
              <w:jc w:val="right"/>
              <w:ind w:right="130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tcBorders>
            <w:gridSpan w:val="4"/>
          </w:tcPr>
          <w:p>
            <w:pPr>
              <w:jc w:val="right"/>
              <w:ind w:righ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w:t>
              </w:r>
            </w:hyperlink>
          </w:p>
        </w:tc>
        <w:tc>
          <w:tcPr>
            <w:tcW w:w="140" w:type="dxa"/>
            <w:vAlign w:val="bottom"/>
            <w:tcBorders>
              <w:top w:val="single" w:sz="8" w:color="0000EE"/>
            </w:tcBorders>
          </w:tcPr>
          <w:p>
            <w:pPr>
              <w:ind w:left="20"/>
              <w:spacing w:after="0"/>
              <w:rPr>
                <w:rFonts w:ascii="Arial" w:cs="Arial" w:eastAsia="Arial" w:hAnsi="Arial"/>
                <w:sz w:val="16"/>
                <w:szCs w:val="16"/>
                <w:color w:val="0000EE"/>
                <w:w w:val="74"/>
              </w:rPr>
            </w:pPr>
            <w:hyperlink w:anchor="page34">
              <w:r>
                <w:rPr>
                  <w:rFonts w:ascii="Arial" w:cs="Arial" w:eastAsia="Arial" w:hAnsi="Arial"/>
                  <w:sz w:val="16"/>
                  <w:szCs w:val="16"/>
                  <w:color w:val="0000EE"/>
                  <w:w w:val="74"/>
                </w:rPr>
                <w:t>2.</w:t>
              </w:r>
            </w:hyperlink>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Borders>
              <w:top w:val="single" w:sz="8" w:color="0000EE"/>
            </w:tcBorders>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568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4">
              <w:r>
                <w:rPr>
                  <w:rFonts w:ascii="Arial" w:cs="Arial" w:eastAsia="Arial" w:hAnsi="Arial"/>
                  <w:sz w:val="16"/>
                  <w:szCs w:val="16"/>
                  <w:color w:val="0000EE"/>
                  <w:w w:val="74"/>
                </w:rPr>
                <w:t>3.</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Legal Proceedings</w:t>
              </w:r>
            </w:hyperlink>
          </w:p>
        </w:tc>
        <w:tc>
          <w:tcPr>
            <w:tcW w:w="636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4">
              <w:r>
                <w:rPr>
                  <w:rFonts w:ascii="Arial" w:cs="Arial" w:eastAsia="Arial" w:hAnsi="Arial"/>
                  <w:sz w:val="16"/>
                  <w:szCs w:val="16"/>
                  <w:color w:val="0000EE"/>
                  <w:w w:val="74"/>
                </w:rPr>
                <w:t>4.</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Mine Safety Disclosures</w:t>
              </w:r>
            </w:hyperlink>
          </w:p>
        </w:tc>
        <w:tc>
          <w:tcPr>
            <w:tcW w:w="594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4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Part II</w:t>
              </w:r>
            </w:hyperlink>
          </w:p>
        </w:tc>
        <w:tc>
          <w:tcPr>
            <w:tcW w:w="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5">
              <w:r>
                <w:rPr>
                  <w:rFonts w:ascii="Arial" w:cs="Arial" w:eastAsia="Arial" w:hAnsi="Arial"/>
                  <w:sz w:val="16"/>
                  <w:szCs w:val="16"/>
                  <w:color w:val="0000EE"/>
                  <w:w w:val="74"/>
                </w:rPr>
                <w:t>5.</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4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Market for Registrant's Common Equity, Related Shareholder Matters and Issuer Purchases of Equity</w:t>
              </w:r>
            </w:hyperlink>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0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Securities</w:t>
              </w:r>
            </w:hyperlink>
          </w:p>
        </w:tc>
        <w:tc>
          <w:tcPr>
            <w:tcW w:w="1560" w:type="dxa"/>
            <w:vAlign w:val="bottom"/>
            <w:gridSpan w:val="4"/>
          </w:tcPr>
          <w:p>
            <w:pPr>
              <w:jc w:val="right"/>
              <w:ind w:right="130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6">
              <w:r>
                <w:rPr>
                  <w:rFonts w:ascii="Arial" w:cs="Arial" w:eastAsia="Arial" w:hAnsi="Arial"/>
                  <w:sz w:val="16"/>
                  <w:szCs w:val="16"/>
                  <w:color w:val="0000EE"/>
                  <w:w w:val="74"/>
                </w:rPr>
                <w:t>6.</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Selected Financial Data</w:t>
              </w:r>
            </w:hyperlink>
          </w:p>
        </w:tc>
        <w:tc>
          <w:tcPr>
            <w:tcW w:w="600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8">
              <w:r>
                <w:rPr>
                  <w:rFonts w:ascii="Arial" w:cs="Arial" w:eastAsia="Arial" w:hAnsi="Arial"/>
                  <w:sz w:val="16"/>
                  <w:szCs w:val="16"/>
                  <w:color w:val="0000EE"/>
                  <w:w w:val="74"/>
                </w:rPr>
                <w:t>7.</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13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Item</w:t>
              </w:r>
            </w:hyperlink>
          </w:p>
        </w:tc>
        <w:tc>
          <w:tcPr>
            <w:tcW w:w="280" w:type="dxa"/>
            <w:vAlign w:val="bottom"/>
            <w:gridSpan w:val="3"/>
          </w:tcPr>
          <w:p>
            <w:pPr>
              <w:ind w:left="20"/>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7A.</w:t>
              </w:r>
            </w:hyperlink>
          </w:p>
        </w:tc>
        <w:tc>
          <w:tcPr>
            <w:tcW w:w="22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560" w:type="dxa"/>
            <w:vAlign w:val="bottom"/>
            <w:gridSpan w:val="4"/>
          </w:tcPr>
          <w:p>
            <w:pPr>
              <w:jc w:val="right"/>
              <w:ind w:right="1300"/>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bottom w:val="single" w:sz="8" w:color="0000EE"/>
            </w:tcBorders>
            <w:gridSpan w:val="4"/>
          </w:tcPr>
          <w:p>
            <w:pPr>
              <w:jc w:val="right"/>
              <w:ind w:right="20"/>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Item</w:t>
              </w:r>
            </w:hyperlink>
          </w:p>
        </w:tc>
        <w:tc>
          <w:tcPr>
            <w:tcW w:w="140" w:type="dxa"/>
            <w:vAlign w:val="bottom"/>
            <w:tcBorders>
              <w:top w:val="single" w:sz="8" w:color="0000EE"/>
              <w:bottom w:val="single" w:sz="8" w:color="0000EE"/>
            </w:tcBorders>
          </w:tcPr>
          <w:p>
            <w:pPr>
              <w:ind w:left="20"/>
              <w:spacing w:after="0"/>
              <w:rPr>
                <w:rFonts w:ascii="Arial" w:cs="Arial" w:eastAsia="Arial" w:hAnsi="Arial"/>
                <w:sz w:val="16"/>
                <w:szCs w:val="16"/>
                <w:color w:val="0000EE"/>
                <w:w w:val="74"/>
              </w:rPr>
            </w:pPr>
            <w:hyperlink w:anchor="page64">
              <w:r>
                <w:rPr>
                  <w:rFonts w:ascii="Arial" w:cs="Arial" w:eastAsia="Arial" w:hAnsi="Arial"/>
                  <w:sz w:val="16"/>
                  <w:szCs w:val="16"/>
                  <w:color w:val="0000EE"/>
                  <w:w w:val="74"/>
                </w:rPr>
                <w:t>8.</w:t>
              </w:r>
            </w:hyperlink>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7"/>
              </w:rPr>
            </w:pPr>
            <w:hyperlink w:anchor="page64">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24"/>
                <w:szCs w:val="24"/>
                <w:color w:val="auto"/>
              </w:rPr>
            </w:pPr>
          </w:p>
        </w:tc>
        <w:tc>
          <w:tcPr>
            <w:tcW w:w="34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Item</w:t>
              </w:r>
            </w:hyperlink>
          </w:p>
        </w:tc>
        <w:tc>
          <w:tcPr>
            <w:tcW w:w="140" w:type="dxa"/>
            <w:vAlign w:val="bottom"/>
          </w:tcPr>
          <w:p>
            <w:pPr>
              <w:ind w:left="20"/>
              <w:spacing w:after="0"/>
              <w:rPr>
                <w:rFonts w:ascii="Arial" w:cs="Arial" w:eastAsia="Arial" w:hAnsi="Arial"/>
                <w:sz w:val="16"/>
                <w:szCs w:val="16"/>
                <w:color w:val="0000EE"/>
                <w:w w:val="74"/>
              </w:rPr>
            </w:pPr>
            <w:hyperlink w:anchor="page119">
              <w:r>
                <w:rPr>
                  <w:rFonts w:ascii="Arial" w:cs="Arial" w:eastAsia="Arial" w:hAnsi="Arial"/>
                  <w:sz w:val="16"/>
                  <w:szCs w:val="16"/>
                  <w:color w:val="0000EE"/>
                  <w:w w:val="74"/>
                </w:rPr>
                <w:t>9.</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Changes in and Disagreements with Accountants on Accounting and Financial Disclosure</w:t>
              </w:r>
            </w:hyperlink>
          </w:p>
        </w:tc>
        <w:tc>
          <w:tcPr>
            <w:tcW w:w="1560" w:type="dxa"/>
            <w:vAlign w:val="bottom"/>
            <w:gridSpan w:val="4"/>
          </w:tcPr>
          <w:p>
            <w:pPr>
              <w:jc w:val="right"/>
              <w:ind w:right="1300"/>
              <w:spacing w:after="0"/>
              <w:rPr>
                <w:rFonts w:ascii="Arial" w:cs="Arial" w:eastAsia="Arial" w:hAnsi="Arial"/>
                <w:sz w:val="18"/>
                <w:szCs w:val="18"/>
                <w:color w:val="0000EE"/>
                <w:w w:val="79"/>
              </w:rPr>
            </w:pPr>
            <w:hyperlink w:anchor="page119">
              <w:r>
                <w:rPr>
                  <w:rFonts w:ascii="Arial" w:cs="Arial" w:eastAsia="Arial" w:hAnsi="Arial"/>
                  <w:sz w:val="18"/>
                  <w:szCs w:val="18"/>
                  <w:color w:val="0000EE"/>
                  <w:w w:val="79"/>
                </w:rPr>
                <w:t>118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Item</w:t>
              </w:r>
            </w:hyperlink>
          </w:p>
        </w:tc>
        <w:tc>
          <w:tcPr>
            <w:tcW w:w="220" w:type="dxa"/>
            <w:vAlign w:val="bottom"/>
            <w:tcBorders>
              <w:bottom w:val="single" w:sz="8" w:color="0000EE"/>
            </w:tcBorders>
            <w:gridSpan w:val="2"/>
          </w:tcPr>
          <w:p>
            <w:pPr>
              <w:ind w:left="20"/>
              <w:spacing w:after="0"/>
              <w:rPr>
                <w:rFonts w:ascii="Arial" w:cs="Arial" w:eastAsia="Arial" w:hAnsi="Arial"/>
                <w:sz w:val="18"/>
                <w:szCs w:val="18"/>
                <w:color w:val="0000EE"/>
                <w:w w:val="72"/>
              </w:rPr>
            </w:pPr>
            <w:hyperlink w:anchor="page119">
              <w:r>
                <w:rPr>
                  <w:rFonts w:ascii="Arial" w:cs="Arial" w:eastAsia="Arial" w:hAnsi="Arial"/>
                  <w:sz w:val="18"/>
                  <w:szCs w:val="18"/>
                  <w:color w:val="0000EE"/>
                  <w:w w:val="72"/>
                </w:rPr>
                <w:t>9A</w:t>
              </w:r>
            </w:hyperlink>
          </w:p>
        </w:tc>
        <w:tc>
          <w:tcPr>
            <w:tcW w:w="280" w:type="dxa"/>
            <w:vAlign w:val="bottom"/>
            <w:gridSpan w:val="2"/>
          </w:tcPr>
          <w:p>
            <w:pPr>
              <w:spacing w:after="0"/>
              <w:rPr>
                <w:sz w:val="24"/>
                <w:szCs w:val="24"/>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Controls and Procedures</w:t>
              </w:r>
            </w:hyperlink>
          </w:p>
        </w:tc>
        <w:tc>
          <w:tcPr>
            <w:tcW w:w="5940" w:type="dxa"/>
            <w:vAlign w:val="bottom"/>
            <w:gridSpan w:val="13"/>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9">
              <w:r>
                <w:rPr>
                  <w:rFonts w:ascii="Arial" w:cs="Arial" w:eastAsia="Arial" w:hAnsi="Arial"/>
                  <w:sz w:val="18"/>
                  <w:szCs w:val="18"/>
                  <w:color w:val="0000EE"/>
                  <w:w w:val="79"/>
                </w:rPr>
                <w:t>118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Item</w:t>
              </w:r>
            </w:hyperlink>
          </w:p>
        </w:tc>
        <w:tc>
          <w:tcPr>
            <w:tcW w:w="500" w:type="dxa"/>
            <w:vAlign w:val="bottom"/>
            <w:gridSpan w:val="4"/>
          </w:tcPr>
          <w:p>
            <w:pPr>
              <w:ind w:left="20"/>
              <w:spacing w:after="0"/>
              <w:rPr>
                <w:rFonts w:ascii="Arial" w:cs="Arial" w:eastAsia="Arial" w:hAnsi="Arial"/>
                <w:sz w:val="18"/>
                <w:szCs w:val="18"/>
                <w:color w:val="0000EE"/>
              </w:rPr>
            </w:pPr>
            <w:hyperlink w:anchor="page120">
              <w:r>
                <w:rPr>
                  <w:rFonts w:ascii="Arial" w:cs="Arial" w:eastAsia="Arial" w:hAnsi="Arial"/>
                  <w:sz w:val="18"/>
                  <w:szCs w:val="18"/>
                  <w:color w:val="0000EE"/>
                </w:rPr>
                <w:t>9.B</w:t>
              </w:r>
            </w:hyperlink>
          </w:p>
        </w:tc>
        <w:tc>
          <w:tcPr>
            <w:tcW w:w="7680" w:type="dxa"/>
            <w:vAlign w:val="bottom"/>
            <w:gridSpan w:val="2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Other Information</w:t>
              </w:r>
            </w:hyperlink>
          </w:p>
        </w:tc>
        <w:tc>
          <w:tcPr>
            <w:tcW w:w="1560" w:type="dxa"/>
            <w:vAlign w:val="bottom"/>
            <w:gridSpan w:val="4"/>
          </w:tcPr>
          <w:p>
            <w:pPr>
              <w:jc w:val="right"/>
              <w:ind w:right="1300"/>
              <w:spacing w:after="0"/>
              <w:rPr>
                <w:rFonts w:ascii="Arial" w:cs="Arial" w:eastAsia="Arial" w:hAnsi="Arial"/>
                <w:sz w:val="18"/>
                <w:szCs w:val="18"/>
                <w:color w:val="0000EE"/>
                <w:w w:val="79"/>
              </w:rPr>
            </w:pPr>
            <w:hyperlink w:anchor="page120">
              <w:r>
                <w:rPr>
                  <w:rFonts w:ascii="Arial" w:cs="Arial" w:eastAsia="Arial" w:hAnsi="Arial"/>
                  <w:sz w:val="18"/>
                  <w:szCs w:val="18"/>
                  <w:color w:val="0000EE"/>
                  <w:w w:val="79"/>
                </w:rPr>
                <w:t>119</w:t>
              </w:r>
            </w:hyperlink>
          </w:p>
        </w:tc>
      </w:tr>
      <w:tr>
        <w:trPr>
          <w:trHeight w:val="20"/>
        </w:trPr>
        <w:tc>
          <w:tcPr>
            <w:tcW w:w="1320" w:type="dxa"/>
            <w:vAlign w:val="bottom"/>
            <w:gridSpan w:val="3"/>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520" w:type="dxa"/>
            <w:vAlign w:val="bottom"/>
            <w:tcBorders>
              <w:bottom w:val="single" w:sz="8" w:color="0000EE"/>
            </w:tcBorders>
            <w:gridSpan w:val="5"/>
          </w:tcPr>
          <w:p>
            <w:pPr>
              <w:jc w:val="right"/>
              <w:spacing w:after="0"/>
              <w:rPr>
                <w:rFonts w:ascii="Arial" w:cs="Arial" w:eastAsia="Arial" w:hAnsi="Arial"/>
                <w:sz w:val="18"/>
                <w:szCs w:val="18"/>
                <w:color w:val="0000EE"/>
                <w:w w:val="94"/>
              </w:rPr>
            </w:pPr>
            <w:hyperlink w:anchor="page121">
              <w:r>
                <w:rPr>
                  <w:rFonts w:ascii="Arial" w:cs="Arial" w:eastAsia="Arial" w:hAnsi="Arial"/>
                  <w:sz w:val="18"/>
                  <w:szCs w:val="18"/>
                  <w:color w:val="0000EE"/>
                  <w:w w:val="94"/>
                </w:rPr>
                <w:t>Part III</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10.</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Directors, Executive Officers and Corporate Governance</w:t>
              </w:r>
            </w:hyperlink>
          </w:p>
        </w:tc>
        <w:tc>
          <w:tcPr>
            <w:tcW w:w="1560" w:type="dxa"/>
            <w:vAlign w:val="bottom"/>
            <w:gridSpan w:val="4"/>
          </w:tcPr>
          <w:p>
            <w:pPr>
              <w:jc w:val="right"/>
              <w:ind w:right="1300"/>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tcBorders>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tcBorders>
              <w:top w:val="single" w:sz="8" w:color="0000EE"/>
            </w:tcBorders>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11.</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0000EE"/>
            </w:tcBorders>
            <w:gridSpan w:val="15"/>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3680" w:type="dxa"/>
            <w:vAlign w:val="bottom"/>
            <w:gridSpan w:val="7"/>
          </w:tcPr>
          <w:p>
            <w:pPr>
              <w:spacing w:after="0"/>
              <w:rPr>
                <w:sz w:val="24"/>
                <w:szCs w:val="24"/>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12.</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8"/>
                <w:szCs w:val="18"/>
                <w:color w:val="0000EE"/>
                <w:w w:val="95"/>
              </w:rPr>
            </w:pPr>
            <w:hyperlink w:anchor="page121">
              <w:r>
                <w:rPr>
                  <w:rFonts w:ascii="Arial" w:cs="Arial" w:eastAsia="Arial" w:hAnsi="Arial"/>
                  <w:sz w:val="18"/>
                  <w:szCs w:val="18"/>
                  <w:color w:val="0000EE"/>
                  <w:w w:val="95"/>
                </w:rPr>
                <w:t>Security Ownership of Certain Beneficial Owners and Management and Related Shareholder Matters</w:t>
              </w:r>
            </w:hyperlink>
          </w:p>
        </w:tc>
        <w:tc>
          <w:tcPr>
            <w:tcW w:w="1560" w:type="dxa"/>
            <w:vAlign w:val="bottom"/>
            <w:gridSpan w:val="4"/>
          </w:tcPr>
          <w:p>
            <w:pPr>
              <w:jc w:val="right"/>
              <w:ind w:right="1300"/>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tcBorders>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tcBorders>
              <w:top w:val="single" w:sz="8" w:color="0000EE"/>
            </w:tcBorders>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13.</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tcBorders>
              <w:top w:val="single" w:sz="8" w:color="0000EE"/>
            </w:tcBorders>
            <w:gridSpan w:val="2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Certain Relationships and Related Transactions, and Director Independence</w:t>
              </w:r>
            </w:hyperlink>
          </w:p>
        </w:tc>
        <w:tc>
          <w:tcPr>
            <w:tcW w:w="560" w:type="dxa"/>
            <w:vAlign w:val="bottom"/>
            <w:gridSpan w:val="2"/>
          </w:tcPr>
          <w:p>
            <w:pPr>
              <w:spacing w:after="0"/>
              <w:rPr>
                <w:sz w:val="24"/>
                <w:szCs w:val="24"/>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tcBorders>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tcBorders>
              <w:top w:val="single" w:sz="8" w:color="0000EE"/>
            </w:tcBorders>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14.</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tcBorders>
              <w:top w:val="single" w:sz="8" w:color="0000EE"/>
            </w:tcBorders>
            <w:gridSpan w:val="1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Principal Accounting Fees and Services</w:t>
              </w:r>
            </w:hyperlink>
          </w:p>
        </w:tc>
        <w:tc>
          <w:tcPr>
            <w:tcW w:w="2360" w:type="dxa"/>
            <w:vAlign w:val="bottom"/>
            <w:gridSpan w:val="5"/>
          </w:tcPr>
          <w:p>
            <w:pPr>
              <w:spacing w:after="0"/>
              <w:rPr>
                <w:sz w:val="24"/>
                <w:szCs w:val="24"/>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c>
          <w:tcPr>
            <w:tcW w:w="1300" w:type="dxa"/>
            <w:vAlign w:val="bottom"/>
          </w:tcPr>
          <w:p>
            <w:pPr>
              <w:spacing w:after="0"/>
              <w:rPr>
                <w:sz w:val="24"/>
                <w:szCs w:val="24"/>
                <w:color w:val="auto"/>
              </w:rPr>
            </w:pPr>
          </w:p>
        </w:tc>
      </w:tr>
      <w:tr>
        <w:trPr>
          <w:trHeight w:val="20"/>
        </w:trPr>
        <w:tc>
          <w:tcPr>
            <w:tcW w:w="1320" w:type="dxa"/>
            <w:vAlign w:val="bottom"/>
            <w:gridSpan w:val="3"/>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540" w:type="dxa"/>
            <w:vAlign w:val="bottom"/>
            <w:gridSpan w:val="6"/>
          </w:tcPr>
          <w:p>
            <w:pPr>
              <w:jc w:val="right"/>
              <w:ind w:right="20"/>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Part IV</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Item</w:t>
              </w:r>
            </w:hyperlink>
          </w:p>
        </w:tc>
        <w:tc>
          <w:tcPr>
            <w:tcW w:w="20" w:type="dxa"/>
            <w:vAlign w:val="bottom"/>
            <w:tcBorders>
              <w:bottom w:val="single" w:sz="8" w:color="0000EE"/>
            </w:tcBorders>
          </w:tcPr>
          <w:p>
            <w:pPr>
              <w:spacing w:after="0"/>
              <w:rPr>
                <w:sz w:val="24"/>
                <w:szCs w:val="24"/>
                <w:color w:val="auto"/>
              </w:rPr>
            </w:pPr>
          </w:p>
        </w:tc>
        <w:tc>
          <w:tcPr>
            <w:tcW w:w="220" w:type="dxa"/>
            <w:vAlign w:val="bottom"/>
            <w:tcBorders>
              <w:bottom w:val="single" w:sz="8" w:color="0000EE"/>
            </w:tcBorders>
            <w:gridSpan w:val="2"/>
          </w:tcPr>
          <w:p>
            <w:pPr>
              <w:ind w:left="20"/>
              <w:spacing w:after="0"/>
              <w:rPr>
                <w:rFonts w:ascii="Arial" w:cs="Arial" w:eastAsia="Arial" w:hAnsi="Arial"/>
                <w:sz w:val="16"/>
                <w:szCs w:val="16"/>
                <w:color w:val="0000EE"/>
                <w:w w:val="71"/>
              </w:rPr>
            </w:pPr>
            <w:hyperlink w:anchor="page122">
              <w:r>
                <w:rPr>
                  <w:rFonts w:ascii="Arial" w:cs="Arial" w:eastAsia="Arial" w:hAnsi="Arial"/>
                  <w:sz w:val="16"/>
                  <w:szCs w:val="16"/>
                  <w:color w:val="0000EE"/>
                  <w:w w:val="71"/>
                </w:rPr>
                <w:t>15.</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22">
              <w:r>
                <w:rPr>
                  <w:rFonts w:ascii="Arial" w:cs="Arial" w:eastAsia="Arial" w:hAnsi="Arial"/>
                  <w:sz w:val="18"/>
                  <w:szCs w:val="18"/>
                  <w:color w:val="0000EE"/>
                  <w:w w:val="87"/>
                </w:rPr>
                <w:t>Exhibits, Financial Statement Schedules</w:t>
              </w:r>
            </w:hyperlink>
          </w:p>
        </w:tc>
        <w:tc>
          <w:tcPr>
            <w:tcW w:w="4840" w:type="dxa"/>
            <w:vAlign w:val="bottom"/>
            <w:gridSpan w:val="9"/>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22">
              <w:r>
                <w:rPr>
                  <w:rFonts w:ascii="Arial" w:cs="Arial" w:eastAsia="Arial" w:hAnsi="Arial"/>
                  <w:sz w:val="18"/>
                  <w:szCs w:val="18"/>
                  <w:color w:val="0000EE"/>
                  <w:w w:val="79"/>
                </w:rPr>
                <w:t>121</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5"/>
          </w:tcPr>
          <w:p>
            <w:pPr>
              <w:ind w:left="35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Forward-Looking Statements</w:t>
      </w:r>
    </w:p>
    <w:p>
      <w:pPr>
        <w:spacing w:after="0" w:line="231"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our financial condition, prospective results of operations, future performance or expectations, plans, objectives, prospects, loan loss allowance adequacy, simulation of changes in interest rates, capital spending, finance sources and revenue sources. These statements relate to expectations concerning matters that are not historical facts. Accordingly, statements that are based on management's projections, estimates, assumptions, and judgments constitute forward-looking statements. These forward 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Such forward-looking statements reflect our current views and expectations based largely on information currently available to our management, and on our current expectations, assumptions, plans, estimates, judgments, and projections about our business and our industry, and they involve inherent risks and uncertainties.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our expectations will in fact occur or that our estimates or assumptions will be correct. The Company cautions you that actual results could differ materially from those expressed or implied by such forward-looking statements as a result of, among other factors, the factors referenced in this report under Item 1A. "Risk Factors"; changes in interest rates; competitive pressures from other financial institutions; the effects of a continuing deterioration in general economic conditions on a national basis or in the local markets in which the Company operates, including changes which adversely affect borrowers' ability to service and repay our loans; changes in loan defaults and charge-off rates; changes in the value of securities and other assets, adequacy of loan loss reserves, or deposit levels necessitating increased borrowing to fund loans and investments; increasing government regulation, such as the Dodd-Frank Wall Street Reform and Consumer Protection Act; the risk that we may not be successful in the implementation of our business strategy; the risk that intangibles recorded in the Company's financial statements will become impaired; and changes in assumptions used in making such forward-looking statements.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Northeast Bancorp ("we," "our," "us," "Northeast" or the "Company"), incorporated under Maine law in 1987, is a bank holding company, registered with the Board of Governors of the Federal Reserve System (the "Federal Reserve") under the Bank Holding Company Act of 1956, as amended. The Company's primary subsidiary and principal asset is its wholly-owned banking subsidiary, Northeast Bank (the "Bank" or "Northeast Bank"), a Maine state-chartered bank originally organized in 1872.</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to the merger, which represents an acquisition by FHB of Northeast, with Northeast as the surviving company.</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72"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of June 30, 2014, the Company, on a consolidated basis, had total assets of $761.9 million, total deposits of $574.3 million, and shareholders' equity of $112.1 million. The Company gathers retail deposits through the Community Banking Division's 10 banking offices in Maine and through its online deposit program, ableBanking; originates loans through its Community Banking Division; and purchases and originates commercial loans on a nationwide basis through the Loan Acquisition and Servicing Group ("LASG").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jc w:val="both"/>
        <w:ind w:right="300" w:firstLine="351"/>
        <w:spacing w:after="0" w:line="294" w:lineRule="auto"/>
        <w:rPr>
          <w:sz w:val="20"/>
          <w:szCs w:val="20"/>
          <w:color w:val="auto"/>
        </w:rPr>
      </w:pPr>
      <w:r>
        <w:rPr>
          <w:rFonts w:ascii="Arial" w:cs="Arial" w:eastAsia="Arial" w:hAnsi="Arial"/>
          <w:sz w:val="16"/>
          <w:szCs w:val="16"/>
          <w:i w:val="1"/>
          <w:iCs w:val="1"/>
          <w:color w:val="auto"/>
        </w:rPr>
        <w:t xml:space="preserve">Measured growth of our national commercial loan portfolio. </w:t>
      </w:r>
      <w:r>
        <w:rPr>
          <w:rFonts w:ascii="Arial" w:cs="Arial" w:eastAsia="Arial" w:hAnsi="Arial"/>
          <w:sz w:val="16"/>
          <w:szCs w:val="16"/>
          <w:color w:val="auto"/>
        </w:rPr>
        <w:t>The Company purchases performing commercial real estate loans, on a nationwide basis,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at a discount from their outstanding principal balances, producing yields higher than those normally achieved on our originated loan portfolio. These loans are purchased from a variety of sources, including banks, insurance companies, investment funds and government agencies, either directly or indirectly through a broker. To a lesser extent, we have also originated commercial real estate and commercial business loans on a nationwide basis. We expect national originations to become an area of increasing focus for the Company, and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particular the origination of loans guaranteed by the Small Business Administration ("SBA"). As of June 30, 2014, the Company serviced SBA loans with an unpaid principal balance of $54.3 million, of which $37.8 million was held by third parties.</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Focus on core deposits. </w:t>
      </w:r>
      <w:r>
        <w:rPr>
          <w:rFonts w:ascii="Arial" w:cs="Arial" w:eastAsia="Arial" w:hAnsi="Arial"/>
          <w:sz w:val="18"/>
          <w:szCs w:val="18"/>
          <w:color w:val="auto"/>
        </w:rPr>
        <w:t>The Company offers a full line of deposit products to customers in the Community Banking Division's market area through its ten-branch network. In addition, in June 2012, we launched our online deposit program, ableBanking, a division of Northeast Bank, to provide an additional channel through which to raise core deposits to fund the Company's asset strategy.</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Continuing our community banking tradition. </w:t>
      </w:r>
      <w:r>
        <w:rPr>
          <w:rFonts w:ascii="Arial" w:cs="Arial" w:eastAsia="Arial" w:hAnsi="Arial"/>
          <w:sz w:val="18"/>
          <w:szCs w:val="18"/>
          <w:color w:val="auto"/>
        </w:rPr>
        <w:t>The Community Banking Division retains a high degree of local autonomy and operational flexibility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better serve its customers. The Community Banking Division's focus on sales and service allows us to attract and retain core deposits in support of balance sheet growth, and to continue to generate new commercial and residential mortgage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 and Competition</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Northeast Bancorp is the holding company for Northeast Bank, a full-service bank headquartered in Lewiston, Maine. We offer traditional banking services through the Community Banking Division, which operates ten full-service branches that serve customers located in western and central Maine. From our Maine and Boston locations, we also lend throughout the New England area. The LASG purchases and originates commercial loans on a nationwide basis for the Bank's portfolio. AbleBanking, a division of Northeast Bank, offers savings products to consumers online.</w:t>
      </w:r>
    </w:p>
    <w:p>
      <w:pPr>
        <w:spacing w:after="0" w:line="167"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Community Banking Division's market area covers the six New England states, with the majority of its activities centered in the western and central regions of the State of Maine. We encounter significant competition in the Community Banking Division market area in making loans, attracting deposits, and selling other customer products and services. Our competitors include savings banks, commercial banks, credit unions, mutual funds, insurance companies, brokerage and investment banking companies, finance companies, and other financial intermediaries. Many of our primary competitors there have substantially greater resources, larger established customer bases, higher lending limits, extensive branch networks, numerous ATMs and greater advertising and marketing budgets. They may also offer services that we do not currently provide.</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LASG has a nationwide scope in its loan purchasing, origination, and servicing activities. It competes with regional banks, national private equity funds, and community banks in its bid to acquire performing commercial loans. ableBanking also has nationwide scope in its deposit gathering activities and competes with banks and credit unions, as well as other, larger, online direct banks having a national reach.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conduct our loan-related activities through two primary channels: the Community Banking Division and the LASG. The Community Banking Division originates loans directly to consumers and businesses located in its market area. The LASG purchases primarily performing commercial real estate loans, on a nationwide basis, typically at a discount from their outstanding principal balances, producing yields higher than those normally achieved on the Company's originated loan portfolio. The LASG also originates commercial real estate and commercial business loans on a nationwide basis. At June 30, 2014, of our total loan portfolio of $516.4 million, $235.4 million, or 45.6%, was originated by the Community Banking Division and $281.0 million, or 54.4%, was purchased or originated by the LASG. Pursuant to commitments made to the Federal Reserve in connection with the merger, the Company is required to limit purchased loans to 40% of total loans. At June 30, 2014, the Company's ratio of purchased loans to total loans, including loans held for sale, was 38.5%.</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concerning our portfolio loan purchases and originations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Year Ended June 30,</w:t>
            </w:r>
          </w:p>
        </w:tc>
      </w:tr>
      <w:tr>
        <w:trPr>
          <w:trHeight w:val="142"/>
        </w:trPr>
        <w:tc>
          <w:tcPr>
            <w:tcW w:w="4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w w:val="93"/>
              </w:rPr>
              <w:t>(Dollars in thousands)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Loans, including loans held for sale, beginning of year</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366,136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Additions: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Nationwide Loan Purchases and Originations: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Originations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37,208</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121,336</w:t>
            </w:r>
          </w:p>
        </w:tc>
      </w:tr>
      <w:tr>
        <w:trPr>
          <w:trHeight w:val="210"/>
        </w:trPr>
        <w:tc>
          <w:tcPr>
            <w:tcW w:w="4900" w:type="dxa"/>
            <w:vAlign w:val="bottom"/>
          </w:tcPr>
          <w:p>
            <w:pPr>
              <w:ind w:left="540"/>
              <w:spacing w:after="0"/>
              <w:rPr>
                <w:sz w:val="20"/>
                <w:szCs w:val="20"/>
                <w:color w:val="auto"/>
              </w:rPr>
            </w:pPr>
            <w:r>
              <w:rPr>
                <w:rFonts w:ascii="Arial" w:cs="Arial" w:eastAsia="Arial" w:hAnsi="Arial"/>
                <w:sz w:val="18"/>
                <w:szCs w:val="18"/>
                <w:color w:val="auto"/>
              </w:rPr>
              <w:t>Subtotal</w:t>
            </w:r>
          </w:p>
        </w:tc>
        <w:tc>
          <w:tcPr>
            <w:tcW w:w="1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146,048</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158,544</w:t>
            </w: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In-Market Loan Originations: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Residential mortgage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15,793</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2,371</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3,999</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business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Consumer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553</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mortgages held for sale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141,870</w:t>
            </w:r>
          </w:p>
        </w:tc>
      </w:tr>
      <w:tr>
        <w:trPr>
          <w:trHeight w:val="210"/>
        </w:trPr>
        <w:tc>
          <w:tcPr>
            <w:tcW w:w="4900" w:type="dxa"/>
            <w:vAlign w:val="bottom"/>
          </w:tcPr>
          <w:p>
            <w:pPr>
              <w:ind w:left="540"/>
              <w:spacing w:after="0"/>
              <w:rPr>
                <w:sz w:val="20"/>
                <w:szCs w:val="20"/>
                <w:color w:val="auto"/>
              </w:rPr>
            </w:pPr>
            <w:r>
              <w:rPr>
                <w:rFonts w:ascii="Arial" w:cs="Arial" w:eastAsia="Arial" w:hAnsi="Arial"/>
                <w:sz w:val="18"/>
                <w:szCs w:val="18"/>
                <w:color w:val="auto"/>
              </w:rPr>
              <w:t>Subtotal</w:t>
            </w:r>
          </w:p>
        </w:tc>
        <w:tc>
          <w:tcPr>
            <w:tcW w:w="1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141,743</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166,125</w:t>
            </w:r>
          </w:p>
        </w:tc>
        <w:tc>
          <w:tcPr>
            <w:tcW w:w="160" w:type="dxa"/>
            <w:vAlign w:val="bottom"/>
          </w:tcPr>
          <w:p>
            <w:pPr>
              <w:spacing w:after="0"/>
              <w:rPr>
                <w:sz w:val="18"/>
                <w:szCs w:val="18"/>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originations and purchases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324,669</w:t>
            </w: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Reductions:</w:t>
            </w:r>
          </w:p>
        </w:tc>
        <w:tc>
          <w:tcPr>
            <w:tcW w:w="1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of residential loans held for sale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(88,015)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(138,861)</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Sales of portfolio loans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(8,779)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(7,076)</w:t>
            </w: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Pay-downs and amortization,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(106,201)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(100,043)</w:t>
            </w:r>
          </w:p>
        </w:tc>
      </w:tr>
      <w:tr>
        <w:trPr>
          <w:trHeight w:val="20"/>
        </w:trPr>
        <w:tc>
          <w:tcPr>
            <w:tcW w:w="4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reductions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(203,400)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(246,835)</w:t>
            </w: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Loans, including loans held for sale, end of year</w:t>
            </w:r>
          </w:p>
        </w:tc>
        <w:tc>
          <w:tcPr>
            <w:tcW w:w="10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528,361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443,970</w:t>
            </w:r>
          </w:p>
        </w:tc>
        <w:tc>
          <w:tcPr>
            <w:tcW w:w="16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Annual percentage increase in loans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19.01%</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21.26%</w:t>
            </w: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individually underwrite the loans that we originate and all loans that we purchase. Our loan underwriting policies are reviewed and approved annually by our board of directors. Each loan, regardless of whether it is originated or purchased, must meet underwriting criteria set forth in our lending policies and the requirements of applicable federal and state lending regulations of our regulators. We typically retain servicing rights for all loans that we originate or purchase, except for residential loans that we originate and sell servicing released in the secondary market.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In-Market Loan Originations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Originated Loan Portfolio. </w:t>
      </w:r>
      <w:r>
        <w:rPr>
          <w:rFonts w:ascii="Arial" w:cs="Arial" w:eastAsia="Arial" w:hAnsi="Arial"/>
          <w:sz w:val="18"/>
          <w:szCs w:val="18"/>
          <w:color w:val="auto"/>
        </w:rPr>
        <w:t>Our in-market originated loan portfolio consists primarily of loans to consumers and businesses in the Community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Division's market area.</w:t>
      </w:r>
    </w:p>
    <w:p>
      <w:pPr>
        <w:spacing w:after="0" w:line="199" w:lineRule="exact"/>
        <w:rPr>
          <w:sz w:val="20"/>
          <w:szCs w:val="20"/>
          <w:color w:val="auto"/>
        </w:rPr>
      </w:pPr>
    </w:p>
    <w:p>
      <w:pPr>
        <w:ind w:left="1080" w:right="20" w:hanging="532"/>
        <w:spacing w:after="0" w:line="29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Residential Mortgage Loans. </w:t>
      </w:r>
      <w:r>
        <w:rPr>
          <w:rFonts w:ascii="Arial" w:cs="Arial" w:eastAsia="Arial" w:hAnsi="Arial"/>
          <w:sz w:val="16"/>
          <w:szCs w:val="16"/>
          <w:color w:val="auto"/>
        </w:rPr>
        <w:t>We originate residential mortgage loans secured by one- to four-family properties throughout Maine, and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New Hampshire. Such loans may be originated for sale in the secondary market or to be held on the Bank's balance sheet. We also offer home equity loans and home equity lines of credit, which are secured by first or second mortgages on one- to four-family owner-occupied properties and which are held on our balance sheet. At June 30, 2014, portfolio residential loans totaled $144.6 million, or 28.0% of total loans. Of the residential loans we held for investment at June 30, 2014, approximately 47.1%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were adjustable rate. Included in residential loans are home equity lines of credit and other second mortgage loans aggregating approximately $30.0 million.</w:t>
      </w:r>
    </w:p>
    <w:p>
      <w:pPr>
        <w:spacing w:after="0" w:line="199" w:lineRule="exact"/>
        <w:rPr>
          <w:sz w:val="20"/>
          <w:szCs w:val="20"/>
          <w:color w:val="auto"/>
        </w:rPr>
      </w:pPr>
    </w:p>
    <w:p>
      <w:pPr>
        <w:ind w:left="1080" w:right="60" w:hanging="532"/>
        <w:spacing w:after="0" w:line="25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Commercial Real Estate Loans. </w:t>
      </w:r>
      <w:r>
        <w:rPr>
          <w:rFonts w:ascii="Arial" w:cs="Arial" w:eastAsia="Arial" w:hAnsi="Arial"/>
          <w:sz w:val="18"/>
          <w:szCs w:val="18"/>
          <w:color w:val="auto"/>
        </w:rPr>
        <w:t>We originate multi-family and other commercial real estate loans secured by property located primarily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Banking Division's market area. At June 30, 2014, commercial real estate loans outstanding were $70.7 million, or 13.7% of total loans. Although the largest commercial real estate loan originated by the Community Banking Division had a principal balance of $2.1 million at June 30, 2014, the majority of the commercial real estate loans originated by the Community Banking Division had principal balances less than $500 thousand.</w:t>
      </w:r>
    </w:p>
    <w:p>
      <w:pPr>
        <w:spacing w:after="0" w:line="223" w:lineRule="exact"/>
        <w:rPr>
          <w:rFonts w:ascii="Arial" w:cs="Arial" w:eastAsia="Arial" w:hAnsi="Arial"/>
          <w:sz w:val="18"/>
          <w:szCs w:val="18"/>
          <w:color w:val="auto"/>
        </w:rPr>
      </w:pPr>
    </w:p>
    <w:p>
      <w:pPr>
        <w:ind w:left="1080" w:right="80" w:hanging="532"/>
        <w:spacing w:after="0" w:line="323"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Commercial Business Loans. </w:t>
      </w:r>
      <w:r>
        <w:rPr>
          <w:rFonts w:ascii="Arial" w:cs="Arial" w:eastAsia="Arial" w:hAnsi="Arial"/>
          <w:sz w:val="15"/>
          <w:szCs w:val="15"/>
          <w:color w:val="auto"/>
        </w:rPr>
        <w:t>We originate commercial business loans, including term loans, lines of credit and equipment and receivables</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 to businesses located primarily in the Community Banking Division's market area. At June 30, 2013, commercial business loans outstanding were $10.1 million, or 2.0% of total loans. At June 30, 2014, there were 140 commercial business loans outstanding with an average principal balance of $73 thousand. The largest of these commercial business loans had a principal balance of $1.0 million at June 30, 2014.</w:t>
      </w:r>
    </w:p>
    <w:p>
      <w:pPr>
        <w:spacing w:after="0" w:line="165"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Consumer Loans. </w:t>
      </w:r>
      <w:r>
        <w:rPr>
          <w:rFonts w:ascii="Arial" w:cs="Arial" w:eastAsia="Arial" w:hAnsi="Arial"/>
          <w:sz w:val="18"/>
          <w:szCs w:val="18"/>
          <w:color w:val="auto"/>
        </w:rPr>
        <w:t>We originate, on a direct basis, automobile, boat and recreational vehicle loans. At June 30, 2014, consumer loans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were $9.9 million, or 1.9% of total loans.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Loans. </w:t>
      </w:r>
      <w:r>
        <w:rPr>
          <w:rFonts w:ascii="Arial" w:cs="Arial" w:eastAsia="Arial" w:hAnsi="Arial"/>
          <w:sz w:val="18"/>
          <w:szCs w:val="18"/>
          <w:color w:val="auto"/>
        </w:rPr>
        <w:t>From time to time, we originate residential construction loans to finance the construction of single-family, owner-occupied</w:t>
      </w:r>
      <w:r>
        <w:rPr>
          <w:rFonts w:ascii="Arial" w:cs="Arial" w:eastAsia="Arial" w:hAnsi="Arial"/>
          <w:sz w:val="18"/>
          <w:szCs w:val="18"/>
          <w:i w:val="1"/>
          <w:iCs w:val="1"/>
          <w:color w:val="auto"/>
        </w:rPr>
        <w:t xml:space="preserve"> </w:t>
      </w:r>
      <w:r>
        <w:rPr>
          <w:rFonts w:ascii="Arial" w:cs="Arial" w:eastAsia="Arial" w:hAnsi="Arial"/>
          <w:sz w:val="18"/>
          <w:szCs w:val="18"/>
          <w:color w:val="auto"/>
        </w:rPr>
        <w:t>homes. At June 30, 2014, construction loans outstanding were $31 thousand.</w:t>
      </w:r>
    </w:p>
    <w:p>
      <w:pPr>
        <w:spacing w:after="0" w:line="186"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i w:val="1"/>
          <w:iCs w:val="1"/>
          <w:color w:val="auto"/>
        </w:rPr>
        <w:t xml:space="preserve">Underwriting of Originated Loans. </w:t>
      </w:r>
      <w:r>
        <w:rPr>
          <w:rFonts w:ascii="Arial" w:cs="Arial" w:eastAsia="Arial" w:hAnsi="Arial"/>
          <w:sz w:val="16"/>
          <w:szCs w:val="16"/>
          <w:color w:val="auto"/>
        </w:rPr>
        <w:t>Most residential loans, including those held for investment, are originated in accordance with the standards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National Mortgage Association, the Federal Home Loan Mortgage Corporation, the Federal Housing Authority, or other third party correspondent lenders. Our underwriting and approval process for all other loans originated by the Community Banking Division is as follows:</w:t>
      </w:r>
    </w:p>
    <w:p>
      <w:pPr>
        <w:spacing w:after="0" w:line="188" w:lineRule="exact"/>
        <w:rPr>
          <w:sz w:val="20"/>
          <w:szCs w:val="20"/>
          <w:color w:val="auto"/>
        </w:rPr>
      </w:pPr>
    </w:p>
    <w:p>
      <w:pPr>
        <w:ind w:left="1080" w:right="1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in-market originated loans are sourced through relationships between loan officers and their third party referral sources or current or previous customers.</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After a loan officer has taken basic information from the borrower, the request is submitted to the Community Banking Division's loan production department. The loan production department obtains comprehensive information from the borrower and third parties, and conducts verification and analysis of the borrower information, which is assembled into a single underwriting package that is submitted for final approval.</w:t>
      </w:r>
    </w:p>
    <w:p>
      <w:pPr>
        <w:spacing w:after="0" w:line="174"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Loans of $500 thousand or more (determined on a relationship basis) require approval from the Community Banking Division Credit Committee, which is comprised of senior managers of the Bank. Loans of less than $500 thousand (determined on a relationship basis) require approval from two underwriters with appropriate lending authority.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Nationwide Loan Purchases and Originations</w:t>
      </w:r>
    </w:p>
    <w:p>
      <w:pPr>
        <w:spacing w:after="0" w:line="225"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5"/>
          <w:szCs w:val="15"/>
          <w:color w:val="auto"/>
        </w:rPr>
        <w:t>The LASG purchases and originates commercial loans secured by income-producing collateral, and on a nationwide basis. Although the Bank's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legal lending limit was $20.6 million at June 30, 2014, our credit policy currently requires prior Board approval for the purchase or origination of a loan with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investment greater than 10% of the Company's tier one capital, determined on a relationship basis. We focus primarily on loans with balances between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 million and $5.0 million. Purchased loans are sourced on a nationwide basis from banks, insurance companies, investment funds and government agencies,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either directly or indirectly through advisors. We seek to build a loan</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portfolio that is diverse with respect to geography, loan type and collateral type. Of the loans originated or purchased by the LASG that were outstanding as of June 30, 2014, $245.4 million, or 87.3%, consisted of commercial real estate loans. The following table summarizes the LASG loan portfolio as of June 30, 2014.</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0"/>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Originated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78"/>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Non-owner occupied commercial real estate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133,582</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167,551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65,899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11,907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77,806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1 - 4 family residential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3,999</w:t>
            </w:r>
          </w:p>
        </w:tc>
      </w:tr>
      <w:tr>
        <w:trPr>
          <w:trHeight w:val="20"/>
        </w:trPr>
        <w:tc>
          <w:tcPr>
            <w:tcW w:w="4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77,561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281,011</w:t>
            </w:r>
          </w:p>
        </w:tc>
      </w:tr>
      <w:tr>
        <w:trPr>
          <w:trHeight w:val="20"/>
        </w:trPr>
        <w:tc>
          <w:tcPr>
            <w:tcW w:w="4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Since the inception of the LASG through June 30, 2014, we have purchased loans for an aggregate investment of $303.6 million, of which $79.8 million was purchased during fiscal 2014. We have also originated loans totaling $104.8 million, of which $62.2 million was originated in fiscal 2014. As of June 30, 2014, the unpaid principal balance of loans purchased or originated by the LASG ranged from $1 thousand to $12.0 million, with an average of $843 thousand, and were secured principally by retail, industrial, mixed use, multi-family and office properties in 36 states.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LASG loan portfolio stratified by book value as of June 30, 2014.</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Range</w:t>
            </w:r>
          </w:p>
        </w:tc>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Total</w:t>
            </w:r>
          </w:p>
        </w:tc>
        <w:tc>
          <w:tcPr>
            <w:tcW w:w="160" w:type="dxa"/>
            <w:vAlign w:val="bottom"/>
          </w:tcPr>
          <w:p>
            <w:pPr>
              <w:spacing w:after="0"/>
              <w:rPr>
                <w:sz w:val="14"/>
                <w:szCs w:val="14"/>
                <w:color w:val="auto"/>
              </w:rPr>
            </w:pPr>
          </w:p>
        </w:tc>
      </w:tr>
      <w:tr>
        <w:trPr>
          <w:trHeight w:val="142"/>
        </w:trPr>
        <w:tc>
          <w:tcPr>
            <w:tcW w:w="4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(Dollars in</w:t>
            </w:r>
          </w:p>
        </w:tc>
        <w:tc>
          <w:tcPr>
            <w:tcW w:w="840" w:type="dxa"/>
            <w:vAlign w:val="bottom"/>
            <w:gridSpan w:val="2"/>
          </w:tcPr>
          <w:p>
            <w:pPr>
              <w:jc w:val="right"/>
              <w:ind w:right="97"/>
              <w:spacing w:after="0" w:line="142"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2"/>
                <w:szCs w:val="12"/>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 $500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42,559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15.15%</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$500 - $1,000</w:t>
            </w:r>
          </w:p>
        </w:tc>
        <w:tc>
          <w:tcPr>
            <w:tcW w:w="140" w:type="dxa"/>
            <w:vAlign w:val="bottom"/>
          </w:tcPr>
          <w:p>
            <w:pPr>
              <w:spacing w:after="0"/>
              <w:rPr>
                <w:sz w:val="18"/>
                <w:szCs w:val="18"/>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42,546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15.14%</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 $2,000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58,064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20.66%</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$2,000 - $3,000</w:t>
            </w:r>
          </w:p>
        </w:tc>
        <w:tc>
          <w:tcPr>
            <w:tcW w:w="140" w:type="dxa"/>
            <w:vAlign w:val="bottom"/>
          </w:tcPr>
          <w:p>
            <w:pPr>
              <w:spacing w:after="0"/>
              <w:rPr>
                <w:sz w:val="18"/>
                <w:szCs w:val="18"/>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25,040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$3,000 - $4,000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35,654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Greater than $4,000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77,148</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27.45%</w:t>
            </w:r>
          </w:p>
        </w:tc>
      </w:tr>
      <w:tr>
        <w:trPr>
          <w:trHeight w:val="20"/>
        </w:trPr>
        <w:tc>
          <w:tcPr>
            <w:tcW w:w="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281,011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LASG loan portfolio by location and type of collateral as of June 30, 2014.</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Collateral Type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Total</w:t>
            </w:r>
          </w:p>
        </w:tc>
        <w:tc>
          <w:tcPr>
            <w:tcW w:w="1720" w:type="dxa"/>
            <w:vAlign w:val="bottom"/>
            <w:gridSpan w:val="3"/>
          </w:tcPr>
          <w:p>
            <w:pPr>
              <w:ind w:left="180"/>
              <w:spacing w:after="0"/>
              <w:rPr>
                <w:sz w:val="20"/>
                <w:szCs w:val="20"/>
                <w:color w:val="auto"/>
              </w:rPr>
            </w:pPr>
            <w:r>
              <w:rPr>
                <w:rFonts w:ascii="Arial" w:cs="Arial" w:eastAsia="Arial" w:hAnsi="Arial"/>
                <w:sz w:val="14"/>
                <w:szCs w:val="14"/>
                <w:b w:val="1"/>
                <w:bCs w:val="1"/>
                <w:color w:val="auto"/>
              </w:rPr>
              <w:t>State</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(Dollars in</w:t>
            </w:r>
          </w:p>
        </w:tc>
        <w:tc>
          <w:tcPr>
            <w:tcW w:w="900" w:type="dxa"/>
            <w:vAlign w:val="bottom"/>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Multifamily</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18.41%</w:t>
            </w:r>
          </w:p>
        </w:tc>
        <w:tc>
          <w:tcPr>
            <w:tcW w:w="1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39,020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13.89%</w:t>
            </w:r>
          </w:p>
        </w:tc>
        <w:tc>
          <w:tcPr>
            <w:tcW w:w="1720" w:type="dxa"/>
            <w:vAlign w:val="bottom"/>
            <w:gridSpan w:val="3"/>
          </w:tcPr>
          <w:p>
            <w:pPr>
              <w:ind w:left="180"/>
              <w:spacing w:after="0"/>
              <w:rPr>
                <w:sz w:val="20"/>
                <w:szCs w:val="20"/>
                <w:color w:val="auto"/>
              </w:rPr>
            </w:pPr>
            <w:r>
              <w:rPr>
                <w:rFonts w:ascii="Arial" w:cs="Arial" w:eastAsia="Arial" w:hAnsi="Arial"/>
                <w:sz w:val="18"/>
                <w:szCs w:val="18"/>
                <w:color w:val="auto"/>
              </w:rPr>
              <w:t>NY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43,407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Hospitality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38,887</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13.84%</w:t>
            </w:r>
          </w:p>
        </w:tc>
        <w:tc>
          <w:tcPr>
            <w:tcW w:w="1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40,968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14.58%</w:t>
            </w:r>
          </w:p>
        </w:tc>
        <w:tc>
          <w:tcPr>
            <w:tcW w:w="1720" w:type="dxa"/>
            <w:vAlign w:val="bottom"/>
            <w:gridSpan w:val="3"/>
          </w:tcPr>
          <w:p>
            <w:pPr>
              <w:ind w:left="180"/>
              <w:spacing w:after="0"/>
              <w:rPr>
                <w:sz w:val="20"/>
                <w:szCs w:val="20"/>
                <w:color w:val="auto"/>
              </w:rPr>
            </w:pPr>
            <w:r>
              <w:rPr>
                <w:rFonts w:ascii="Arial" w:cs="Arial" w:eastAsia="Arial" w:hAnsi="Arial"/>
                <w:sz w:val="18"/>
                <w:szCs w:val="18"/>
                <w:color w:val="auto"/>
              </w:rPr>
              <w:t>OH</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16,574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16.00%</w:t>
            </w:r>
          </w:p>
        </w:tc>
        <w:tc>
          <w:tcPr>
            <w:tcW w:w="1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Mixed use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20,990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7.47%</w:t>
            </w:r>
          </w:p>
        </w:tc>
        <w:tc>
          <w:tcPr>
            <w:tcW w:w="1720" w:type="dxa"/>
            <w:vAlign w:val="bottom"/>
            <w:gridSpan w:val="3"/>
          </w:tcPr>
          <w:p>
            <w:pPr>
              <w:ind w:left="180"/>
              <w:spacing w:after="0"/>
              <w:rPr>
                <w:sz w:val="20"/>
                <w:szCs w:val="20"/>
                <w:color w:val="auto"/>
              </w:rPr>
            </w:pPr>
            <w:r>
              <w:rPr>
                <w:rFonts w:ascii="Arial" w:cs="Arial" w:eastAsia="Arial" w:hAnsi="Arial"/>
                <w:sz w:val="18"/>
                <w:szCs w:val="18"/>
                <w:color w:val="auto"/>
              </w:rPr>
              <w:t>GA</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10,907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6.69%</w:t>
            </w:r>
          </w:p>
        </w:tc>
        <w:tc>
          <w:tcPr>
            <w:tcW w:w="1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Other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13,170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4.69%</w:t>
            </w:r>
          </w:p>
        </w:tc>
        <w:tc>
          <w:tcPr>
            <w:tcW w:w="1720" w:type="dxa"/>
            <w:vAlign w:val="bottom"/>
            <w:gridSpan w:val="3"/>
          </w:tcPr>
          <w:p>
            <w:pPr>
              <w:ind w:left="180"/>
              <w:spacing w:after="0"/>
              <w:rPr>
                <w:sz w:val="20"/>
                <w:szCs w:val="20"/>
                <w:color w:val="auto"/>
              </w:rPr>
            </w:pPr>
            <w:r>
              <w:rPr>
                <w:rFonts w:ascii="Arial" w:cs="Arial" w:eastAsia="Arial" w:hAnsi="Arial"/>
                <w:sz w:val="18"/>
                <w:szCs w:val="18"/>
                <w:color w:val="auto"/>
              </w:rPr>
              <w:t>TX</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8,184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w:t>
            </w:r>
          </w:p>
        </w:tc>
        <w:tc>
          <w:tcPr>
            <w:tcW w:w="1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281,011</w:t>
            </w:r>
          </w:p>
        </w:tc>
        <w:tc>
          <w:tcPr>
            <w:tcW w:w="240" w:type="dxa"/>
            <w:vAlign w:val="bottom"/>
            <w:vMerge w:val="continue"/>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281,011</w:t>
            </w:r>
          </w:p>
        </w:tc>
        <w:tc>
          <w:tcPr>
            <w:tcW w:w="240" w:type="dxa"/>
            <w:vAlign w:val="bottom"/>
            <w:vMerge w:val="continue"/>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Loan Purchase Strategies. </w:t>
      </w:r>
      <w:r>
        <w:rPr>
          <w:rFonts w:ascii="Arial" w:cs="Arial" w:eastAsia="Arial" w:hAnsi="Arial"/>
          <w:sz w:val="18"/>
          <w:szCs w:val="18"/>
          <w:color w:val="auto"/>
        </w:rPr>
        <w:t>The LASG's loan purchasing strategy involves the acquisition of commercial loans, typically secured by real estate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assets located throughout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United States. The LASG includes a team of credit analysts, real estate analysts, servicing specialists and legal counsel with extensive experience in the loan acquisition business.</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acquire performing commercial loans typically at a discount to their unpaid principal balances. While we acquire loans on a nationwide basis, we seek to avoid significant concentration in any geographic region or in any one collateral type. We do not seek acquisition opportunities for which the primary collateral is land, construction, or one- to four-family residential property, although in a very limited number of cases, loans secured by such collateral may be included in a pool of otherwise desirable loans.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focus on servicing released, whole loan or lead participation transactions so that we can control the management of our portfolio through our experienced asset management professionals. Purchased loans can be acquired as a single relationship or combined with other borrowers in a larger pool. We generally avoid small average balance transactions (i.e. less than $250 thousand) due to the relatively higher operational and opportunity costs of managing and underwriting these assets. Loans are bid to a minimal acceptable yield to maturity based on the overall risk of the loan, including expected repayment terms and the underlying collateral value. Updated loan-to-value ratios and loan terms both influence the amount of discount the Bank requires in determining whether a loan meets the Bank's guidelines. We often achieve actual results in excess of our minimal acceptable yield to maturity when a loan is prepaid.</w:t>
      </w:r>
    </w:p>
    <w:p>
      <w:pPr>
        <w:spacing w:after="0" w:line="174"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At June 30, 2014, purchased loans had an unpaid principal balance of $242.6 million and a book value of $203.5 million, representing discount across the portfolio of 16.2%.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purchased loan portfolio as of June 30, 2014 by original purchase price percentage.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Initial Investment as a % of Unpaid Principal Balance</w:t>
            </w: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gridSpan w:val="2"/>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(Dollars in</w:t>
            </w:r>
          </w:p>
        </w:tc>
        <w:tc>
          <w:tcPr>
            <w:tcW w:w="20" w:type="dxa"/>
            <w:vAlign w:val="bottom"/>
          </w:tcPr>
          <w:p>
            <w:pPr>
              <w:spacing w:after="0"/>
              <w:rPr>
                <w:sz w:val="12"/>
                <w:szCs w:val="12"/>
                <w:color w:val="auto"/>
              </w:rPr>
            </w:pPr>
          </w:p>
        </w:tc>
        <w:tc>
          <w:tcPr>
            <w:tcW w:w="820" w:type="dxa"/>
            <w:vAlign w:val="bottom"/>
            <w:gridSpan w:val="2"/>
          </w:tcPr>
          <w:p>
            <w:pPr>
              <w:jc w:val="right"/>
              <w:ind w:right="97"/>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- 60%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88"/>
              </w:rPr>
              <w:t>60%</w:t>
            </w:r>
          </w:p>
        </w:tc>
        <w:tc>
          <w:tcPr>
            <w:tcW w:w="3140" w:type="dxa"/>
            <w:vAlign w:val="bottom"/>
          </w:tcPr>
          <w:p>
            <w:pPr>
              <w:ind w:left="20"/>
              <w:spacing w:after="0"/>
              <w:rPr>
                <w:sz w:val="20"/>
                <w:szCs w:val="20"/>
                <w:color w:val="auto"/>
              </w:rPr>
            </w:pPr>
            <w:r>
              <w:rPr>
                <w:rFonts w:ascii="Arial" w:cs="Arial" w:eastAsia="Arial" w:hAnsi="Arial"/>
                <w:sz w:val="18"/>
                <w:szCs w:val="18"/>
                <w:color w:val="auto"/>
              </w:rPr>
              <w:t>- 70%</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6,150</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88"/>
              </w:rPr>
              <w:t>70%</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40,656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88"/>
              </w:rPr>
              <w:t>80%</w:t>
            </w:r>
          </w:p>
        </w:tc>
        <w:tc>
          <w:tcPr>
            <w:tcW w:w="3140" w:type="dxa"/>
            <w:vAlign w:val="bottom"/>
          </w:tcPr>
          <w:p>
            <w:pPr>
              <w:ind w:left="20"/>
              <w:spacing w:after="0"/>
              <w:rPr>
                <w:sz w:val="20"/>
                <w:szCs w:val="20"/>
                <w:color w:val="auto"/>
              </w:rPr>
            </w:pPr>
            <w:r>
              <w:rPr>
                <w:rFonts w:ascii="Arial" w:cs="Arial" w:eastAsia="Arial" w:hAnsi="Arial"/>
                <w:sz w:val="18"/>
                <w:szCs w:val="18"/>
                <w:color w:val="auto"/>
              </w:rPr>
              <w:t>- 90%</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65,491</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88"/>
              </w:rPr>
              <w:t>90%</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203,450</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Secondary Market for Commercial Loans. </w:t>
      </w:r>
      <w:r>
        <w:rPr>
          <w:rFonts w:ascii="Arial" w:cs="Arial" w:eastAsia="Arial" w:hAnsi="Arial"/>
          <w:sz w:val="16"/>
          <w:szCs w:val="16"/>
          <w:color w:val="auto"/>
        </w:rPr>
        <w:t>Commercial whole loans are typically sold either directly by sellers or through loan sale advisors. Because a</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database for commercial whole loans does not exist, we attempt to compile our own statistics by both polling major loan sale advisors to obtain their aggregate trading volume and tracking the deal flow that we see directly via a proprietary database. This data reflects only a portion of the total market, as commercial whole loans that are sold in private direct sales or through other loan sale advisors are not included in our surveys. In recent years, the ratio of performing loans to total loans in the market has increased, in part, because, we believe, sellers have worked through their most troubled, non-performing loans or are looking to minimize the discount they would receive in a secondary transaction. While the recent economic crisis has led to a high level of trading volume, we also expect the market to remain active in times of economic prosperity, as sellers tend to have additional reserve capacity to sell their unwanted assets. Furthermore, we believe that the continued consolidation of the banking industry will create secondary market activity as acquirers often sell non-strategic borrowing relationships or assets that create excess loan concentrations.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Underwriting of Purchased Loans. </w:t>
      </w:r>
      <w:r>
        <w:rPr>
          <w:rFonts w:ascii="Arial" w:cs="Arial" w:eastAsia="Arial" w:hAnsi="Arial"/>
          <w:sz w:val="16"/>
          <w:szCs w:val="16"/>
          <w:color w:val="auto"/>
        </w:rPr>
        <w:t>We review many loan purchase opportunities and commence underwriting on a relatively small percentage of them.</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2014, we reviewed approximately 177 transactions representing loans with $1.3 billion in unpaid principal balance. Of those transactions that we reviewed, we placed bids in 44 transactions representing loans with $252 million in unpaid principal balance. Ultimately, we closed 29 transactions in which we acquired $91.3 million in unpaid principal balance for an aggregate purchase price of $79.8 million, or 87.4% of the unpaid principal balance.</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Each of our purchased loans is individually underwritten by a team of in-house, seasoned analysts before being considered for approval. Prior to commencing underwriting, each loan or portfolio of loans is analyzed for its performance characteristics, loan terms, collateral quality, and price expectations. We also consider whether the loan or portfolio of loans would make our total purchased loan portfolio more or less diverse with respect to geography, loan type and collateral type. The opportunity is underwritten once it has been identified as fitting our investment parameters. While the extent of underwriting may vary based on investment size, procedures generally include the following:</w:t>
      </w:r>
    </w:p>
    <w:p>
      <w:pPr>
        <w:spacing w:after="0" w:line="210" w:lineRule="exact"/>
        <w:rPr>
          <w:sz w:val="20"/>
          <w:szCs w:val="20"/>
          <w:color w:val="auto"/>
        </w:rPr>
      </w:pPr>
    </w:p>
    <w:p>
      <w:pPr>
        <w:ind w:left="1080" w:right="5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loan analyst reviews and analyzes financial statements and third party research, including credit reports and other data with respect to the borrower, guarantors, corporate sponsors and any major tenants, in order to assess credit risk.</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the assistance of local counsel, where appropriate, an in-house attorney makes a determination regarding the quality of loan documentation and enforceability of loan terms.</w:t>
      </w:r>
    </w:p>
    <w:p>
      <w:pPr>
        <w:spacing w:after="0" w:line="199"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in-house real estate specialist performs a detailed evaluation of all real estate collateral, including canvassing local market experts, conducting original market research for trends and sale and lease comparables, and creates a written valuation that is based on current data reflecting what we believe are recent trends.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environmental assessment is performed on real estate collateral.</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property inspection is performed on all real estate collateral securing a loan, focusing on several characteristics, including, among other things, the physical quality of the property, current occupancy, general quality and occupancy within the neighborhood, market position and nearby property listings.</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detailed underwriting package containing the results of all this analysis and information is assembled and reviewed by a separate credit analyst on our team before being submitted for approval by the LASG Credit Committee.</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Collateral Valuation. </w:t>
      </w:r>
      <w:r>
        <w:rPr>
          <w:rFonts w:ascii="Arial" w:cs="Arial" w:eastAsia="Arial" w:hAnsi="Arial"/>
          <w:sz w:val="18"/>
          <w:szCs w:val="18"/>
          <w:color w:val="auto"/>
        </w:rPr>
        <w:t>The estimated value of the real property collateralizing the loan is determined by the LASG's in-house real estate group,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among other factors, the type of property, its condition, location and its highest and best use in its marketplace. An inspection is conducted for the real property securing all loans bid upon, and for all loans that represent an investment in excess of $1.0 million, members of the LASG typically conduct an in-person site inspection.</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generally view cash flow from operations as the primary source of repayment on purchased loans. The LASG analyzes the current and likely future cash flows generated by the collateral to repay the loan. Also considered are minimum debt service coverage ratios, consisting of the ratio of net operating income to total principal and interest payments. For example, our credit policy provides that the debt service coverage ratio for a purchased commercial real estate loan generally should not be less than 120 percent of the monthly principal and interest payments resulting from a re-amortization of the Bank's basis, at a market interest rate.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Loan Pricing.</w:t>
      </w:r>
      <w:r>
        <w:rPr>
          <w:sz w:val="20"/>
          <w:szCs w:val="20"/>
          <w:color w:val="auto"/>
        </w:rPr>
        <w:tab/>
      </w:r>
      <w:r>
        <w:rPr>
          <w:rFonts w:ascii="Arial" w:cs="Arial" w:eastAsia="Arial" w:hAnsi="Arial"/>
          <w:sz w:val="16"/>
          <w:szCs w:val="16"/>
          <w:color w:val="auto"/>
        </w:rPr>
        <w:t>In determining the amount that we are willing to bid to acquire individual loans or loan pools, the LASG considers the following: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collateral securing the loan;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location;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resources of the borrower or guarantors,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recourse nature of the loan;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age and performance of the loan;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during which the loan has performed in accordance with its repayment term;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yield expected to be earned;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servicing restrictions, if any.</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to the factors listed above and despite the fact that purchased loans are typically performing loans, the LASG also estimates the amount that we may realize through collection efforts or foreclosure and sale of the collateral, net of expenses, and the length of time and costs required to complete the collection or foreclosure process in the event a loan becomes non-performing or is non-performing at the time of purchase.</w:t>
      </w:r>
    </w:p>
    <w:p>
      <w:pPr>
        <w:spacing w:after="0" w:line="16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i w:val="1"/>
          <w:iCs w:val="1"/>
          <w:color w:val="auto"/>
        </w:rPr>
        <w:t xml:space="preserve">Approvals. </w:t>
      </w:r>
      <w:r>
        <w:rPr>
          <w:rFonts w:ascii="Arial" w:cs="Arial" w:eastAsia="Arial" w:hAnsi="Arial"/>
          <w:sz w:val="18"/>
          <w:szCs w:val="18"/>
          <w:color w:val="auto"/>
        </w:rPr>
        <w:t>All loan purchases must be approved by the LASG Credit Committee. This committee is comprised of members of the executive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 and senior management from the LASG. Our credit policy currently requires prior Board approval for the purchase of a loan with an initial investment greater than 10% of the Company's tier one capital, determined on a relationship basis.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Competition for Purchased of Loans. </w:t>
      </w:r>
      <w:r>
        <w:rPr>
          <w:rFonts w:ascii="Arial" w:cs="Arial" w:eastAsia="Arial" w:hAnsi="Arial"/>
          <w:sz w:val="18"/>
          <w:szCs w:val="18"/>
          <w:color w:val="auto"/>
        </w:rPr>
        <w:t>The LASG competes primarily with community banks, regional banks and private equity funds operating nationwide.</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we often have a competitive advantage in bidding against private equity funds on performing loans because those funds generally have higher funding costs and, therefore, higher expectations for return on investment than we do. Furthermore, private equity funds typically do not compete for small balance commercial loans and typically pursue larger, bulk transactions.</w:t>
      </w:r>
    </w:p>
    <w:p>
      <w:pPr>
        <w:spacing w:after="0" w:line="197" w:lineRule="exact"/>
        <w:rPr>
          <w:sz w:val="20"/>
          <w:szCs w:val="20"/>
          <w:color w:val="auto"/>
        </w:rPr>
      </w:pPr>
    </w:p>
    <w:p>
      <w:pPr>
        <w:jc w:val="both"/>
        <w:ind w:right="100" w:firstLine="348"/>
        <w:spacing w:after="0" w:line="298" w:lineRule="auto"/>
        <w:rPr>
          <w:sz w:val="20"/>
          <w:szCs w:val="20"/>
          <w:color w:val="auto"/>
        </w:rPr>
      </w:pPr>
      <w:r>
        <w:rPr>
          <w:rFonts w:ascii="Arial" w:cs="Arial" w:eastAsia="Arial" w:hAnsi="Arial"/>
          <w:sz w:val="16"/>
          <w:szCs w:val="16"/>
          <w:color w:val="auto"/>
        </w:rPr>
        <w:t>We believe that we have a competitive advantage in bidding against other banks that purchase commercial loans in the secondary market because we have a specialized group with experience in purchasing commercial real estate loans. Most banks we compete against are community banks looking to acquire loans in their market; these banks usually have specific criteria for their acquisition activities and do not pursue pools with collateral or geographic diversity. We believe that there are a limited number of banks pursuing a similar, nationwide commercial loan acquisition strategy.</w:t>
      </w:r>
    </w:p>
    <w:p>
      <w:pPr>
        <w:spacing w:after="0" w:line="16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Loan Originations. </w:t>
      </w:r>
      <w:r>
        <w:rPr>
          <w:rFonts w:ascii="Arial" w:cs="Arial" w:eastAsia="Arial" w:hAnsi="Arial"/>
          <w:sz w:val="16"/>
          <w:szCs w:val="16"/>
          <w:color w:val="auto"/>
        </w:rPr>
        <w:t>In addition to purchasing loans, the LASG also originates commercial loans on a nationwide basis. Capitalizing on our purchased loan</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LASG is in a position to review and act quickly on a variety of lending opportunities. Risk management, approvals, underwriting and other due diligence for these loans is similar to that for purchased loans, with the exception of the appraisal and documentation process, which mirrors more traditional lenders in employing local attorneys and real estate appraisers to assist in the process. We believe that the LASG has an advantage in originating commercial loans because of its ability to utilize in-house staff to quickly and accurately screen loan opportunities and accelerate the underwriting process.</w:t>
      </w:r>
    </w:p>
    <w:p>
      <w:pPr>
        <w:spacing w:after="0" w:line="170"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i w:val="1"/>
          <w:iCs w:val="1"/>
          <w:color w:val="auto"/>
        </w:rPr>
        <w:t xml:space="preserve">Loan Servicing. </w:t>
      </w:r>
      <w:r>
        <w:rPr>
          <w:rFonts w:ascii="Arial" w:cs="Arial" w:eastAsia="Arial" w:hAnsi="Arial"/>
          <w:sz w:val="16"/>
          <w:szCs w:val="16"/>
          <w:color w:val="auto"/>
        </w:rPr>
        <w:t>We conduct all loan servicing for purchased and originated loans with an in-house team of experienced asset managers who actively</w:t>
      </w:r>
      <w:r>
        <w:rPr>
          <w:rFonts w:ascii="Arial" w:cs="Arial" w:eastAsia="Arial" w:hAnsi="Arial"/>
          <w:sz w:val="16"/>
          <w:szCs w:val="16"/>
          <w:i w:val="1"/>
          <w:iCs w:val="1"/>
          <w:color w:val="auto"/>
        </w:rPr>
        <w:t xml:space="preserve"> </w:t>
      </w:r>
      <w:r>
        <w:rPr>
          <w:rFonts w:ascii="Arial" w:cs="Arial" w:eastAsia="Arial" w:hAnsi="Arial"/>
          <w:sz w:val="16"/>
          <w:szCs w:val="16"/>
          <w:color w:val="auto"/>
        </w:rPr>
        <w:t>manage the loan portfolio. Asset managers initiate and maintain regular borrower contact, and ensure that the loan credit analysis is accurate. Collateral valuations, property inspections, and other collateral characteristics are updated periodically as a result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our ongoing in-house real estate analysis. All asset management activity and analysis is contained within a central database.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Activities</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securities portfolio and short-term investments provide and maintain liquidity, assist in managing the interest rate sensitivity of our balance sheet, and serve as collateral for certain of our obligations. Individual investment decisions are made based on the credit quality of the investment, liquidity requirements, potential returns, cash flow targets, and consistency with our asset/liability management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Deposits have traditionally been the primary source of the Bank's funds for lending and other investment purposes. In addition to deposits, the Bank obtains funds from the amortization and prepayment of loans and mortgage-backed securities, the sale, call or maturity of investment securities, advances from the Federal Home Loan Bank of Boston (the "FHLB"), other term borrowings and cash flows generated by operations.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offer a full line of deposit products to customers in western and south-central Maine through our ten-branch network. Our deposit products consist of demand deposit, NOW, money market, savings and certificate of deposit accounts. Our customers access their funds through ATMs, Mastercard® Debit Cards, Automated Clearing House funds (electronic transfers) and checks. We also offer telephone banking, online banking and bill payment, mobile banking and remote deposit capture services. Interest rates on our deposits are based upon factors that include prevailing loan demand, deposit maturities, alternative costs of funds, interest rates offered by competing financial institutions and other financial service firms, and general economic conditions. At June 30, 2014, we had core deposits of $572.0 million, representing 99.6% of total deposits. We define core deposits as non-maturity deposits and non-brokered insured time deposits.</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online deposit program, ableBanking, provides an additional channel through which to obtain core deposits to support our growth. ableBanking, which was launched in late fiscal 2012 as a division of Northeast Bank, had $63.2 million in money market and time deposits as of June 30, 2014. We also use deposit listing services to gather deposits from time to time, in support of our liquidity and asset/liability management objectives. At June 30, 2014, listing service deposits totaled $148.9 million, bearing a weighted average term of 3.57 years.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While we currently consider core deposits (defined as non-maturity deposits and non-brokered insured time deposits) as our primary source of funding to support asset growth, advances from the FHLB and other sources of wholesale funding remain an important part of our liquidity contingency planning. Northeast Bank may borrow up to 50.0% of its total assets from the FHLB, and borrowings are typically collateralized by mortgage loans and securities pledged to the FHLB. At June 30, 2014, we had $25.4 million of borrowing capacity available immediately, an additional $62.6 million available based on collateral pledged but subject to the purchase of additional FHLB stock, and lastly an additional $213.8 million of availability, subject to both the purchase of additional FHLB stock and the availability of additional collateral. Northeast Bank can also borrow from the Federal Reserve Bank of Boston, with any such borrowing collateralized by consumer loans pledged to the Federal Reserve.</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For the foreseeable future, we expect to rely less on borrowings than other banks of similar size, because of our regulatory commitment to fund 100% of our loans with core deposits, although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availability of FHLB and Federal Reserve Bank of Boston advances and other sources of wholesale funding remain an important part of our liquidity contingency planning.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Technology and Operational Enhancements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Over the past few years, we have made investments in technology and customer service to develop the infrastructure to support the LASG, ableBanking, and the Community Banking Division. In fiscal 2014, we successfully converted the Bank's core banking system from an "in-house" platform to a service-bureau solution offering enhanced features and capabilities. We expect that future investments in technology, customer service and operational support functions will generally be proportionate to our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of June 30, 2014, the Company employed 178 full-time and 17 part-time employees. The Company's employees are not represented by any collective bargaining unit. The Company believes that its relations with its employees are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2014, the Bank had four wholly-owned non-bank subsidiaries:</w:t>
      </w:r>
    </w:p>
    <w:p>
      <w:pPr>
        <w:spacing w:after="0" w:line="239" w:lineRule="exact"/>
        <w:rPr>
          <w:sz w:val="20"/>
          <w:szCs w:val="20"/>
          <w:color w:val="auto"/>
        </w:rPr>
      </w:pPr>
    </w:p>
    <w:p>
      <w:pPr>
        <w:ind w:left="1080" w:right="3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Northeast Bank Insurance Group, Inc. ("NBIG"). The insurance agency assets of NBIG were sold on September 1, 2011. The entity currently holds the real estate formerly used in its insurance agency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200 Elm Realty, LLC, which was established to hold commercial real estate acquired as a result of loan workouts.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500 Pine Realty, LLC, which was established to hold residential real estate acquired as a result of loan workouts.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 Dogwood Realty, LLC, which was established to hold commercial real estate acquired as a result of loan workouts.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Company's wholly-owned subsidiary, ASI Data Services, Inc. (ASI), is an inactive corporate subsidiary. ASI initially provided data processing services to the Company and its subsidiaries. The Company's board transferred the assets and operations of ASI to the Bank in 1996.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a bank holding company registered under the Bank Holding Company Act of 1956, as amended (the "BHCA"), the Company is subject to regulation and supervision by the Federal Reserve. As an FDIC-insured Maine-chartered bank, the Bank is subject to regulation and supervision by the Maine Bureau of Financial Institutions (the "Bureau") and the FDIC. This regulatory framework is intended to protect depositors, the federal deposit insurance fund, consumers and the banking system as a whole, and not necessarily investors in the Company. The following discussion is qualified in its entirety by reference to the full text of the statutes, regulations, policies and guidelines described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Financial Regulatory Reform Legislation</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Dodd-Frank Wall Street Reform and Consumer Protection Act (the "Dodd-Frank Act"), enacted on July 21, 2010, comprehensively reformed the regulation of financial institutions, products and services. Among other things, the Dodd-Frank Act:</w:t>
      </w:r>
    </w:p>
    <w:p>
      <w:pPr>
        <w:spacing w:after="0" w:line="199" w:lineRule="exact"/>
        <w:rPr>
          <w:sz w:val="20"/>
          <w:szCs w:val="20"/>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grants the Federal Reserve increased supervisory authority and codifies the source of strength doctrine, as discussed in more detail in "—Source of Strength" below;</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for new capital standards applicable to the Company, as discussed in more detail in "—Capital Adequacy and Safety and Soundness— Regulatory Capital Requirements" below;</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modifies deposit insurance coverage, as discussed in "—Capital Adequacy and Safety and Soundness—Deposit Insurance" below;</w:t>
      </w:r>
    </w:p>
    <w:p>
      <w:pPr>
        <w:spacing w:after="0" w:line="261" w:lineRule="exact"/>
        <w:rPr>
          <w:rFonts w:ascii="Arial" w:cs="Arial" w:eastAsia="Arial" w:hAnsi="Arial"/>
          <w:sz w:val="16"/>
          <w:szCs w:val="16"/>
          <w:color w:val="auto"/>
        </w:rPr>
      </w:pPr>
    </w:p>
    <w:p>
      <w:pPr>
        <w:jc w:val="both"/>
        <w:ind w:left="1080" w:right="340" w:hanging="532"/>
        <w:spacing w:after="0" w:line="37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bars banking organizations, such as the Company, from engaging in proprietary trading and from sponsoring and investing in hedge funds and private equity funds, except as permitted under certain limited circumstances, as discussed in "—Bank Holding Company Regulation" below;</w:t>
      </w:r>
    </w:p>
    <w:p>
      <w:pPr>
        <w:spacing w:after="0" w:line="143" w:lineRule="exact"/>
        <w:rPr>
          <w:rFonts w:ascii="Arial" w:cs="Arial" w:eastAsia="Arial" w:hAnsi="Arial"/>
          <w:sz w:val="15"/>
          <w:szCs w:val="15"/>
          <w:color w:val="auto"/>
        </w:rPr>
      </w:pPr>
    </w:p>
    <w:p>
      <w:pPr>
        <w:ind w:left="1080" w:right="11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established new corporate governance and proxy disclosure requirements, as discussed in "—Corporate Governance and Executive Compensation" below;</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established the Bureau of Consumer Financial Protection (the "CFPB"), as discussed in "—Consumer Protection Regulation" below;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established new minimum mortgage underwriting standards for residential mortgages, as discussed in "—Mortgage Reform" below;</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authorizes the Federal Reserve to regulate interchange fees for debit card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permits the payment of interest on business demand deposit accounts;</w:t>
      </w:r>
    </w:p>
    <w:p>
      <w:pPr>
        <w:spacing w:after="0" w:line="238"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established and empowered the Financial Stability Oversight Council to designate certain activities as posing a risk to the U.S. financial system and recommend new or heightened standards and safeguards for financial institutions engaging in such activities;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established the Office of Financial Research, which has the power to require reports from financial services companies such as the Company.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Bank Holding Company Regulation</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Unless a bank holding company becomes a financial holding company under the Gramm-Leach-Bliley Act ("GLBA") as discussed below, the BHCA prohibits (with the exceptions noted below in this paragraph) a bank holding company from acquiring a direct or indirect interest in or control of more than 5% of the voting shares of any company that is not a bank or a bank holding company. The BHCA requires every bank holding company to obtain the prior approval of the Federal Reserve before it may acquire substantially all of the assets of any bank, or ownership or control of any voting shares of a bank, if, after such acquisition, it would own or control, directly or indirectly, more than 5% of the voting stock of such bank. In addition, the BHCA prohibits a bank holding company from engaging directly or indirectly in activities other than those of banking, managing or controlling banks or furnishing services to its subsidiary banks. However, a bank holding company may engage in, and may own shares of companies engaged in certain activities, that the Federal Reserve determines to be so closely related to banking or managing and controlling banks so as to be incident thereto. In making such determinations, the Federal Reserve is required to weigh the expected benefit to the public, including such factors as greater convenience, increased competition or gains in efficiency, against the possible adverse effects, such as undue concentration of resources, decreased or unfair competition, conflicts of interests or unsafe or unsound banking practices.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GLBA, bank holding companies are permitted to offer their customers virtually any type of service that is financial in nature or incidental thereto, including banking, securities underwriting, insurance (both underwriting and agency), and merchant banking. Under the Dodd-Frank Act, however, a bank holding company and its affiliates are prohibited from engaging in proprietary trading and from sponsoring and investing in hedge funds and private equity funds, expect as permitted under certain limited circumstances. In order to engage in financial activities under GLBA, a bank holding company must qualify and register with the Federal Reserve as a "financial holding company" by demonstrating that each of its bank subsidiaries is "well capitalized", "well managed," and has at least a "satisfactory" rating under the Community Reinvestment Act of 1977 ("CRA"). Although the Company believes that it meets the qualifications to become a financial holding company under GLBA, it has not elected "financial holding company" status, but rather to retain its pre-GLBA bank holding company regulatory status for the present time.</w:t>
      </w:r>
    </w:p>
    <w:p>
      <w:pPr>
        <w:spacing w:after="0" w:line="17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is required by the BHCA to file an annual report and additional reports required with the Federal Reserve. The Federal Reserve also makes periodic inspections of the Company and its subsidiaries.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is a legal entity separate and distinct from the Bank. The revenue of the Company (on a parent company only basis) is derived primarily from interest and dividends paid to it by the Bank. The right of the Company, and consequently the right of shareholders of the Company, to participate in any distribution of the assets or earnings of the Bank through the payment of such dividends or otherwise is necessarily subject to the prior claims of creditors of the Bank (including depositors), except to the extent that certain claims of the Company in a creditor capacity may be recognized.</w:t>
      </w:r>
    </w:p>
    <w:p>
      <w:pPr>
        <w:spacing w:after="0" w:line="16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It is the policy of the Federal Reserve that bank holding companies should pay dividends only out of current earnings and only if, after paying such dividends, the bank holding company would remain adequately capitalized. The Federal Reserve has the authority to prohibit a bank holding company, such as the Company, from paying dividends if it deems such payment to be an unsafe or unsound practice.</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FDIC has the authority to use its enforcement powers to prohibit a bank from paying dividends if, in its opinion, the payment of dividends would constitute an unsafe or unsound practice. Federal law also prohibits the payment of dividends by a bank that will result in the bank failing to meet its applicable capital requirements on a pro forma basis. Maine law requires the approval of the Bureau for any dividend that would reduce a bank's capital below prescribed limits.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 of Strength</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 Dodd-Frank Act, the Company is required to serve as a source of financial strength for the Bank in the event of the financial distress of the Bank. This provision codifies the longstanding policy of the Federal Reserve. In addition, any capital loans by a bank holding company to any of its bank subsidiaries are subordinate to the payment of deposits and to certain other indebtedness. In the event of a bank holding company's bankruptcy, any commitment by the bank holding company to a federal bank regulatory agency to maintain the capital of a bank subsidiary will be assumed by the bankruptcy trustee and entitled to a priority of payment.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Certain Transactions by Bank Holding Companies with their Affiliates</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There are various statutory restrictions on the extent to which bank holding companies and their non-bank subsidiaries may borrow, obtain credit from or otherwise engage in "covered transactions" with their insured depository institution subsidiaries. The Dodd-Frank Act amended the definition of affiliate to include an investment fund for which the depository institution or one of its affiliates is an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investment adviser. An insured depository institution (and its subsidiaries) may not lend money to, or engage in covered transactions with, its non-depository institution affiliates if the aggregate amount of covered transactions outstanding involving the bank, plus the proposed transaction exceeds the following limits:</w:t>
      </w:r>
    </w:p>
    <w:p>
      <w:pPr>
        <w:ind w:right="80" w:firstLine="8"/>
        <w:spacing w:after="0" w:line="286" w:lineRule="auto"/>
        <w:tabs>
          <w:tab w:leader="none" w:pos="2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any one such affiliate, the aggregate amount of covered transactions of the insured depository institution and its subsidiaries cannot exceed 10% of the capital stock and surplus of the insured depository institution; and (b) in the case of all affiliates, the aggregate amount of covered transactions of the insured depository institution and its subsidiaries cannot exceed 20% of the capital stock and surplus of the insured depository institution. For this purpose, "covered transactions" are defined by statute to include a loan or extension of credit to an affiliate, a purchase of or investment in securities issued by an affiliate, a purchase of assets from an affiliate unless exempted by the Federal Reserve, the acceptance of securities issued by an affiliate as collateral for a loan or extension of credit to any person or company, the issuance of a guarantee, acceptance or letter of credit on behalf of an affiliate, securities borrowing or lending transactions with an affiliated that creates a credit exposure to such affiliate, or a derivatives transaction with an affiliate that creates a credit exposure to such affiliate. Covered transactions are also subject to certain collateral security requirements. Covered transactions as well as other types of transactions between a bank and a bank holding company must be on market terms and not otherwise unduly favorable to the holding company or an affiliate of the holding company. Moreover, Section 106 of the BHCA provides that, to further competition, a bank holding company and its subsidiaries are prohibited from engaging in certain tying arrangements in connection with any extension of credit, lease or sale of property of any kind, or furnishing of any service.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Regulation of the Bank</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a Maine-chartered bank, the Bank is subject to the supervision of and regulation by the Bureau and the FDIC, as the Bank's insurer of deposits. This supervision and regulation is for the protection of depositors, the FDIC's Deposit Insurance Fund ("DIF"), and consumers, and is not for the protection of the Company's shareholders. The prior approval of the Bureau and the FDIC is required, among other things, for the Bank to establish or relocate an additional branch office, assume deposits, or engage in any merger, consolidation, purchase or sale of all or substantially all of the assets of any bank. Under the Dodd-Frank Act, the Federal Reserve may directly examine the subsidiaries of the Company, including the Bank.</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 Adequacy and Safety and Soundness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Regulatory Capital Requirements. </w:t>
      </w:r>
      <w:r>
        <w:rPr>
          <w:rFonts w:ascii="Arial" w:cs="Arial" w:eastAsia="Arial" w:hAnsi="Arial"/>
          <w:sz w:val="18"/>
          <w:szCs w:val="18"/>
          <w:color w:val="auto"/>
        </w:rPr>
        <w:t>The Federal Reserve has issued risk-based and leverage capital guidelines applicable to United States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In addition, the Federal Reserve may from time to time require that a banking organization maintain capital above the minimum levels, due to the banking organization's financial condition or actual or anticipated growth.</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Current Federal Reserve risk-based guidelines define a three-tier capital framework. Tier 1 capital for bank holding companies generally consists of the sum of common shareholders' equity, perpetual preferred stock and trust preferred securities (both subject to certain limitations and, in the case of the latter, to specific limitations on the kind and amount of such securities which may be included as Tier 1 capital and certain additional restrictions described below), and minority interests in the equity accounts of consolidated subsidiaries, less goodwill and other non-qualifying intangible assets. Pursuant to the Dodd-Frank Act, trust preferred securities issued after May 19, 2010, will not count as Tier 1 capital; however, under the Dodd-Frank Act, the Company's currently outstanding trust preferred securities were grandfathered for Tier 1 eligibility. Tier 2 capital generally consists of hybrid capital instruments, perpetual debt and mandatory convertible debt securities; perpetual preferred stock and trust preferred securities, to the extent it is not eligible to be included as Tier 1 capital; term subordinated debt and intermediate-term preferred stock; and, subject to limitations, general allowances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for loan losses. The sum of Tier 1 and Tier 2 capital less certain required deductions, such as investments in unconsolidated banking or finance subsidiaries, represents qualifying total capital. Risk-based capital ratios are calculated by dividing Tier 1 and total capital, respectively, by risk-weighted assets. Assets and off-balance sheet credit equivalents are assigned to one of four categories of risk-weights, based primarily on relative credit risk. The minimum Tier 1 risk-based capital ratio is 4% and the minimum total risk-based capital ratio is 8%. As of June 30, 2014, the Company's Tier 1 risk-based capital ratio was 23.41% and its total risk-based capital ratio was 23.69%. The Company is currently considered "well capitalized" under all regulatory definitions.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is 4.0%. Bank holding companies with supervisory, financial, operational or managerial weaknesses, as well as bank holding companies that are anticipating or experiencing significant growth, are expected to maintain capital ratios well above the minimum levels. As discussed in "—Overview" above, the Company and the Bank made certain commitments to the Federal Reserve in connection with the merger of the Company and FHB Formation LLC, including a commitment to maintain a Tier 1 leverage ratio of at least 10.0%. The Company's leverage capital ratio as of June 30, 2014 was 15.90%.</w:t>
      </w:r>
    </w:p>
    <w:p>
      <w:pPr>
        <w:spacing w:after="0" w:line="172"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FDIC has adopted a statement of policy regarding the capital adequacy of state-chartered banks and promulgated regulations to implement the system of prompt corrective action established by Section 38 of the Federal Deposit Insurance Act ("FDIA"). Under these regulations, a bank is "well capitalized" if it has:</w:t>
      </w: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total risk-based capital ratio of 10.0% or greater; (ii) a Tier 1 risk-based capital ratio of 6.0% or greater; (iii) a leverage capital ratio of 5.0% or greater; and</w:t>
      </w:r>
    </w:p>
    <w:p>
      <w:pPr>
        <w:spacing w:after="0" w:line="32" w:lineRule="exact"/>
        <w:rPr>
          <w:rFonts w:ascii="Arial" w:cs="Arial" w:eastAsia="Arial" w:hAnsi="Arial"/>
          <w:sz w:val="16"/>
          <w:szCs w:val="16"/>
          <w:color w:val="auto"/>
        </w:rPr>
      </w:pPr>
    </w:p>
    <w:p>
      <w:pPr>
        <w:ind w:right="160" w:firstLine="8"/>
        <w:spacing w:after="0" w:line="302" w:lineRule="auto"/>
        <w:tabs>
          <w:tab w:leader="none" w:pos="2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 not subject to any written agreement, order, capital directive or prompt corrective action directive to meet and maintain a specific capital level for any capital measure. A bank is "adequately capitalized" if it has: (1) a total risk-based capital ratio of 8.0% or greater; (2) a Tier 1 risk-based capital ratio of 4.0% or greater; and (3) a leverage capital ratio of 4.0% or greater (3.0% under certain circumstances) and does not meet the definition of a "well capitalized bank."</w:t>
      </w:r>
    </w:p>
    <w:p>
      <w:pPr>
        <w:spacing w:after="0" w:line="163"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FDIC also must take into consideration: (i) concentrations of credit risk; (ii) interest rate risk; and (iii) risks from non-traditional activities, as well as an institution's ability to manage those risks, when determining the adequacy of an institution's capital. This evaluation will be made as a part of the institution's regular safety and soundness examination. The Bank is currently considered well-capitalized under all regulatory definitions.</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Generally, a bank, upon receiving notice that it is not adequately capitalized (i.e., that it is "undercapitalized"), becomes subject to the prompt corrective action provisions of Section 38 of FDIA that, for example, (i) restrict payment of capital distributions and management fees, (ii) require that the Federal Reserve monitor the condition of the institution and its efforts to restore its capital, (iii) require submission of a capital restoration plan, (iv) restrict the growth of the institution's assets and (v) require prior regulatory approval of certain expansion proposals. A bank that is required to submit a capital restoration plan must concurrently submit a performance guarantee by each company that controls the bank. A bank that is "critically undercapitalized" (i.e., has a ratio of tangible equity to total assets that is equal to or less than 2.0%) will be subject to further restrictions, and generally will be placed in conservatorship or receivership within 90 days.</w:t>
      </w:r>
    </w:p>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Basel Committee on Banking Supervision has also released new capital requirements, known as Basel III, setting forth higher capital requirements, enhanced risk coverage, a global leverage ratio, provisions for counter-cyclical capital, and liquidity standards. On July 2, 2013, the Federal Reserve, along with the other federal banking agencies, issued a final rule (the "Final Capital Rule") implementing the Basel III capital standards and establishing the minimum capital requirements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banks and bank holding companies required under the Dodd-Frank Act. The majority of the provisions of the Final Capital Rule apply to bank holding companies and banks with consolidated assets of $500 million or more, such as the Company and the Bank. The Final Capital Rule establishes a new capital risk-based capital ratio, a minimum common equity Tier 1 capital ratio of 6.5% of risk-weighted assets to be a "well capitalized" institution, and increase the minimum total Tier 1 capital ratio to be a "well capitalized institution from 6.0% to 8.0%. Additionally, the Final Capital Rule requires that an institution establish a capital conservation buffer of common equity Tier 1 capital in an amount above the minimum risk-based capital requirements equal to 2.5% of total risk weighted assets. The Final Capital Rule revises certain capital definitions and generally makes the capital requirements more stringent. Further, the Final Capital Rule increases the required capital for certain categories of assets, including higher-risk construction real estate loans and certain exposures related to securitizations. Under the Final Capital Rule, the Company may make a one-time, permanent election to continue to exclude accumulated other comprehensive income from capital. If the Company does not make this election, unrealized gains and losses would be included in the calculation of its regulatory capital. The Company must comply with the Final Capital Rule beginning on January 1, 2015.</w:t>
      </w:r>
    </w:p>
    <w:p>
      <w:pPr>
        <w:spacing w:after="0" w:line="177"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i w:val="1"/>
          <w:iCs w:val="1"/>
          <w:color w:val="auto"/>
        </w:rPr>
        <w:t xml:space="preserve">Deposit Insurance. </w:t>
      </w:r>
      <w:r>
        <w:rPr>
          <w:rFonts w:ascii="Arial" w:cs="Arial" w:eastAsia="Arial" w:hAnsi="Arial"/>
          <w:sz w:val="15"/>
          <w:szCs w:val="15"/>
          <w:color w:val="auto"/>
        </w:rPr>
        <w:t>Substantially all of the deposits of the Bank are insured up to applicable limits by the DIF and are subject to deposit insurance</w:t>
      </w:r>
      <w:r>
        <w:rPr>
          <w:rFonts w:ascii="Arial" w:cs="Arial" w:eastAsia="Arial" w:hAnsi="Arial"/>
          <w:sz w:val="15"/>
          <w:szCs w:val="15"/>
          <w:i w:val="1"/>
          <w:iCs w:val="1"/>
          <w:color w:val="auto"/>
        </w:rPr>
        <w:t xml:space="preserve"> </w:t>
      </w:r>
      <w:r>
        <w:rPr>
          <w:rFonts w:ascii="Arial" w:cs="Arial" w:eastAsia="Arial" w:hAnsi="Arial"/>
          <w:sz w:val="15"/>
          <w:szCs w:val="15"/>
          <w:color w:val="auto"/>
        </w:rPr>
        <w:t>assessments to maintain the DIF. Pursuant to the Dodd-Frank Act, FDIC deposit insurance has been permanently increased from $100,000 to $250,000 per depositor. The FDIA, as amended by the Federal Deposit Insurance Reform Act and the Dodd-Frank Act, requires the FDIC to set a ratio of deposit insurance reserves to estimated insured deposits of the Bank—the designated reserve ratio—of 1.35%. The FDIC utilizes a risk-based assessment system that imposes insurance premiums based upon a risk matrix that takes into account a bank's capital level and supervisory rating ("CAMELS rating"). CAMELS ratings reflect the applicable bank regulatory agency to applicable limits by the DIF and are subject to deposit, management, earnings, liquidity and sensitivity to risk. Assessment rates may also vary for certain institutions based on long term debt issuer ratings, secured or brokered deposits. Pursuant to the Dodd-Frank Act, deposit premiums are based on assets rather than insurable deposits. To determine its actual deposit insurance premiums, the Bank computes the base amount on its average consolidated assets less its average tangible equity (defined as the amount of Tier 1 capital) and its applicable assessment rate. Assessment rates range from 2.5 to 9 basis points on the broader assessment base for banks in the lowest risk category up to 30 to 45 basis points for banks in the highest risk category.</w:t>
      </w:r>
    </w:p>
    <w:p>
      <w:pPr>
        <w:spacing w:after="0" w:line="163"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39" w:lineRule="exact"/>
        <w:rPr>
          <w:sz w:val="20"/>
          <w:szCs w:val="20"/>
          <w:color w:val="auto"/>
        </w:rPr>
      </w:pPr>
    </w:p>
    <w:p>
      <w:pPr>
        <w:ind w:right="60" w:firstLine="351"/>
        <w:spacing w:after="0" w:line="309" w:lineRule="auto"/>
        <w:rPr>
          <w:sz w:val="20"/>
          <w:szCs w:val="20"/>
          <w:color w:val="auto"/>
        </w:rPr>
      </w:pPr>
      <w:r>
        <w:rPr>
          <w:rFonts w:ascii="Arial" w:cs="Arial" w:eastAsia="Arial" w:hAnsi="Arial"/>
          <w:sz w:val="15"/>
          <w:szCs w:val="15"/>
          <w:i w:val="1"/>
          <w:iCs w:val="1"/>
          <w:color w:val="auto"/>
        </w:rPr>
        <w:t xml:space="preserve">Safety and Soundness Standard. </w:t>
      </w:r>
      <w:r>
        <w:rPr>
          <w:rFonts w:ascii="Arial" w:cs="Arial" w:eastAsia="Arial" w:hAnsi="Arial"/>
          <w:sz w:val="15"/>
          <w:szCs w:val="15"/>
          <w:color w:val="auto"/>
        </w:rPr>
        <w:t>The FDIA requires the federal bank regulatory agencies to prescribe standards, by regulations or guidelines, relating to</w:t>
      </w:r>
      <w:r>
        <w:rPr>
          <w:rFonts w:ascii="Arial" w:cs="Arial" w:eastAsia="Arial" w:hAnsi="Arial"/>
          <w:sz w:val="15"/>
          <w:szCs w:val="15"/>
          <w:i w:val="1"/>
          <w:iCs w:val="1"/>
          <w:color w:val="auto"/>
        </w:rPr>
        <w:t xml:space="preserve"> </w:t>
      </w:r>
      <w:r>
        <w:rPr>
          <w:rFonts w:ascii="Arial" w:cs="Arial" w:eastAsia="Arial" w:hAnsi="Arial"/>
          <w:sz w:val="15"/>
          <w:szCs w:val="15"/>
          <w:color w:val="auto"/>
        </w:rPr>
        <w:t>internal controls, information systems and internal audit systems, loan documentation, credit underwriting, interest rate risk exposure, asset growth, asset quality, earnings, stock valuation and compensation, fees and benefits, and such other operational and managerial standards as the agencies deem appropriate. Guidelines adopted by the federal bank regulatory agencies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the federal banking agencies adopted regulations that authorize, but do not require, an agency to order an institution that has been given notice by an agency that it is not satisfying any of such safety and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FDIA. See "—Regulatory Capital Requirements" above. If an institution fails to comply with such an order, the agency may seek to enforce such order in judicial proceedings and to impose civil money penalties.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Depositor Preference. </w:t>
      </w:r>
      <w:r>
        <w:rPr>
          <w:rFonts w:ascii="Arial" w:cs="Arial" w:eastAsia="Arial" w:hAnsi="Arial"/>
          <w:sz w:val="16"/>
          <w:szCs w:val="16"/>
          <w:color w:val="auto"/>
        </w:rPr>
        <w:t>The FDIA provides that, in the event of the "liquidation or other resolution" of an insured depository institution, the claims of</w:t>
      </w:r>
      <w:r>
        <w:rPr>
          <w:rFonts w:ascii="Arial" w:cs="Arial" w:eastAsia="Arial" w:hAnsi="Arial"/>
          <w:sz w:val="16"/>
          <w:szCs w:val="16"/>
          <w:i w:val="1"/>
          <w:iCs w:val="1"/>
          <w:color w:val="auto"/>
        </w:rPr>
        <w:t xml:space="preserve"> </w:t>
      </w:r>
      <w:r>
        <w:rPr>
          <w:rFonts w:ascii="Arial" w:cs="Arial" w:eastAsia="Arial" w:hAnsi="Arial"/>
          <w:sz w:val="16"/>
          <w:szCs w:val="16"/>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Activities and Investments of Insured State Banks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powers of a Maine-chartered bank, such as the Bank, include provisions designed to provide Maine banks with competitive equity to the powers of national banks. GLBA includes a section of the FDIA governing subsidiaries of state banks that engage in "activities as principal that would only be permissible" for a national bank to conduct in a financial subsidiary. This provision permits state banks, to the extent permitted under state law, to engage in certain new activities, which are permissible for subsidiaries of a financial holding company. Further, it expressly preserves the ability of a state bank to retain all existing subsidiaries. Because Maine law explicitly permits banks chartered by the state to engage in all activities permissible for federally-chartered banks, the Bank is permitted to form subsidiaries to engage in the activities authorized by GLBA. In order to form a financial subsidiary, a state bank must be well-capitalized, and the state bank would be subject to certain capital deduction, risk management and affiliate transaction rules.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5"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Company and the Bank are subject to a number of federal and state laws designed to protect consumers and prohibit unfair or deceptive business practices. These laws include the Equal Credit Opportunity Act, the Fair Housing Act, Home Ownership Protection Act, the Fair Credit Reporting Act, as amended by the Fair and Accurate Credit Transactions Act of 2003 ("FACT Act"), GLBA, the Truth in Lending Act, CRA, the Home Mortgage Disclosure Act, the Real Estate Settlement Procedures Act, the National Flood Insurance Act, Electronic Funds Transfer Act, Truth in Savings Act, Secure and Fair Enforcement Act, Expedited Funds Availability Act, and various state law counterparts. These laws and regulations mandate certain disclosure requirements and regulate the manner in which financial institutions must interact with customers when taking deposits, making loans, collecting loans and providing other services. Further, the Dodd-Frank Act established the CFPB, which has the responsibility for making rules and regulations under the federal consumer protection laws relating to financial products and services. The CFPB also has a broad mandate to prohibit unfair or deceptive acts and practices and is specifically empowered to require certain disclosures to consumers and draft model disclosure forms. Failure to comply with consumer protection laws and regulations can subject financial institutions to enforcement actions, fines and other penalties. The FDIC examines the Bank for compliance with CFPB rules and enforces CFPB rules with respect to the Bank.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Reform</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Dodd-Frank Act prescribes certain standards that mortgage lenders must consider before making a residential mortgage loan, including verifying a borrower's ability to repay such mortgage loan. The Dodd-Frank Act also allows borrowers to assert violations of certain provisions of the Truth-in-Lending Act as a defense to foreclosure proceedings. Under the Dodd-Frank Act, prepayment penalties are prohibited for certain mortgage transactions and creditors are prohibited from financing insurance policies in connection with a residential mortgage loan or home equity line of credit. The Dodd-Frank Act requires mortgage lenders to make additional disclosures prior to the extension of credit, in each billing statement and for negative amortization loans and hybrid adjustable rate mortgages. Additionally, the Dodd-Frank Act prohibits mortgage originators from receiving compensation based on the terms of residential mortgage loans and generally limits the ability of a mortgage originator to be compensated by others if compensation is received from a consumer.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Privacy and Customer Information Security</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GLBA requires financial institutions to implement policies and procedures regarding the disclosure of nonpublic personal information about consumers to nonaffiliated third parties. In general, the Bank must provide its customers with an annual disclosure that explains its policies and procedures regarding the disclosure of such nonpublic personal information and, except as otherwise required or permitted by law, the Bank is prohibited from disclosing such information except as provided in such policies and procedures. GLBA also requires that the Bank develop, implement and maintain a comprehensive written information security program designed to ensure the security and confidentiality of customer information (as defined under GLBA), to protect against anticipated threats or hazards to the security or integrity of such information; and to protect against unauthorized access to or use of such information that could result in substantial harm or inconvenience to any customer. The Bank is also required to send a notice to customers whose "sensitive information" has been compromised if unauthorized use of this information is "reasonably possible." Most states, including Maine, have enacted legislation concerning breaches of data security and the duties of the Bank in response to a data breach. Congress continues to consider federal legislation that would require consumer notice of data security breaches. Pursuant to the FACT Act, the Bank must also develop and implement a written identity theft prevention program to detect, prevent, and mitigate identity theft in connection with the opening of certain accounts or certain existing accounts. Additionally, the FACT Act amends the Fair Credit Reporting Act to generally prohibit a person from using information received from an affiliate to make a solicitation for marketing purposes to a consumer, unless the consumer is given notice and a reasonable opportunity and a reasonable and simple method to opt out of the making of such solicitations.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Regulatory Enforcement Authority</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enforcement powers available to the federal banking agencies include, among other things, the ability to assess civil money penalties, to issue cease and desist or removal orders and to initiate injunctive actions against banking organizations and institution-affiliated parties, as defined. In general, these enforcement actions may be initiated for violations of law and regulations and unsafe or unsound practices. Other actions or inactions may provide the basis for enforcement action, including misleading or untimely reports filed with regulatory authorities. Under certain circumstances, federal and state law requires public disclosure and reports of certain criminal offenses and also final enforcement actions by the federal banking agencies.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Community Reinvestment Act</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CRA, regulatory authorities review the performance of the Bank in meeting the credit needs of the communities it serves. The applicable regulatory authorities consider compliance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with this law in connection with the applications for, among other things, approval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branches, branch relocations and acquisitions of banks and bank holding companies. The Bank received a "satisfactory" rating at its CRA examination dated June 10, 2013, its most recent exam.</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Failure of an institution to receive at least a "satisfactory" rating could inhibit such institution or its holding company from undertaking certain activities, including engaging in activities newly permitted as a financial holding company under GLBA, and acquisitions of other financial institutions. The FDIC must take into account the record of performance of banks in meeting the credit needs of the entire community served, including low- and moderate-income neighborhoods. Current CRA regulations for large banks primarily rely on objective criteria of the performance of institutions under three key assessment tests: a lending test, a service test and an investment test. For smaller banks, current CRA regulations primarily evaluate the performance of institutions under two key assessment tests: a lending test and a community development test. The Company is committed to meeting the existing or anticipated credit needs of its entire community, including low- and moderate-income neighborhoods, consistent with safe and sound banking operations.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Branching and Acquisitions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Riegle-Neal Interstate Banking and Branching Efficiency Act of 1994, as amended ("Riegle-Neal") and the Dodd-Frank Act permit well capitalized and well managed bank holding companies, as determined by the Federal Reserve, to acquire banks in any state subject to certain concentration limits and other conditions. Riegle-Neal also generally authorizes the interstate merger of banks. In addition, among other things, Riegle-Neal and the Dodd-Frank Act permit banks to establish new branches on an interstate basis to the same extent a bank chartered by the host state may establish branches. Bank holding companies and banks are required to obtain prior Federal Reserve approval to acquire more than 5% of a class of voting securities, or substantially all of the assets, of a bank holding company, bank or savings association.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Anti-Money Laundering and the Bank Secrecy Act</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Under the Bank Secrecy Act ("BSA"), a financial institution is required to have systems in place to detect certain transactions, based on the size and nature of the transaction. Financial institutions are generally required to report to the United States Treasury any cash transactions involving more than $10,000. In addition, financial institutions are required to file suspicious activity reports for transactions that involve more than $5,000 and which the financial institution knows, suspects or has reason to suspect involves illegal funds, is designed to evade the requirements of the BSA or has no lawful purpose. The Uniting and Strengthening America by Providing Appropriate Tools Required to Intercept and Obstruct Terrorism Act of 2001 (the "USA PATRIOT Act"), which amended the BSA, is designed to deny terrorists and others the ability to obtain anonymous access to the U.S. financial system. The USA PATRIOT Act has significant implications for financial institutions and businesses of other types involved in the transfer of money. The USA PATRIOT Act, together with the implementing regulations of various federal regulatory agencies, has caused financial institutions, such as the Bank, to adopt and implement additional policies or amend existing policies and procedures with respect to, among other things, anti-money laundering compliance, suspicious activity, currency transaction reporting, customer identity verification and customer risk analysis. In evaluating an application under Section 3 of the BHCA to acquire a bank or an application under the Bank Merger Act to merge banks or affect a purchase of assets and assumption of deposits and other liabilities, the applicable federal banking regulator must consider the anti-money laundering compliance record of both the applicant and the target.</w:t>
      </w:r>
    </w:p>
    <w:p>
      <w:pPr>
        <w:spacing w:after="0" w:line="178"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United States has imposed economic sanctions that affect transactions with designated foreign countries, nationals and others. These sanctions, which are administered by the Treasury Office of Foreign Assets Control ("OFAC"), take many different forms. Generally, however, they contain one or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(for example, property and bank deposits) cannot be paid out, withdrawn, set off or transferred in any manner without a license from OFAC.</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Federal Home Loan Bank System</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Bank is a member of the Federal Home Loan Bank of Boston (the "FHLBB"), which is one of the regional Federal Home Loan Banks comprising the Federal Home Loan Bank System. Each Federal Home Loan Bank provides a central credit facility primarily for member institutions. Member institutions are required to acquire and hold shares of capital stock in the FHLBB in an amount at least equal to the sum of 0.35% of the aggregate principal amount of its unpaid residential mortgage loans and similar obligations at the beginning of each year and 4.5% of its advances (borrowings) from the FHLBB. The Bank was in compliance with this requirement with an investment in FHLBB stock as of June 30, 2014 of $4.1 million. The Bank receives dividends on its FHLBB stock. The FHLBB has recently declared dividends equal to an annual yield of approximately the daily average three-month LIBOR yield for the quarter for which the dividend has been declared. Dividend income on FHLBB stock of $40 thousand was recorded during the most recent fiscal year.</w:t>
      </w:r>
    </w:p>
    <w:p>
      <w:pPr>
        <w:spacing w:after="0" w:line="172"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Any advances from the FHLBB must be secured by specified types of collateral, and long-term advances may be used for the purpose of providing funds for residential housing finance, commercial lending and to purchase investments. Long term advances may also be used to help manage interest rate risk for asset and liability management purposes. As of June 30, 2014, the Bank had $42.5 million in outstanding FHLBB advances.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following risks and uncertainties, together with all other information in this prospectus, including our consolidated financial statements and related notes, before investing in our common stock. Any of the risk factors we describe below could adversely affect our business, financial condition or results of operations. The trading price of our voting common stock could decline if one or more of these risks or uncertainties actually occurs, causing you to lose all or part of your investment. Certain statements below are forward-looking statements. See "A Note About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are subject to regulatory conditions that could constrain our ability to grow our business.</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conjunction with the regulatory approvals received for the merger with FHB Formation LLC, we committed to maintain a Tier 1 leverage ratio of at least 10%, fund 100% of our loans with core deposits, limit purchased loans to 40% of total loans and hold commercial real estate loans to within 300% of total risk-based capital. Core deposits, for purposes of this commitment, are defined as non-brokered non-maturity deposits and non-brokered insured time deposits. At June 30, 2014, the ratio of our purchased loans to total loans was 38.5%. Our ability to purchase loans will be dependent on our ability to grow our originated loan portfolio. To the extent our ability to originate loans is constrained by market forces or for any other reason, our ability to execute our loan acquisition strategy would be similarly constrained.</w:t>
      </w:r>
    </w:p>
    <w:p>
      <w:pPr>
        <w:spacing w:after="0" w:line="198" w:lineRule="exact"/>
        <w:rPr>
          <w:sz w:val="20"/>
          <w:szCs w:val="20"/>
          <w:color w:val="auto"/>
        </w:rPr>
      </w:pPr>
    </w:p>
    <w:p>
      <w:pPr>
        <w:ind w:right="380" w:firstLine="395"/>
        <w:spacing w:after="0" w:line="268" w:lineRule="auto"/>
        <w:rPr>
          <w:sz w:val="20"/>
          <w:szCs w:val="20"/>
          <w:color w:val="auto"/>
        </w:rPr>
      </w:pPr>
      <w:r>
        <w:rPr>
          <w:rFonts w:ascii="Arial" w:cs="Arial" w:eastAsia="Arial" w:hAnsi="Arial"/>
          <w:sz w:val="18"/>
          <w:szCs w:val="18"/>
          <w:b w:val="1"/>
          <w:bCs w:val="1"/>
          <w:i w:val="1"/>
          <w:iCs w:val="1"/>
          <w:color w:val="auto"/>
        </w:rPr>
        <w:t>If our allowance for loan losses is not sufficient to absorb actual losses or if we are required to increase our allowance, our financial condition and results of operations could be adversely affected.</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exposed to the risk that our borrowers may default on their obligations. A borrower's default on its obligations under one or more loans of the Bank may result in lost principal and interest income and increased operating expenses as a result of the allocation of management time and resources to the collection and work-out of the loan. In certain situations, where collection efforts are unsuccessful or acceptable work-out arrangements cannot be reached, the Bank may have to write off the loan in whole or in part. In such situations, the Bank may acquire real estate or other assets, if any, that secure the loan through foreclosure or other similar available remedies, and often the amount owed under the defaulted loan exceeds the value of the assets acquired.</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periodically make a determination of an allowance for loan losses based on available information, including, but not limited to, our historical loss experience, the quality of the loan portfolio, certain economic conditions, the value of the underlying collateral, expected cash flows from purchased loans, and the level of non-accruing and criticized loans. We rely on our loan quality reviews, our experience and our evaluation of economic conditions, among other factors, in determining the amount of provision required for the allowance for loan losses. Provisions to this allowance result in an expense for the period. If, as a result of general economic conditions, previously incorrect assumptions, or an increase in defaulted loans, we determine that additional increases in the allowance for loan losses are necessary, we will incur additional expenses.</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Determining the allowance for loan losses inherently involves a high degree of subjectivity and requires us to make significant estimates of current credit risks and future trends, all of which may undergo material changes. At any time, there are likely to be loans in our portfolio that will result in losses but that have not been identified as nonperforming or potential problem credits. We cannot be sure that we will be able to identify deteriorating credits before they become nonperforming assets or that we will be able to limit losses on those loans that are identified. We have in the past been, and in the future may be, required to increase our allowance for loan losses for any of several reasons. State and federal regulators, in reviewing our loan portfolio as part of a regulatory examination, may request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that we increase our allowance for loan losses. Changes in economic conditions affecting borrowers, new information regarding existing loans, identification of additional problem loans and other factors, both within and outside of our control, may require an increase in our allowance for loan losses. In addition, if charge-offs in future periods exceed those estimated in our determination of our allowance for loan losses, we will need additional increases in our allowance for loan losses. Any increases in our allowance for loan losses will result in a decrease in our net income and, possibly, our capital, and could have an adverse effect on our financial condition and results of operations.</w:t>
      </w:r>
    </w:p>
    <w:p>
      <w:pPr>
        <w:spacing w:after="0" w:line="197" w:lineRule="exact"/>
        <w:rPr>
          <w:sz w:val="20"/>
          <w:szCs w:val="20"/>
          <w:color w:val="auto"/>
        </w:rPr>
      </w:pPr>
    </w:p>
    <w:p>
      <w:pPr>
        <w:ind w:right="140" w:firstLine="389"/>
        <w:spacing w:after="0" w:line="268" w:lineRule="auto"/>
        <w:rPr>
          <w:sz w:val="20"/>
          <w:szCs w:val="20"/>
          <w:color w:val="auto"/>
        </w:rPr>
      </w:pPr>
      <w:r>
        <w:rPr>
          <w:rFonts w:ascii="Arial" w:cs="Arial" w:eastAsia="Arial" w:hAnsi="Arial"/>
          <w:sz w:val="18"/>
          <w:szCs w:val="18"/>
          <w:b w:val="1"/>
          <w:bCs w:val="1"/>
          <w:i w:val="1"/>
          <w:iCs w:val="1"/>
          <w:color w:val="auto"/>
        </w:rPr>
        <w:t>A significant portion of loans held in our loan portfolio were originated by third parties, and such loans may not have been subject to the same level of due diligence that Northeast Bank would have conducted had it originated the loans.</w:t>
      </w:r>
    </w:p>
    <w:p>
      <w:pPr>
        <w:spacing w:after="0" w:line="186"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At June 30, 2014, 39% of the loans held in our loan portfolio were originated by third parties, and therefore may not have been subject to the same level of due diligence that Northeast Bank would have conducted had it originated the loans. Although the Loan Acquisition and Servicing Group conducts a comprehensive review of all loans that it purchases, loans originated by third parties may lack current financial information and may have incomplete legal documentation and outdated appraisals. As a result, the Loan Acquisition and Servicing Group may not have information with respect to an acquired loan which, if known at the time of acquisition, would have caused it to reduce its bid price or not bid for the loan at all. This may adversely affect our yield on loans or cause us to increase our provision for loan losses.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experience with loans held in our loan portfolio that were originated by third parties is limited.</w:t>
      </w:r>
    </w:p>
    <w:p>
      <w:pPr>
        <w:spacing w:after="0" w:line="225" w:lineRule="exact"/>
        <w:rPr>
          <w:sz w:val="20"/>
          <w:szCs w:val="20"/>
          <w:color w:val="auto"/>
        </w:rPr>
      </w:pPr>
    </w:p>
    <w:p>
      <w:pPr>
        <w:ind w:right="80" w:firstLine="341"/>
        <w:spacing w:after="0" w:line="335" w:lineRule="auto"/>
        <w:rPr>
          <w:sz w:val="20"/>
          <w:szCs w:val="20"/>
          <w:color w:val="auto"/>
        </w:rPr>
      </w:pPr>
      <w:r>
        <w:rPr>
          <w:rFonts w:ascii="Arial" w:cs="Arial" w:eastAsia="Arial" w:hAnsi="Arial"/>
          <w:sz w:val="15"/>
          <w:szCs w:val="15"/>
          <w:color w:val="auto"/>
        </w:rPr>
        <w:t>At June 30, 2014, the 39% of the loans held in our loan portfolio that were originated by third parties had been held by us for approximately 1.3 years, calculated on a weighted average basis. Consequently, we have had only a relatively short period of time to evaluate the performance of those loans and the price at which we purchased them. Further experience with these loans may provide us with information that could cause us to increase our provision for loan losses.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loan portfolio includes commercial loans, which are generally riskier than other types of loans.</w:t>
      </w:r>
    </w:p>
    <w:p>
      <w:pPr>
        <w:spacing w:after="0" w:line="225"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At June 30, 2014, our commercial real estate mortgage and commercial business loan portfolios comprised 69% of total loans. Commercial loans generally carry larger loan balances and involve a higher risk of nonpayment or late payment than residential mortgage loans. These loans, and purchased loans in particular, may lack standardized terms and may include a balloon payment feature. Moreover, some of these loans may be secured by assets located outside of the Community Banking Division's market area. The ability of a borrower to make or refinance a balloon payment may be affected by a number of factors, including the financial condition of the borrower, prevailing economic conditions and prevailing interest rates. Repayment of these loans is generally more dependent on the economy and the successful operation of a business. Because of the risks associated with commercial loans, we may experience higher rates of default than if the portfolio were more heavily weighted toward residential mortgage loans. Higher rates of default could have an adverse effect on our financial condition and results of operations.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Environmental liability associated with our lending activities could result in losses.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course of business, we may acquire, through foreclosure, properties securing loans we have originated or purchased that are in default. Particularly in commercial real estate lending, there is a risk that hazardous substances could be discovered on these properties. In this event, we might be required to remove these substances from the affected properties at our sole cost and expense. The cost of this removal could substantially exceed the value of affected properties. We may not have adequate remedies against the prior owner or other responsible parties and could find it difficult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impossible to sell the affected properties. These events could have an adverse effect on our financial condition and results of operations.</w:t>
      </w:r>
    </w:p>
    <w:p>
      <w:pPr>
        <w:spacing w:after="0" w:line="225"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b w:val="1"/>
          <w:bCs w:val="1"/>
          <w:i w:val="1"/>
          <w:iCs w:val="1"/>
          <w:color w:val="auto"/>
        </w:rPr>
        <w:t>We may not be able to attract and retain qualified key employees, which could adversely affect our business prospects, including our competitive position and results of operations.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success is dependent upon our ability to attract and retain highly skilled individuals. There is significant competition for those individuals with the experience and skills required to conduct many of our business activities. We may not be able to hire or retain the key personnel that we depend upon for success. The unexpected loss of services of one or more of these or other key personnel could have a material adverse impact on our business because of their skills, knowledge of the markets in which we operate, years of industry experience and the difficulty of promptly finding qualified replacement personnel.</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are subject to liquidity risk.</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Liquidity is the ability to meet cash flow needs on a timely basis at a reasonable cost. Our liquidity is used principally to originate or purchase loans, to repay deposit liabilities and other liabilities when they come due, and to fund operating costs. Customer demand for non-maturity deposits can be difficult to predict. Changes in market interest rates, increased competition within our markets, and other factors may make deposit gathering more difficult. Disruptions in the capital markets or interest rate changes may make the terms of wholesale funding sources—which include Federal Home Loan Bank advances, the Federal Reserve's Borrower-in-Custody program, securities sold under repurchase agreements, federal funds purchased and brokered certificates of deposit—less favorable and may make it difficult to sell securities when needed to provide additional liquidity. As a result, there is a risk that the cost of funding will increase or that we will not have sufficient funds to meet our obligations when they come due.</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are subject to security and operational risks relating to our use of technology.</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Communication and information systems are critical to the conduct of our business because we use these systems to manage our customer relationships and process accounting and financial reporting information. Although we have established policies and procedures to prevent or limit the impact of system failures, interruptions and security breaches, there can be no assurance that such events will not occur or that they will be adequately addressed if they do. In addition, any compromise of our security systems could prevent customers from using our website and our online banking services, both of which involve the transmission of confidential information. Although we rely on security and processing systems to provide the security and authentication necessary to securely transmit data, these precautions may not protect our systems from compromises or breaches of security. Information security risks have increased significantly due to the use of online, telephone and mobile banking channels by clients and the increased sophistication and activities of organized crime, hackers, terrorists and other external parties. The occurrence of any failures, interruptions or security breaches of our information systems could damage our reputation, result in the loss of business, subject us to increased regulatory scrutiny or expose us to civil litigation and possible financial liability, including the costs of customer notification and remediation efforts. Any of these occurrences could have an adverse effect on our financial condition and results of operations.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rely on other companies to provide key components of our business infrastructure.</w:t>
      </w:r>
    </w:p>
    <w:p>
      <w:pPr>
        <w:spacing w:after="0" w:line="225"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Third party vendors provide key components of our business infrastructure such as internet connections, network access and core application processing. While we have selected these third party vendors carefully, we do not control their actions. Any problems caused by these third parties, including as a result of their not providing us their services for any reason or their performing their services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poorly, could adversely affect our ability to deliver products and services to our customers or otherwise conduct our business efficiently and effectively. Replacing these third party vendors could also entail significant delay and expense.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Damage to our reputation could significantly harm our business, including our competitive position and business prospects.</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are dependent on our reputation within our market area, as a trusted and responsible financial company, for all aspects of our relationships with customers, employees, vendors, third-party service providers, and others, with whom we conduct business or potential future business. Our ability to attract and retain customers and employees could be adversely affected if our reputation is damaged. Our actual or perceived failure to address various issues could give rise to reputational risk that could cause harm to us and our business prospects. These issues also include, but are not limited to, legal and regulatory requirements; properly maintaining customer and employee personal information; record keeping; money-laundering; sales and trading practices; ethical issues; appropriately addressing potential conflicts of interest; and the proper identification of the legal, reputational, credit, liquidity and market risks inherent in our products. Failure to appropriately address any of these issues could also give rise to additional regulatory restrictions and legal risks, which could, among other consequences, increase the size and number of litigation claims and damages asserted or subject us to enforcement actions, fines and penalties and cause us to incur related costs and expenses.</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Internal controls may fail or be circumvented.</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Effective controls over financial reporting are necessary to help ensure reliable financial reporting and prevent fraud. Management is responsible for maintaining an effective system of internal control and assessing system effectiveness. Our system of internal control is a process designed to provide reasonable, not absolute, assurance that system objectives are being met. Failure or circumvention of the system of internal control could have an adverse effect on our business, profitability, and financial condition, and could further result in regulatory actions and loss of investor confidence.</w:t>
      </w:r>
    </w:p>
    <w:p>
      <w:pPr>
        <w:spacing w:after="0" w:line="167" w:lineRule="exact"/>
        <w:rPr>
          <w:sz w:val="20"/>
          <w:szCs w:val="20"/>
          <w:color w:val="auto"/>
        </w:rPr>
      </w:pPr>
    </w:p>
    <w:p>
      <w:pPr>
        <w:ind w:right="680" w:firstLine="395"/>
        <w:spacing w:after="0" w:line="268" w:lineRule="auto"/>
        <w:rPr>
          <w:sz w:val="20"/>
          <w:szCs w:val="20"/>
          <w:color w:val="auto"/>
        </w:rPr>
      </w:pPr>
      <w:r>
        <w:rPr>
          <w:rFonts w:ascii="Arial" w:cs="Arial" w:eastAsia="Arial" w:hAnsi="Arial"/>
          <w:sz w:val="18"/>
          <w:szCs w:val="18"/>
          <w:b w:val="1"/>
          <w:bCs w:val="1"/>
          <w:i w:val="1"/>
          <w:iCs w:val="1"/>
          <w:color w:val="auto"/>
        </w:rPr>
        <w:t>Difficult economic conditions, both in the Community Banking Division's market area and more generally, could adversely affect our financial condition and results of operations.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Community Banking Division primarily serves individuals and businesses located in western and south-central Maine. As a result, a significant portion of our earnings are closely tied to the economy of Maine. In addition, our loan portfolio includes commercial loans acquired by the Loan Acquisition and Servicing Group that are secured by assets located nationwide. Deterioration in the economic conditions of the Community Banking Division's market area in Maine, and deterioration of the economy nationally could result in the following consequences:</w:t>
      </w:r>
    </w:p>
    <w:p>
      <w:pPr>
        <w:spacing w:after="0" w:line="21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 delinquencies may increase;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 assets and foreclosures may increase;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for our products and services may decline;</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collateral for our loans may decline in value, in turn reducing a customer's borrowing power and reducing the value of collateral securing a loan;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future growth, if any, may require us to raise additional capital, but that capital may not be available when we need it.</w:t>
      </w:r>
    </w:p>
    <w:p>
      <w:pPr>
        <w:spacing w:after="0" w:line="225" w:lineRule="exact"/>
        <w:rPr>
          <w:sz w:val="20"/>
          <w:szCs w:val="20"/>
          <w:color w:val="auto"/>
        </w:rPr>
      </w:pPr>
    </w:p>
    <w:p>
      <w:pPr>
        <w:ind w:right="100" w:firstLine="341"/>
        <w:spacing w:after="0" w:line="287" w:lineRule="auto"/>
        <w:rPr>
          <w:sz w:val="20"/>
          <w:szCs w:val="20"/>
          <w:color w:val="auto"/>
        </w:rPr>
      </w:pPr>
      <w:r>
        <w:rPr>
          <w:rFonts w:ascii="Arial" w:cs="Arial" w:eastAsia="Arial" w:hAnsi="Arial"/>
          <w:sz w:val="16"/>
          <w:szCs w:val="16"/>
          <w:color w:val="auto"/>
        </w:rPr>
        <w:t>As a bank, we are required by regulatory authorities to maintain adequate levels of capital to support our operations. In addition, in conjunction with the regulatory approvals received for the merger with FHB Formation LLC, we committed to maintain a Tier 1 leverage ratio of at least 10% and a total risk-based capital ratio of at least 15%. We may need to raise additional capital to support our operations or our growth, if any. Our ability to raise additional capital will depend, in part, on conditions in the capital markets and our financial performance at that time. Accordingly, we may be unable to raise additional capital, if and when needed, on acceptable terms, or at all. If we cannot raise additional capital when needed, our ability to further expand our operations through internal growth and acquisitions could be materially impaired. In addition, if we decide to raise additional equity capital, investors' interests could be diluted. Our failure to meet any applicable regulatory guideline related to our lending activities or any capital requirement otherwise imposed upon us or to satisfy any other regulatory requirement could subject us to certain activity restrictions or to a variety of enforcement remedies available to the regulatory authorities, including limitations on our ability to pay dividends or pursue acquisitions, the issuance by regulatory authorities of a capital directive to increase capital and the termination of deposit insurance by the FDIC.</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soundness of other financial institutions could adversely affect us.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counterparties, and we routinely execute transactions with counterparties in the financial industry, including brokers and dealers, other commercial banks, investment banks, mutual and hedge funds, and other financial institutions. As a result, defaults by, or even rumors or questions about, one or more financial services institutions, or the financial services industry generally, could lead to market-wide liquidity problems and losses or defaults by us or by other institutions and organizations. Many of these transactions expose us to credit risk in the event of default of our counterparty or client. In addition, our credit risk may be exacerbated when the collateral held by us cannot be liquidated or is liquidated at prices not sufficient to recover the full amount of the financial instrument exposure due to us. There is no assurance that any such losses would not materially and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Industry</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Competition in the financial services industry is intense and could result in us losing business or experiencing reduced margins.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future growth and success will depend on our ability to continue to compete effectively in the Community Banking Division's Maine market area, in the markets in which the Loan Acquisition and Servicing Group operates and in the markets in which ableBanking operates. We face aggressive competition from other domestic and foreign lending institutions and from numerous other providers of financial services. The ability of non-banking financial institutions to provide services previously limited to commercial banks has intensified competition. Because non-banking financial institutions are not subject to the same regulatory restrictions as banks and bank holding companies, they can often operate with greater flexibility and lower cost structures. Securities firms and insurance companies that elect to become financial holding companies may acquire banks and other financial institutions. This may significantly change the competitive environment in which we conduct our business. Some of our competitors have significantly greater financial resources and/or face fewer regulatory constraints. As a result of these various sources of competition, we could lose business to competitors or could be forced to price products and services on less advantageous terms to retain or attract clients, either of which would adversely affect its profitability.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interest rates could adversely affect our net interest income and profitability.</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majority of our assets and liabilities are monetary in nature. As a result, our earnings and growth are significantly affected by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us cannot be controlled and are extremely difficult to predict. Changes in interest rates can affect our net interest income as well as the value of our assets and liabilities. Net interest income is the difference between (i) interest income on interest-earning assets, such as loans and securities, and (ii) interest expense on interest-bearing liabilities, such as deposits and borrowings. Changes in market interest rates, changes in the relationships between short-term and long-term market interest rates, or the yield curve, or changes in the relationships between different interest rate indices can affect the interest rates charged on interest-earning assets differently than the interest rates paid on interest-bearing liabilities. This difference could result in an increase in interest expense relative to interest income, and therefore reduce our net interest income. Further, declines in market interest rates may trigger loan prepayments, which in many cases are within our customers' discretion, and which in turn may serve to reduce our net interest income if we are unable to lend those funds to other borrowers or invest the funds at the same or higher interest rates.</w:t>
      </w:r>
    </w:p>
    <w:p>
      <w:pPr>
        <w:spacing w:after="0" w:line="181" w:lineRule="exact"/>
        <w:rPr>
          <w:sz w:val="20"/>
          <w:szCs w:val="20"/>
          <w:color w:val="auto"/>
        </w:rPr>
      </w:pPr>
    </w:p>
    <w:p>
      <w:pPr>
        <w:ind w:right="80" w:firstLine="392"/>
        <w:spacing w:after="0" w:line="268" w:lineRule="auto"/>
        <w:rPr>
          <w:sz w:val="20"/>
          <w:szCs w:val="20"/>
          <w:color w:val="auto"/>
        </w:rPr>
      </w:pPr>
      <w:r>
        <w:rPr>
          <w:rFonts w:ascii="Arial" w:cs="Arial" w:eastAsia="Arial" w:hAnsi="Arial"/>
          <w:sz w:val="18"/>
          <w:szCs w:val="18"/>
          <w:b w:val="1"/>
          <w:bCs w:val="1"/>
          <w:i w:val="1"/>
          <w:iCs w:val="1"/>
          <w:color w:val="auto"/>
        </w:rPr>
        <w:t>We operate in a highly regulated industry, and laws and regulations, or changes in them, could limit or restrict our activities and could have an adverse impact in our operations.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subject to regulation and supervision by the Federal Reserve, and our banking subsidiary, Northeast Bank, is subject to regulation and supervision by the FDIC and the Maine Bureau of Financial Institutions. Federal and state laws and regulations govern numerous matters, including changes in the ownership or control of banks and bank holding companies, maintenance of adequate capital and the financial condition of a financial institution, permissible types, amounts and terms of extensions of credit and investments, permissible non-banking activities, the level of reserves against deposits and restrictions on dividend payments. The Federal Reserve, the FDIC and the Maine Bureau of Financial Institutions have the power to issue cease and desist orders to prevent or remedy unsafe or unsound practices or violations of law by banks subject to their regulation, and the Federal Reserve possesses similar powers with respect to bank holding companies. These and other restrictions limit the manner in which we and Northeast Bank may conduct business and obtain financing.</w:t>
      </w:r>
    </w:p>
    <w:p>
      <w:pPr>
        <w:spacing w:after="0" w:line="172"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Because our business is highly regulated, the laws, rules, regulations, and supervisory guidance and policies applicable to us are subject to regular modification and change. It is impossible to predict the competitive impact that any such changes would have on the banking and financial services industry in general or on our business in particular. Such changes may, among other things, increase the cost of doing business, limit permissible activities, or affect the competitive balance between banks and other financial institutions. The Dodd-Frank Act instituted major changes to the banking and financial institutions regulatory regimes in light of the recent performance of and government intervention in the financial services sector. Other changes to statutes, regulations, or regulatory policies, including changes in interpretation or implementation of statutes, regulations, or policies, could affect us in substantial and unpredictable ways. Such changes could subject us to additional costs, limit the types of financial services and products we may offer, and/or increase the ability of non-banks to offer competing financial services and products, among other things. Failure to comply with laws, regulations, or policies could result in sanctions by regulatory agencies, civil money penalties, and/or reputation damage, which could have a material adverse effect on our business, financial condition, and results of operations. See "Supervision and Regulation" in Item 1,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Additional requirements imposed by the Dodd-Frank Act could adversely affect us.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Current and future legal and regulatory requirements, restrictions, and regulations, including those imposed under the Dodd-Frank Act, may adversely impact our profitability and may have a material and adverse effect on our business, financial condition, and results of operations, may require us to invest significant management attention and resources to evaluate and make any changes required by the legislation and related regulations and may make it more difficult for us to attract and retain qualified executive officers and employees. The Dodd-Frank Act comprehensively reformed the regulation of financial institutions, products and services. Because many aspects of the Dodd-Frank Act are subject to rulemaking and will take effect over several years, it is difficult to forecast the impact that such rulemaking will have on us, our customers or the financial industry. Certain provisions of the Dodd-Frank Act that affect deposit insurance assessments, the payment of interest on demand deposits and interchange fees could increase the costs associated with our banking subsidiaries' deposit-generating activities, as well as place limitations on the revenues that those deposits may generate. In addition, the Dodd-Frank Act established the CFPB. The CFPB has the authority to prescribe rules for all depository institutions governing the provision of consumer financial products and services, which may result in rules and regulations that reduce the profitability of such products and services or impose greater costs on the Company and its subsidiaries. The Dodd-Frank Act also established new minimum mortgage underwriting standards for residential mortgages, and the regulatory agencies have focused on the examination and supervision of mortgage lending and servicing activities. See "Supervision and Regulation—The Dodd-Frank Act" in Item 1, "Business."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will become subject to more stringent capital requirements.</w:t>
      </w:r>
    </w:p>
    <w:p>
      <w:pPr>
        <w:spacing w:after="0" w:line="225"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Dodd-Frank Act requires the federal banking agencies to establish minimum leverage and risk-based capital requirements for insured banks and their holding companies. The federal banking agencies issued a joint final rule, or the "Final Capital Rule," that implements the Basel III capital standards and establishes the minimum capital levels required under the Dodd-Frank Act. We must comply with the Final Capital Rule by January 1, 2015. The Final Capital Rule establishes a minimum common equity Tier I capital ratio of 6.5% of risk-weighted assets for a "well capitalized" institution and increases the minimum Tier I capital ratio for a "well capitalized" institution from 6.0% to 8.0%. Additionally, the Final Capital Rule requires an institution to maintain a 2.5% common equity Tier I capital conservation buffer over the 6.5% minimum risk-based capital requirement to avoid restrictions on the ability to pay dividends, discretionary bonuses, and engage in share repurchases. The Final Capital Rule permanently grandfathers trust preferred securities issued before May 19, 2010, subject to a limit of 25% of Tier I capital. The Final Capital Rule increases the required capital for certain categories of assets, including high-volatility construction real estate loans and certain exposures related to securitizations; however, the Final Capital Rule retains the current capital treatment of residential mortgages. Under the Final Capital Rule, we may make a one-time, permanent election to continue to exclude accumulated other comprehensive income from capital. If we do not make this election, unrealized gains and losses will be included in the calculation of our regulatory capital. Implementation of these standards, or any other new regulations, may adversely affect our ability to pay dividends, or require us to reduce business levels or raise capital, including in ways that may adversely affect our results of operations or financial condition.</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FDIC's assessment rates could adversely affect our financial condition and results of operations.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FDIC insures deposits at FDIC-insured depository institutions, such as Northeast Bank, up to applicable limits. As a result of recent economic conditions and the enactment of the Dodd-Frank Act, the FDIC has increased deposit insurance assessment rates. If these increases are insufficient for the deposit insurance fund of the FDIC to meet its funding requirements, there may need to be further special assessments or increases in deposit insurance premiums. We are generally unable to control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amount of premiums that we are required to pay for FDIC insurance. If there are additional bank or financial institution failures, we may be required to pay even higher FDIC premiums than the recently increased levels. Any future additional assessments, increases or required prepayments in FDIC insurance premiums may materially adversely affect results of operations, including by reducing our profitability or limiting our ability to pursue certain business opportunities.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accounting standards can materially impact our financial statements.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accounting policies and methods are fundamental to how we record and report our financial condition and results of operations. From time to time, the Financial Accounting Standards Board or regulatory authorities change the financial accounting and reporting standards that govern the preparation of our financial statements. These changes can be hard to predict and can materially impact how we record and report our financial condition and results of operations. In some cases, we could be required to apply a new or revised standard retroactively, resulting in our restating prior period financial statements.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We may incur fines, penalties and other negative consequences from regulatory violations, possibly even inadvertent or unintentional violations.</w:t>
      </w:r>
    </w:p>
    <w:p>
      <w:pPr>
        <w:spacing w:after="0" w:line="2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maintain systems and procedures designed to ensure that we comply with applicable laws and regulations. However, some legal/regulatory frameworks provide for the imposition of fines or penalties for noncompliance even though the noncompliance was inadvertent or unintentional and even though there was in place at the time systems and procedures designed to ensure compliance. For example, we are subject to regulations issued by the Office of Foreign Assets Control, or "OFAC," that prohibit financial institutions from participating in the transfer of property belonging to the governments of certain foreign countries and designated nationals of those countries. OFAC may impose penalties for inadvertent or unintentional violations even if reasonable processes are in place to prevent the violations. There may be other negative consequences resulting from a finding of noncompliance, including restrictions on certain activities. Such a finding may also damage our reputation as described below and could restrict the ability of institutional investment managers to invest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Market volatility has affected and may continue to affect the value of our common stock.</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performance of our common stock has been and may continue to be affected by many factors, including volatility in the credit, mortgage and housing markets, and the markets with respect to financial institutions generally. Government action and changes in government regulations, such as the Dodd-Frank Act, may affect the value of our common stock. More general market fluctuations, industry factors and general economic and political conditions and events, such as economic slowdowns or interest rate changes could also cause the value of our common stock to decrease regardless of our operating results.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common stock trading volume may not provide adequate liquidity for investors.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voting common stock is listed on the NASDAQ Global Market. The average daily trading volume for Northeast voting common stock is less than the corresponding trading volume for larger financial institutions. Due to this relatively low trading volume, significant sales of Northeast voting common stock, or the expectation of these sales, may place significant downward pressure on the market price of Northeast voting common stock. No assurance can be given that a more active trading market in our common stock will develop in the foreseeable future or can be maintained. There can also be no assurance that the offering will result in a material increase in the "float" for our common stock, which we define as the aggregate market value of our voting common stock held by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who are not affiliates of Northeast, because our affiliates may purchase shares of voting common stock in the offering.</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There is a limited market for and restrictions on the transferability of our non-voting common stock.</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non-voting common stock is not and will not be listed on any exchange. Additionally, the non-voting common stock can only be transferred in certain limited circumstances set forth in our articles of incorporation. Accordingly, holders of our non-voting common stock may be required to bear the economic consequences of holding such non-voting common stock for an indefinite period of time.</w:t>
      </w:r>
    </w:p>
    <w:p>
      <w:pPr>
        <w:spacing w:after="0" w:line="194" w:lineRule="exact"/>
        <w:rPr>
          <w:sz w:val="20"/>
          <w:szCs w:val="20"/>
          <w:color w:val="auto"/>
        </w:rPr>
      </w:pPr>
    </w:p>
    <w:p>
      <w:pPr>
        <w:ind w:right="220" w:firstLine="395"/>
        <w:spacing w:after="0" w:line="370" w:lineRule="auto"/>
        <w:rPr>
          <w:sz w:val="20"/>
          <w:szCs w:val="20"/>
          <w:color w:val="auto"/>
        </w:rPr>
      </w:pPr>
      <w:r>
        <w:rPr>
          <w:rFonts w:ascii="Arial" w:cs="Arial" w:eastAsia="Arial" w:hAnsi="Arial"/>
          <w:sz w:val="15"/>
          <w:szCs w:val="15"/>
          <w:b w:val="1"/>
          <w:bCs w:val="1"/>
          <w:i w:val="1"/>
          <w:iCs w:val="1"/>
          <w:color w:val="auto"/>
        </w:rPr>
        <w:t>If we defer payments of interest on our outstanding junior subordinated debt securities or if certain defaults relating to those debt securities occur, we will be prohibited from declaring or paying dividends or distributions on, and from making liquidation payments with respect to, our common stock.</w:t>
      </w:r>
    </w:p>
    <w:p>
      <w:pPr>
        <w:spacing w:after="0" w:line="11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June 30, 2014, we had outstanding $16.5 million in aggregate principal amount of junior subordinated debt securities issued in connection with the sale of trust preferred securities by affiliates of ours that are statutory business trusts. We have also guaranteed those trust preferred securities. The indenture under which the junior subordinated debt securities were issued, together with the guarantee, prohibits us, subject to limited exceptions, from declaring or paying any dividends or distributions on, or redeeming, repurchasing, acquiring or making any liquidation payments with respect to, any of our capital stock (including the Series A preferred stock and our common stock) at any time when (i) there shall have occurred and be continuing an event of default under the indenture; (ii) we are in default with respect to payment of any obligations under the guarantee; or (iii) we have elected to defer payment of interest on the junior subordinated debt securities. In that regard, we are entitled, at our option but subject to certain conditions, to defer payments of interest on the junior subordinated debt securities from time to time for up to five years.</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Events of default under the indenture generally consist of our failure to pay interest on the junior subordinated debt securities under certain circumstances, our failure to pay any principal of or premium on such junior subordinated debt securities when due, our failure to comply with certain covenants under the indenture, and certain events of bankruptcy, insolvency or liquidation relating to us.</w:t>
      </w:r>
    </w:p>
    <w:p>
      <w:pPr>
        <w:spacing w:after="0" w:line="194"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a result of these provisions, if we were to elect to defer payments of interest on the junior subordinated debt securities, or if any of the other events described in clause (i) or (ii) of the first paragraph of this risk factor were to occur, we would be prohibited from declaring or paying any dividends on the Series A preferred stock and our common stock, from redeeming, repurchasing or otherwise acquiring any of the Series A preferred stock or our common stock, and from making any payments to holders of the Series A preferred stock or our common stock in the event of our liquidation, which would likely have a material adverse effect on the market value of our common stock.</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are dependent upon our subsidiaries for dividends, distributions and other payments.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 separate and distinct legal entity from Northeast Bank, and depend on dividends, distributions and other payments from Northeast Bank to fund dividend payments on our common stock and to fund all payments on our other obligations. We and Northeast Bank are subject to laws that authorize regulatory authorities to block or reduce the flow of funds from Northeast Bank to us. Regulatory action of that kind could impede access to the funds that Northeast needs in order to make payments on its obligations or dividend payments. In addition, if Northeast Bank does not maintain sufficient capital levels or its earnings are not sufficient to make dividend payments to us, we may not be able to make dividend payments to our common and preferred shareholders. Further, our right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participate in a distribution of assets upon a subsidiary's liquidation or reorganization is subject to the prior claims of Northeast Bank's creditors.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We may not be able to pay dividends and, if we pay dividends, we cannot guarantee the amount and frequency of such dividends.</w:t>
      </w:r>
    </w:p>
    <w:p>
      <w:pPr>
        <w:spacing w:after="0" w:line="248"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continued payment of dividends on shares of our common stock will depend upon our debt and equity structure, earnings and financial condition, need for capital in connection with possible future acquisitions, growth and other factors, including economic conditions, regulatory restrictions, and tax considerations. We cannot guarantee that we will pay dividends or, if we pay dividends, the amount and frequency of these dividends.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We may issue additional shares of common or preferred stock in the future, which could dilute a shareholder's ownership of common stock.</w:t>
      </w:r>
    </w:p>
    <w:p>
      <w:pPr>
        <w:spacing w:after="0" w:line="248"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Our articles of incorporation authorize our board of directors, generally without shareholder approval, to, among other things, issue additional shares of common or preferred stock. The issuance of any additional shares of common or preferred stock could be dilutive to a shareholder's ownership of our common stock. To the extent that we issue options or warrants to purchase common stock in the future and the options or warrants are exercised, our shareholders may experience further dilution. Holders of shares of our common stock have no preemptive rights that entitle holders to purchase their pro rata share of any offering of shares of any class or series and, therefore, shareholders may not be permitted to invest in future issuances of Northeast common or preferred stock. We are required by federal and state regulatory authorities to maintain adequate levels of capital to support our operations. Accordingly, regulatory requirements and/or deterioration in our asset quality may require us to sell common stock to raise capital under circumstances and at prices that result in substantial dilution.</w:t>
      </w:r>
    </w:p>
    <w:p>
      <w:pPr>
        <w:spacing w:after="0" w:line="159" w:lineRule="exact"/>
        <w:rPr>
          <w:sz w:val="20"/>
          <w:szCs w:val="20"/>
          <w:color w:val="auto"/>
        </w:rPr>
      </w:pPr>
    </w:p>
    <w:p>
      <w:pPr>
        <w:ind w:right="360" w:firstLine="392"/>
        <w:spacing w:after="0" w:line="268" w:lineRule="auto"/>
        <w:rPr>
          <w:sz w:val="20"/>
          <w:szCs w:val="20"/>
          <w:color w:val="auto"/>
        </w:rPr>
      </w:pPr>
      <w:r>
        <w:rPr>
          <w:rFonts w:ascii="Arial" w:cs="Arial" w:eastAsia="Arial" w:hAnsi="Arial"/>
          <w:sz w:val="18"/>
          <w:szCs w:val="18"/>
          <w:b w:val="1"/>
          <w:bCs w:val="1"/>
          <w:i w:val="1"/>
          <w:iCs w:val="1"/>
          <w:color w:val="auto"/>
        </w:rPr>
        <w:t>We may issue debt and equity securities that are senior to our common stock as to distributions and in liquidation, which could negatively affect the value of our common stock.</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future, we may increase our capital resources by entering into debt or debt-like financing or issuing debt or equity securities, which could include issuances of senior notes, subordinated notes, preferred stock or common stock. In the event of our liquidation, our lenders and holders of its debt or preferred securities would receive a distribution of our available assets before distributions to the holders of Northeast common stock. Our decision to incur debt and issue securities in future offerings will depend on market conditions and other factors beyond our control. We cannot predict or estimate the amount, timing or nature of our future offerings and debt financings. Future offerings could reduce the value of shares of our common stock and dilute a shareholder's interest in Northeast.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common stock is not insured by any governmental entity.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common stock is not a deposit account or other obligation of any bank and is not insured by the FDIC or any other governmental entity.</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Anti-takeover provisions could negatively impact our shareholders.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Federal law imposes restrictions, including regulatory approval requirements, on persons seeking to acquire control over Northeast. Provisions of Maine law and provisions of our articles of incorporation and by-laws could make it more difficult for a third party to acquire control of us or have the effect of discouraging a third party from attempting to acquire control of us. We have a classified board of directors, meaning that approximately one-third of our directors are elected annually. Additionally, our articles of organization authorize our board of directors to issue preferred stock without shareholder approval and such preferred stock could be issued as a defensive measure in response to a takeover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proposal. Other provisions that could make it more difficult for a third party to acquire us even if an acquisition might be in the best interest of our shareholders include supermajority voting requirements to remove a director from office without cause; restrictions on shareholders calling a special meeting; a requirement that only directors may fill a board vacancy; and provisions regarding the timing and content of shareholder proposals and nominations.</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At June 30, 2014, the Company conducted its business from its main office in Lewiston, Maine and an office in Boston, Massachusetts. The Company also conducts business from its ten full-service bank branches and six loan production offices located in western and south-central Maine and southern New Hampshire.</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to its Lewiston, Maine, and Boston, Massachusetts, offices, the Company leases eleven of its other locations. For information regarding the Company's lease commitments, please refer to "Lease Obligations" under Note 14 of the Notes to the Consolidated Financial Statements in Item 8 of this Annual Report.</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From time to time, the Company and its subsidiaries are subject to certain legal proceedings and claims in the ordinary course of business. Management presently believes that the ultimate outcome of these proceedings, individually and in the aggregate, will not be material to the Company or its consolidated financial position. The Company establishes reserves for specific legal matters when it determines that the likelihood of an unfavorable outcome is probable and the loss is reasonably estimable. Legal proceedings are subject to inherent uncertainties, and unfavorable rulings could occur that could cause the Company to establish litigation reserves or could have, individually or in the aggregate, a material adverse effect on its business, financial condition, or operating results.</w:t>
      </w:r>
    </w:p>
    <w:p>
      <w:pPr>
        <w:spacing w:after="0" w:line="1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Purchases of Equity Securities</w:t>
      </w:r>
    </w:p>
    <w:p>
      <w:pPr>
        <w:spacing w:after="0" w:line="231" w:lineRule="exact"/>
        <w:rPr>
          <w:sz w:val="20"/>
          <w:szCs w:val="20"/>
          <w:color w:val="auto"/>
        </w:rPr>
      </w:pPr>
    </w:p>
    <w:p>
      <w:pPr>
        <w:ind w:right="80" w:firstLine="359"/>
        <w:spacing w:after="0" w:line="332" w:lineRule="auto"/>
        <w:tabs>
          <w:tab w:leader="none" w:pos="6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voting common stock currently trades on the NASDAQ under the symbol "NBN." There is no established public trading market for the Company's non-voting common stock. As of the close of business on September 19, 2014, there were approximately 448 registered shareholders of record.</w:t>
      </w:r>
    </w:p>
    <w:p>
      <w:pPr>
        <w:spacing w:after="0" w:line="139"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table sets forth the high and low closing sale prices of the Company's voting common stock, as reported on NASDAQ, and quarterly dividends paid on the Company's voting and non-voting common stock during the periods indicated.</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w w:val="92"/>
              </w:rPr>
              <w:t>Fiscal year ended June 30, 2014</w:t>
            </w: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Div Pd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Jul 1 - Sep 30</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Oct 1 - Dec 31</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Apr 1 - Jun 30</w:t>
            </w: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790"/>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w w:val="92"/>
              </w:rPr>
              <w:t>Fiscal year ended June 30, 2013</w:t>
            </w:r>
          </w:p>
        </w:tc>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Div Pd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Jul 1 - Sep 30</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Oct 1 - Dec 31</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Apr 1 - Jun 30</w:t>
            </w: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September 19, 2014, the last reported sale price of the Company's voting common stock, as reported on NASDAQ was $9.45. Holders of the Company's voting and non-voting common stock are entitled to receive dividends when and if declared by the Board of Directors out of funds legally available. The amount and timing of future dividends payable on the Company's voting and non-voting common stock will depend on, among other things, the financial condition of the Company, regulatory considerations, and other factors. The Company is a legal entity separate from the Bank, but its revenues are derived primarily from the Bank. Accordingly, the ability of the Company to pay cash dividends on its stock in the future generally will be dependent upon the earnings of the Bank and the Bank's ability to pay dividends to the Company. The payment of dividends by the Bank will depend on a number of factors, including capital requirements, regulatory limitations, the Bank's results of operations and financial condition, tax considerations, and general economic conditions. National banking laws regulate and restrict the ability of the Bank to pay dividends to the Company. See "Item 1. Business—Supervision and Regulation."</w:t>
      </w:r>
    </w:p>
    <w:p>
      <w:pPr>
        <w:spacing w:after="0" w:line="172" w:lineRule="exact"/>
        <w:rPr>
          <w:sz w:val="20"/>
          <w:szCs w:val="20"/>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firstLine="359"/>
        <w:spacing w:after="0" w:line="254" w:lineRule="auto"/>
        <w:tabs>
          <w:tab w:leader="none" w:pos="6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April 23, 2014, the Company announced that its Board of Directors authorized the Company to purchase up to 870,000 shares of its common stock, representing 8.3% of the Company's outstanding common shares and approximately $8.4 million based on the Company's closing stock price on April 22, 2014. Such purchases will be made in open market or in privately negotiated transactions from time to time and in such amounts as market conditions warrant. The timing and actual number of shares repurchased will depend on a variety of factors including price, corporate and regulatory requirements, market conditions, and other corporate liquidity requirements and priorities. The stock repurchase program may be suspended or terminated at any time without prior notice, and will expire on April 23, 2016.</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with respect to purchases made by us of our common stock during the year ended June 30, 2014.</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Purchased as</w:t>
            </w:r>
          </w:p>
        </w:tc>
        <w:tc>
          <w:tcPr>
            <w:tcW w:w="160" w:type="dxa"/>
            <w:vAlign w:val="bottom"/>
          </w:tcPr>
          <w:p>
            <w:pPr>
              <w:spacing w:after="0"/>
              <w:rPr>
                <w:sz w:val="12"/>
                <w:szCs w:val="12"/>
                <w:color w:val="auto"/>
              </w:rPr>
            </w:pPr>
          </w:p>
        </w:tc>
        <w:tc>
          <w:tcPr>
            <w:tcW w:w="1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60" w:type="dxa"/>
            <w:vAlign w:val="bottom"/>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60" w:type="dxa"/>
            <w:vAlign w:val="bottom"/>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b w:val="1"/>
                <w:bCs w:val="1"/>
                <w:color w:val="auto"/>
                <w:w w:val="86"/>
              </w:rPr>
              <w:t>Price Per share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16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the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to May 30,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our selected financial and operating data on a historical basis. The data set forth below does not purport to be complete. It should be read in conjunction with, and is</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qualified in its entirety by, the more detailed information, including the Company's Consolidated Financial Statements and related notes, appearing elsewhere herein.</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Successor Company(1)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Predecessor Company(2)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100" w:type="dxa"/>
            <w:vAlign w:val="bottom"/>
            <w:tcBorders>
              <w:top w:val="single" w:sz="8" w:color="auto"/>
            </w:tcBorders>
            <w:gridSpan w:val="3"/>
          </w:tcPr>
          <w:p>
            <w:pPr>
              <w:jc w:val="center"/>
              <w:ind w:right="112"/>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12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2"/>
              <w:spacing w:after="0" w:line="129" w:lineRule="exact"/>
              <w:rPr>
                <w:sz w:val="20"/>
                <w:szCs w:val="20"/>
                <w:color w:val="auto"/>
              </w:rPr>
            </w:pPr>
            <w:r>
              <w:rPr>
                <w:rFonts w:ascii="Arial" w:cs="Arial" w:eastAsia="Arial" w:hAnsi="Arial"/>
                <w:sz w:val="14"/>
                <w:szCs w:val="14"/>
                <w:b w:val="1"/>
                <w:bCs w:val="1"/>
                <w:color w:val="auto"/>
                <w:w w:val="85"/>
              </w:rPr>
              <w:t>184 Days</w:t>
            </w:r>
          </w:p>
        </w:tc>
        <w:tc>
          <w:tcPr>
            <w:tcW w:w="2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181 Days</w:t>
            </w: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0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June 30, 2014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7"/>
              </w:rPr>
              <w:t>June 30, 2013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5"/>
              </w:rPr>
              <w:t>June 30, 2012</w:t>
            </w:r>
          </w:p>
        </w:tc>
        <w:tc>
          <w:tcPr>
            <w:tcW w:w="18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Dec. 28,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June 30, 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3"/>
              </w:rPr>
              <w:t>(Dollars in thousands,</w:t>
            </w:r>
          </w:p>
        </w:tc>
        <w:tc>
          <w:tcPr>
            <w:tcW w:w="18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7"/>
              </w:rPr>
              <w:t>except per share</w:t>
            </w:r>
          </w:p>
        </w:tc>
        <w:tc>
          <w:tcPr>
            <w:tcW w:w="3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83"/>
              </w:rPr>
              <w:t>data)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Selected operations data: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Interest and dividend income</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38,371</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36,543</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27,014</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13,304</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14,378</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31,262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tcBorders>
              <w:bottom w:val="single" w:sz="8" w:color="CCEEFF"/>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6,653</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6,596</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6,317</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3,207</w:t>
            </w:r>
          </w:p>
        </w:tc>
        <w:tc>
          <w:tcPr>
            <w:tcW w:w="220" w:type="dxa"/>
            <w:vAlign w:val="bottom"/>
            <w:tcBorders>
              <w:bottom w:val="single" w:sz="8" w:color="CCEEFF"/>
              <w:right w:val="single" w:sz="8" w:color="auto"/>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5,877</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13,314</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gridSpan w:val="2"/>
          </w:tcPr>
          <w:p>
            <w:pPr>
              <w:ind w:left="260"/>
              <w:spacing w:after="0" w:line="142" w:lineRule="exact"/>
              <w:rPr>
                <w:sz w:val="20"/>
                <w:szCs w:val="20"/>
                <w:color w:val="auto"/>
              </w:rPr>
            </w:pPr>
            <w:r>
              <w:rPr>
                <w:rFonts w:ascii="Arial" w:cs="Arial" w:eastAsia="Arial" w:hAnsi="Arial"/>
                <w:sz w:val="14"/>
                <w:szCs w:val="14"/>
                <w:color w:val="auto"/>
              </w:rPr>
              <w:t>Net interest income</w:t>
            </w: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31,718</w:t>
            </w:r>
          </w:p>
        </w:tc>
        <w:tc>
          <w:tcPr>
            <w:tcW w:w="16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29,947</w:t>
            </w: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20,697</w:t>
            </w: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10,097</w:t>
            </w:r>
          </w:p>
        </w:tc>
        <w:tc>
          <w:tcPr>
            <w:tcW w:w="220" w:type="dxa"/>
            <w:vAlign w:val="bottom"/>
            <w:tcBorders>
              <w:top w:val="single" w:sz="8" w:color="CCEEFF"/>
              <w:right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8,501</w:t>
            </w: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17,948</w:t>
            </w: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Provision for loan losses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22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Noninterest income(3)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8,514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5,782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17,569</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3,034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Net securities gains (losses)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22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gridSpan w:val="2"/>
          </w:tcPr>
          <w:p>
            <w:pPr>
              <w:ind w:left="260"/>
              <w:spacing w:after="0"/>
              <w:rPr>
                <w:sz w:val="20"/>
                <w:szCs w:val="20"/>
                <w:color w:val="auto"/>
              </w:rPr>
            </w:pPr>
            <w:r>
              <w:rPr>
                <w:rFonts w:ascii="Arial" w:cs="Arial" w:eastAsia="Arial" w:hAnsi="Arial"/>
                <w:sz w:val="14"/>
                <w:szCs w:val="14"/>
                <w:color w:val="auto"/>
              </w:rPr>
              <w:t>Noninterest expense(4)</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31,777</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31,955</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25,680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15,807</w:t>
            </w:r>
          </w:p>
        </w:tc>
        <w:tc>
          <w:tcPr>
            <w:tcW w:w="2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8,429</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4,279</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6,176</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964</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12,352</w:t>
            </w:r>
          </w:p>
        </w:tc>
        <w:tc>
          <w:tcPr>
            <w:tcW w:w="22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2,211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2,267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gridSpan w:val="2"/>
          </w:tcPr>
          <w:p>
            <w:pPr>
              <w:ind w:left="260"/>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w w:val="96"/>
              </w:rPr>
              <w:t>Net income from continuing operations</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2,700</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4,295</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862</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12,460</w:t>
            </w:r>
          </w:p>
        </w:tc>
        <w:tc>
          <w:tcPr>
            <w:tcW w:w="22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1,565</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1,494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Net income (loss) from discontinued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40" w:type="dxa"/>
            <w:vAlign w:val="bottom"/>
            <w:gridSpan w:val="2"/>
          </w:tcPr>
          <w:p>
            <w:pPr>
              <w:ind w:left="120"/>
              <w:spacing w:after="0"/>
              <w:rPr>
                <w:sz w:val="20"/>
                <w:szCs w:val="20"/>
                <w:color w:val="auto"/>
              </w:rPr>
            </w:pPr>
            <w:r>
              <w:rPr>
                <w:rFonts w:ascii="Arial" w:cs="Arial" w:eastAsia="Arial" w:hAnsi="Arial"/>
                <w:sz w:val="14"/>
                <w:szCs w:val="14"/>
                <w:color w:val="auto"/>
              </w:rPr>
              <w:t>operations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2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8"/>
                <w:szCs w:val="18"/>
                <w:color w:val="auto"/>
              </w:rPr>
            </w:pPr>
          </w:p>
        </w:tc>
        <w:tc>
          <w:tcPr>
            <w:tcW w:w="234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2,692</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4,420</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2,163</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12,552</w:t>
            </w:r>
          </w:p>
        </w:tc>
        <w:tc>
          <w:tcPr>
            <w:tcW w:w="220" w:type="dxa"/>
            <w:vAlign w:val="bottom"/>
            <w:tcBorders>
              <w:bottom w:val="single" w:sz="8" w:color="CCEEFF"/>
              <w:right w:val="single" w:sz="8" w:color="auto"/>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40" w:type="dxa"/>
            <w:vAlign w:val="bottom"/>
            <w:tcBorders>
              <w:top w:val="single" w:sz="8" w:color="CCEEFF"/>
            </w:tcBorders>
            <w:gridSpan w:val="2"/>
          </w:tcPr>
          <w:p>
            <w:pPr>
              <w:spacing w:after="0" w:line="118" w:lineRule="exact"/>
              <w:rPr>
                <w:sz w:val="20"/>
                <w:szCs w:val="20"/>
                <w:color w:val="auto"/>
              </w:rPr>
            </w:pPr>
            <w:r>
              <w:rPr>
                <w:rFonts w:ascii="Arial" w:cs="Arial" w:eastAsia="Arial" w:hAnsi="Arial"/>
                <w:sz w:val="12"/>
                <w:szCs w:val="12"/>
                <w:color w:val="auto"/>
              </w:rPr>
              <w:t>Net income available to common</w:t>
            </w: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EEFF"/>
              <w:right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gridSpan w:val="2"/>
          </w:tcPr>
          <w:p>
            <w:pPr>
              <w:ind w:left="120"/>
              <w:spacing w:after="0"/>
              <w:rPr>
                <w:sz w:val="20"/>
                <w:szCs w:val="20"/>
                <w:color w:val="auto"/>
              </w:rPr>
            </w:pPr>
            <w:r>
              <w:rPr>
                <w:rFonts w:ascii="Arial" w:cs="Arial" w:eastAsia="Arial" w:hAnsi="Arial"/>
                <w:sz w:val="14"/>
                <w:szCs w:val="14"/>
                <w:color w:val="auto"/>
              </w:rPr>
              <w:t>shareholders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2,692</w:t>
            </w:r>
          </w:p>
        </w:tc>
        <w:tc>
          <w:tcPr>
            <w:tcW w:w="1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4,065</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1,771</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12,355</w:t>
            </w:r>
          </w:p>
        </w:tc>
        <w:tc>
          <w:tcPr>
            <w:tcW w:w="2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1,677</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Consolidated per share data:</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Continuing operations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0.62</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CCEEFF"/>
            </w:tcBorders>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20" w:type="dxa"/>
            <w:vAlign w:val="bottom"/>
            <w:tcBorders>
              <w:bottom w:val="single" w:sz="8" w:color="CCEEFF"/>
              <w:right w:val="single" w:sz="8" w:color="auto"/>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0.26</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0.39</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0.41</w:t>
            </w: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3.52</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0.72</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0.64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gridSpan w:val="2"/>
            <w:shd w:val="clear" w:color="auto" w:fill="CCEEFF"/>
          </w:tcPr>
          <w:p>
            <w:pPr>
              <w:ind w:left="260"/>
              <w:spacing w:after="0" w:line="131"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Continuing operations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CCEEFF"/>
            </w:tcBorders>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20" w:type="dxa"/>
            <w:vAlign w:val="bottom"/>
            <w:tcBorders>
              <w:bottom w:val="single" w:sz="8" w:color="CCEEFF"/>
              <w:right w:val="single" w:sz="8" w:color="auto"/>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0.26</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0.39</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0.41</w:t>
            </w: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3.47</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0.71</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0.63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gridSpan w:val="2"/>
            <w:shd w:val="clear" w:color="auto" w:fill="CCEEFF"/>
          </w:tcPr>
          <w:p>
            <w:pPr>
              <w:ind w:left="120"/>
              <w:spacing w:after="0" w:line="131" w:lineRule="exact"/>
              <w:rPr>
                <w:sz w:val="20"/>
                <w:szCs w:val="20"/>
                <w:color w:val="auto"/>
              </w:rPr>
            </w:pPr>
            <w:r>
              <w:rPr>
                <w:rFonts w:ascii="Arial" w:cs="Arial" w:eastAsia="Arial" w:hAnsi="Arial"/>
                <w:sz w:val="14"/>
                <w:szCs w:val="14"/>
                <w:color w:val="auto"/>
              </w:rPr>
              <w:t>Cash dividends</w:t>
            </w:r>
          </w:p>
        </w:tc>
        <w:tc>
          <w:tcPr>
            <w:tcW w:w="2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0.28</w:t>
            </w: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0.36</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0.36</w:t>
            </w: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0.18</w:t>
            </w:r>
          </w:p>
        </w:tc>
        <w:tc>
          <w:tcPr>
            <w:tcW w:w="22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0.18</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0.36</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Book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10.89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17.33</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Selected balance sheet data:</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tcBorders>
              <w:right w:val="single" w:sz="8" w:color="auto"/>
            </w:tcBorders>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761,931</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670,639</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669,196</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596,393</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627,984</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622,607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Loans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516,416</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435,376</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356,254</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309,913</w:t>
            </w:r>
          </w:p>
        </w:tc>
        <w:tc>
          <w:tcPr>
            <w:tcW w:w="22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367,284</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382,309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Deposits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574,329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484,623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422,188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401,118</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374,617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384,197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66,005</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64,069</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120,859</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126,706</w:t>
            </w:r>
          </w:p>
        </w:tc>
        <w:tc>
          <w:tcPr>
            <w:tcW w:w="22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199,326</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Total shareholders' equity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112,066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113,802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119,139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64,954</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50,366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50,906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ratios:</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tcBorders>
              <w:right w:val="single" w:sz="8" w:color="auto"/>
            </w:tcBorders>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Return on average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0.37%</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0.64%</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0.36%</w:t>
            </w:r>
          </w:p>
        </w:tc>
        <w:tc>
          <w:tcPr>
            <w:tcW w:w="10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0.57%</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Return on average equity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38.23%</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7.03%</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Efficiency ratio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86.85%</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81.41%</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93.08%</w:t>
            </w:r>
          </w:p>
        </w:tc>
        <w:tc>
          <w:tcPr>
            <w:tcW w:w="10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52"/>
              <w:spacing w:after="0" w:line="149" w:lineRule="exact"/>
              <w:rPr>
                <w:sz w:val="20"/>
                <w:szCs w:val="20"/>
                <w:color w:val="auto"/>
              </w:rPr>
            </w:pPr>
            <w:r>
              <w:rPr>
                <w:rFonts w:ascii="Arial" w:cs="Arial" w:eastAsia="Arial" w:hAnsi="Arial"/>
                <w:sz w:val="14"/>
                <w:szCs w:val="14"/>
                <w:color w:val="auto"/>
              </w:rPr>
              <w:t>54.76%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72.97%</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2"/>
              </w:rPr>
              <w:t>Average equity to average total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15.38%</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10.69%</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8.18%</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Common dividend payout ratio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107.69%</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92.25%</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71.26%</w:t>
            </w:r>
          </w:p>
        </w:tc>
        <w:tc>
          <w:tcPr>
            <w:tcW w:w="10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52"/>
              <w:spacing w:after="0" w:line="149" w:lineRule="exact"/>
              <w:rPr>
                <w:sz w:val="20"/>
                <w:szCs w:val="20"/>
                <w:color w:val="auto"/>
              </w:rPr>
            </w:pPr>
            <w:r>
              <w:rPr>
                <w:rFonts w:ascii="Arial" w:cs="Arial" w:eastAsia="Arial" w:hAnsi="Arial"/>
                <w:sz w:val="14"/>
                <w:szCs w:val="14"/>
                <w:color w:val="auto"/>
              </w:rPr>
              <w:t>5.02%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25.02%</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Tier 1 leverage capital ratio</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15.90%</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17.78%</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10.35%</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Total risk-based capital ratio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23.69%</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27.54%</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33.34%</w:t>
            </w:r>
          </w:p>
        </w:tc>
        <w:tc>
          <w:tcPr>
            <w:tcW w:w="10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52"/>
              <w:spacing w:after="0" w:line="149" w:lineRule="exact"/>
              <w:rPr>
                <w:sz w:val="20"/>
                <w:szCs w:val="20"/>
                <w:color w:val="auto"/>
              </w:rPr>
            </w:pPr>
            <w:r>
              <w:rPr>
                <w:rFonts w:ascii="Arial" w:cs="Arial" w:eastAsia="Arial" w:hAnsi="Arial"/>
                <w:sz w:val="14"/>
                <w:szCs w:val="14"/>
                <w:color w:val="auto"/>
              </w:rPr>
              <w:t>18.99%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"Successor Company" means Northeast Bancorp and its subsidiary after the closing of the merger with FHB Formation LLC on December 29, 2010.</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"Predecessor Company" means Northeast Bancorp and its subsidiary before the closing of the merger with FHB Formation LLC on December 29, 2010.</w:t>
      </w:r>
    </w:p>
    <w:p>
      <w:pPr>
        <w:spacing w:after="0" w:line="122" w:lineRule="exact"/>
        <w:rPr>
          <w:rFonts w:ascii="Arial" w:cs="Arial" w:eastAsia="Arial" w:hAnsi="Arial"/>
          <w:sz w:val="14"/>
          <w:szCs w:val="14"/>
          <w:color w:val="auto"/>
        </w:rPr>
      </w:pPr>
    </w:p>
    <w:p>
      <w:pPr>
        <w:ind w:left="1680" w:right="140" w:hanging="531"/>
        <w:spacing w:after="0" w:line="239" w:lineRule="auto"/>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primarily fees for deposits, investment brokerage services to customers, and gains on the sale of loans. In the 184 days ended June 30, 2011, the total further includes a bargain purchase gain $15.4 million.</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salaries, employee benefits, occupancy and equipment, and other expenses. In the 184 days ended June 30, 2011, the total includes merger expenses totaling $3.2 million.</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Northeast Bancorp (the "Company") is a Maine corporation and a bank holding company registered with the Federal Reserve under the Bank Holding Company Act of 1956. The Company also is a registered Maine financial institution holding company, and is subject to regulation by both the Maine Bureau of Financial Institutions (the "Bureau") and the Federal Reserve. The Company's principal asset is the capital stock of Northeast Bank (the "Bank"), a Maine state-chartered universal bank, which is regulated by the Federal Deposit Insurance Corporation ("FDIC") and the Bureau. The Company's results of operations are primarily dependent on the results of the operations of the Bank.</w:t>
      </w:r>
    </w:p>
    <w:p>
      <w:pPr>
        <w:spacing w:after="0" w:line="170"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Management's Discussion and Analysis of Financial Condition and Results of Operations, which follows, presents a review of the consolidated operating results of the Company for the fiscal year ended June 30, 2014 ("fiscal 2014") and the fiscal year ended June 30, 2013 ("fiscal 2013"). This discussion and analysis is intended to assist you in understanding the results of our operations and financial condition. You should read this discussion together with your review of the Company's Consolidated Financial Statements and related notes and other statistical information included in this report. Certain amounts in the periods prior to fiscal 2014 have been reclassified to conform to the fiscal 2014 presentation.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Financial Presentation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December 29, 2010, the merger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our outstanding common stock. The Company applied the acquisition method of accounting, as described in Accounting Standards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to the Merger, which represents an acquisition by FHB of Northeast, with Northeast as the surviving company (the "Successor Company"). In the application of ASC 805 to this transaction, the following was considered:</w:t>
      </w:r>
    </w:p>
    <w:p>
      <w:pPr>
        <w:spacing w:after="0" w:line="17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u w:val="single" w:color="auto"/>
          <w:color w:val="auto"/>
        </w:rPr>
        <w:t>Identify the Accounting Acquirer</w:t>
      </w:r>
      <w:r>
        <w:rPr>
          <w:rFonts w:ascii="Arial" w:cs="Arial" w:eastAsia="Arial" w:hAnsi="Arial"/>
          <w:sz w:val="18"/>
          <w:szCs w:val="18"/>
          <w:color w:val="auto"/>
        </w:rPr>
        <w:t>: FHB was identified as the accounting acquirer. FHB, which was incorporated on March 9, 2009, acquired a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interest of approximately 60% of the Successor Company's total outstanding voting and non-voting common stock in exchange for contributed capital and cash consideration.</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the evaluation and identification of FHB as the accounting acquirer, it was concluded that FHB was a substantive entity involved in significant pre-merger activities, including the following: raising capital; incurring debt; incurring operating expenses; leasing office space; hiring staff to develop the surviving company's business plan; retaining professional services firms; and identifying acquisition targets and negotiating potential transactions, including the Merger.</w:t>
      </w:r>
    </w:p>
    <w:p>
      <w:pPr>
        <w:spacing w:after="0" w:line="161"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u w:val="single" w:color="auto"/>
          <w:color w:val="auto"/>
        </w:rPr>
        <w:t>Determine the Acquisition Date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December 29, 2010, the closing date of the Merger, was the date that FHB gained control of the combined entity.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u w:val="single" w:color="auto"/>
          <w:color w:val="auto"/>
        </w:rPr>
        <w:t>Recognize assets acquired and liabilities assumed</w:t>
      </w:r>
      <w:r>
        <w:rPr>
          <w:rFonts w:ascii="Arial" w:cs="Arial" w:eastAsia="Arial" w:hAnsi="Arial"/>
          <w:sz w:val="16"/>
          <w:szCs w:val="16"/>
          <w:color w:val="auto"/>
        </w:rPr>
        <w:t>: Because neither Northeast Bancorp, the Predecessor Company (the acquired company), nor FHB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acquirer) exist as separate entities after the Merger, a new basis of accounting at fair value for the Successor Company's assets and liabilities was established in the consolidated financial statements. At the acquisition date, the Successor Company recognized the identifiable assets acquired and the liabilities assumed based on their then fair values in accordance with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Successor Company recognized a bargain purchase gain as the difference between the total purchase price and the net assets acquired.</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result of application of the acquisition method of accounting to Northeast Bancorp after the merger on December 29, 2010, the Company's financial statements from the periods prior to the transaction date are not directly comparable to the financial statements for periods subsequent to the transaction date. To make this distinction, the Company has labeled balances and results of operations prior to the transaction date as "Predecessor Company" and balances and results of operations for periods subsequent to the transaction date as "Successor Company." The lack of comparability arises from the assets and liabilities having new accounting bases as a result of recording them at their fair values as of the transaction date rather than at historical cost basis. To denote this lack of comparability, a heavy black line has been placed between the Successor Company and Predecessor Company columns in the discussion herein.</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connection with the transaction, as part of the regulatory approval process the Company made certain commitments to the Board of Governors of the Federal Reserve System (the "Federal Reserve"), the most significant of which are, (i) maintain a Tier 1 leverage ratio of at least 10%, (ii) maintain a total risk-based capital ratio of at least 15%, (iii) limit purchased loans to 40% of total loans, (iv) fund 100% of the Company's loans with core deposits (defined as non-maturity deposits and non-brokered insured time deposits), and (v)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 The Company's compliance ratios at June 30, 2014 follow.</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200" w:type="dxa"/>
            <w:vAlign w:val="bottom"/>
            <w:gridSpan w:val="4"/>
          </w:tcPr>
          <w:p>
            <w:pPr>
              <w:spacing w:after="0"/>
              <w:rPr>
                <w:sz w:val="20"/>
                <w:szCs w:val="20"/>
                <w:color w:val="auto"/>
              </w:rPr>
            </w:pPr>
            <w:r>
              <w:rPr>
                <w:rFonts w:ascii="Arial" w:cs="Arial" w:eastAsia="Arial" w:hAnsi="Arial"/>
                <w:sz w:val="14"/>
                <w:szCs w:val="14"/>
                <w:b w:val="1"/>
                <w:bCs w:val="1"/>
                <w:color w:val="auto"/>
              </w:rPr>
              <w:t>Condition</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Tier 1 leverage ratio</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(ii)</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Total risk-based capital ratio</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Ratio of purchased loans to total loans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(iv)</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Ratio of loans to core deposits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Ratio of commercial real estate loans to total risk-based capital</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a result of the sale of the Company's insurance agency business in the first quarter of fiscal 2012 and discontinuation of further significant business activities in the insurance agency segment, the Company has classified the results of its insurance agency division as discontinued operations in the Company's consolidated financial statements and discussion herein.</w:t>
      </w:r>
    </w:p>
    <w:p>
      <w:pPr>
        <w:spacing w:after="0" w:line="194"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concluded all investment brokerage activities in the second quarter of fiscal 2014. Accordingly, operations associated with these activities have been classified as discontinued operations in all periods in the Company's consolidated financial statements and discussion herein.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2014 Financial Highlights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financial and strategic highlights for fiscal 2014 include the following:</w:t>
      </w:r>
    </w:p>
    <w:p>
      <w:pPr>
        <w:spacing w:after="0" w:line="239" w:lineRule="exact"/>
        <w:rPr>
          <w:sz w:val="20"/>
          <w:szCs w:val="20"/>
          <w:color w:val="auto"/>
        </w:rPr>
      </w:pPr>
    </w:p>
    <w:p>
      <w:pPr>
        <w:ind w:left="1080" w:right="4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Earned net income available to common shareholders of $2.7 million, or $0.26 per diluted share, from continuing operations as compared to $4.1 million, or $0.38 per diluted share, from continuing operations in fiscal 2013.</w:t>
      </w:r>
    </w:p>
    <w:p>
      <w:pPr>
        <w:spacing w:after="0" w:line="212" w:lineRule="exact"/>
        <w:rPr>
          <w:rFonts w:ascii="Arial" w:cs="Arial" w:eastAsia="Arial" w:hAnsi="Arial"/>
          <w:sz w:val="18"/>
          <w:szCs w:val="18"/>
          <w:color w:val="auto"/>
        </w:rPr>
      </w:pPr>
    </w:p>
    <w:p>
      <w:pPr>
        <w:jc w:val="both"/>
        <w:ind w:left="1080" w:right="580" w:hanging="532"/>
        <w:spacing w:after="0" w:line="370"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Purchased commercial loans totaling $79.8 million, and earned an average yield on the purchased portfolio of 11.4%, a result that includes regularly scheduled interest and accretion, and accelerated accretion and fees recognized on loan payoffs. The Company also monitors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"total return" on its purchased loan portfolio, a measure that includes gains on sales of purchased loans, as well as interest, scheduled accretion and accelerated accretion and fees. On this basis, the purchased loan portfolio earned a total return of 11.8% for fiscal 2014. An overview of the LASG portfolio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6"/>
              </w:rPr>
              <w:t>Year Ended June 30,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0"/>
              </w:rPr>
              <w:t>Purchased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Originated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w w:val="97"/>
              </w:rPr>
              <w:t>Total LASG</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0"/>
              </w:rPr>
              <w:t>Purchased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Originated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Total LASG</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Loans purchased or originated during the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Unpaid principal balance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91,288</w:t>
            </w:r>
          </w:p>
        </w:tc>
        <w:tc>
          <w:tcPr>
            <w:tcW w:w="14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66,225</w:t>
            </w:r>
          </w:p>
        </w:tc>
        <w:tc>
          <w:tcPr>
            <w:tcW w:w="14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157,513</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155,216</w:t>
            </w:r>
          </w:p>
        </w:tc>
        <w:tc>
          <w:tcPr>
            <w:tcW w:w="14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37,181</w:t>
            </w:r>
          </w:p>
        </w:tc>
        <w:tc>
          <w:tcPr>
            <w:tcW w:w="16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192,397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146,048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158,544</w:t>
            </w:r>
          </w:p>
        </w:tc>
        <w:tc>
          <w:tcPr>
            <w:tcW w:w="160" w:type="dxa"/>
            <w:vAlign w:val="bottom"/>
            <w:shd w:val="clear" w:color="auto" w:fill="CCEEFF"/>
          </w:tcPr>
          <w:p>
            <w:pPr>
              <w:spacing w:after="0"/>
              <w:rPr>
                <w:sz w:val="18"/>
                <w:szCs w:val="18"/>
                <w:color w:val="auto"/>
              </w:rPr>
            </w:pPr>
          </w:p>
        </w:tc>
      </w:tr>
      <w:tr>
        <w:trPr>
          <w:trHeight w:val="431"/>
        </w:trPr>
        <w:tc>
          <w:tcPr>
            <w:tcW w:w="3100" w:type="dxa"/>
            <w:vAlign w:val="bottom"/>
            <w:gridSpan w:val="3"/>
          </w:tcPr>
          <w:p>
            <w:pPr>
              <w:spacing w:after="0"/>
              <w:rPr>
                <w:sz w:val="20"/>
                <w:szCs w:val="20"/>
                <w:color w:val="auto"/>
              </w:rPr>
            </w:pPr>
            <w:r>
              <w:rPr>
                <w:rFonts w:ascii="Arial" w:cs="Arial" w:eastAsia="Arial" w:hAnsi="Arial"/>
                <w:sz w:val="18"/>
                <w:szCs w:val="18"/>
                <w:color w:val="auto"/>
              </w:rPr>
              <w:t>Loan returns during the period: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Yield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w:t>
            </w: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Total Return(1)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17.32%</w:t>
            </w:r>
          </w:p>
        </w:tc>
      </w:tr>
      <w:tr>
        <w:trPr>
          <w:trHeight w:val="432"/>
        </w:trPr>
        <w:tc>
          <w:tcPr>
            <w:tcW w:w="20" w:type="dxa"/>
            <w:vAlign w:val="bottom"/>
          </w:tcPr>
          <w:p>
            <w:pPr>
              <w:spacing w:after="0"/>
              <w:rPr>
                <w:sz w:val="24"/>
                <w:szCs w:val="24"/>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 as of period end:</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Unpaid principal balance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242,631</w:t>
            </w:r>
          </w:p>
        </w:tc>
        <w:tc>
          <w:tcPr>
            <w:tcW w:w="14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77,588</w:t>
            </w:r>
          </w:p>
        </w:tc>
        <w:tc>
          <w:tcPr>
            <w:tcW w:w="14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320,219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204,276</w:t>
            </w:r>
          </w:p>
        </w:tc>
        <w:tc>
          <w:tcPr>
            <w:tcW w:w="14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38,846</w:t>
            </w:r>
          </w:p>
        </w:tc>
        <w:tc>
          <w:tcPr>
            <w:tcW w:w="16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243,122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281,011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205,665</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380" w:hanging="531"/>
        <w:spacing w:after="0" w:line="268" w:lineRule="auto"/>
        <w:tabs>
          <w:tab w:leader="none" w:pos="1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total return represents scheduled accretion, accelerated accretion, net gains on asset sales, and other noninterest income recorded during the period divided by the average invested balance, on an annualized basis.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the Company's deposit base by $89.7 million, mainly through deposit listing services, which the Bank uses principally to acquire term funding consistent with its asset/liability management objectives.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Enhanced the Bank's operational capacity through the conversion of its core banking systems from an "in-house" platform to a fully-integrated outsourced solution offering improved functionality and scalability.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Operations—Continuing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right="500" w:firstLine="351"/>
        <w:spacing w:after="0" w:line="306" w:lineRule="auto"/>
        <w:rPr>
          <w:sz w:val="20"/>
          <w:szCs w:val="20"/>
          <w:color w:val="auto"/>
        </w:rPr>
      </w:pPr>
      <w:r>
        <w:rPr>
          <w:rFonts w:ascii="Arial" w:cs="Arial" w:eastAsia="Arial" w:hAnsi="Arial"/>
          <w:sz w:val="16"/>
          <w:szCs w:val="16"/>
          <w:color w:val="auto"/>
        </w:rPr>
        <w:t>Net income available to common shareholders for the year ended June 30, 2014 was $2.7 million, a $1.4 million decrease from 2013. The current year included several non-recurring items, related principally to severance costs, one-time costs associated with the Bank's core systems conversion and a legal settlement recovery. Excluding these items, which the Company considers to be non-core, net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earnings were $3.6 million, or $0.35 per share, for the year ended June 30, 2014. A reconciliation of net operating earnings for the years ended June 30, 2014 and 2013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6"/>
              </w:rPr>
              <w:t>Reconciliation of Net Income</w:t>
            </w:r>
          </w:p>
        </w:tc>
      </w:tr>
      <w:tr>
        <w:trPr>
          <w:trHeight w:val="149"/>
        </w:trPr>
        <w:tc>
          <w:tcPr>
            <w:tcW w:w="2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Available to Common</w:t>
            </w:r>
          </w:p>
        </w:tc>
      </w:tr>
      <w:tr>
        <w:trPr>
          <w:trHeight w:val="149"/>
        </w:trPr>
        <w:tc>
          <w:tcPr>
            <w:tcW w:w="2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Shareholders (GAAP) to Net</w:t>
            </w:r>
          </w:p>
        </w:tc>
      </w:tr>
      <w:tr>
        <w:trPr>
          <w:trHeight w:val="149"/>
        </w:trPr>
        <w:tc>
          <w:tcPr>
            <w:tcW w:w="2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Operating Earnings</w:t>
            </w:r>
          </w:p>
        </w:tc>
      </w:tr>
      <w:tr>
        <w:trPr>
          <w:trHeight w:val="161"/>
        </w:trPr>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2"/>
              </w:rPr>
              <w:t>(non-GAAP)(1)</w:t>
            </w:r>
          </w:p>
        </w:tc>
      </w:tr>
      <w:tr>
        <w:trPr>
          <w:trHeight w:val="142"/>
        </w:trPr>
        <w:tc>
          <w:tcPr>
            <w:tcW w:w="2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6"/>
          </w:tcPr>
          <w:p>
            <w:pPr>
              <w:jc w:val="center"/>
              <w:ind w:right="74"/>
              <w:spacing w:after="0" w:line="142" w:lineRule="exact"/>
              <w:rPr>
                <w:sz w:val="20"/>
                <w:szCs w:val="20"/>
                <w:color w:val="auto"/>
              </w:rPr>
            </w:pPr>
            <w:r>
              <w:rPr>
                <w:rFonts w:ascii="Arial" w:cs="Arial" w:eastAsia="Arial" w:hAnsi="Arial"/>
                <w:sz w:val="14"/>
                <w:szCs w:val="14"/>
                <w:b w:val="1"/>
                <w:bCs w:val="1"/>
                <w:color w:val="auto"/>
                <w:w w:val="86"/>
              </w:rPr>
              <w:t>Year Ended June 30,</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29"/>
        </w:trPr>
        <w:tc>
          <w:tcPr>
            <w:tcW w:w="21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61"/>
              <w:spacing w:after="0" w:line="129" w:lineRule="exact"/>
              <w:rPr>
                <w:sz w:val="20"/>
                <w:szCs w:val="20"/>
                <w:color w:val="auto"/>
              </w:rPr>
            </w:pPr>
            <w:r>
              <w:rPr>
                <w:rFonts w:ascii="Arial" w:cs="Arial" w:eastAsia="Arial" w:hAnsi="Arial"/>
                <w:sz w:val="14"/>
                <w:szCs w:val="14"/>
                <w:b w:val="1"/>
                <w:bCs w:val="1"/>
                <w:color w:val="auto"/>
                <w:w w:val="99"/>
              </w:rPr>
              <w:t>(Dollars in</w:t>
            </w:r>
          </w:p>
        </w:tc>
        <w:tc>
          <w:tcPr>
            <w:tcW w:w="1180" w:type="dxa"/>
            <w:vAlign w:val="bottom"/>
            <w:gridSpan w:val="5"/>
          </w:tcPr>
          <w:p>
            <w:pPr>
              <w:jc w:val="right"/>
              <w:ind w:right="174"/>
              <w:spacing w:after="0" w:line="129" w:lineRule="exact"/>
              <w:rPr>
                <w:sz w:val="20"/>
                <w:szCs w:val="20"/>
                <w:color w:val="auto"/>
              </w:rPr>
            </w:pPr>
            <w:r>
              <w:rPr>
                <w:rFonts w:ascii="Arial" w:cs="Arial" w:eastAsia="Arial" w:hAnsi="Arial"/>
                <w:sz w:val="14"/>
                <w:szCs w:val="14"/>
                <w:b w:val="1"/>
                <w:bCs w:val="1"/>
                <w:color w:val="auto"/>
                <w:w w:val="73"/>
              </w:rPr>
              <w:t>thousands, except</w:t>
            </w: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5"/>
              </w:rPr>
              <w:t>share and per share data)</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(GAAP)</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4,065</w:t>
            </w:r>
          </w:p>
        </w:tc>
      </w:tr>
      <w:tr>
        <w:trPr>
          <w:trHeight w:val="216"/>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Items excluded from operating earnings,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8"/>
                <w:szCs w:val="18"/>
                <w:color w:val="auto"/>
              </w:rPr>
              <w:t>Severance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r>
      <w:tr>
        <w:trPr>
          <w:trHeight w:val="216"/>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Software conversion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8"/>
                <w:szCs w:val="18"/>
                <w:color w:val="auto"/>
              </w:rPr>
              <w:t>Legal settlement expense and related professional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r>
      <w:tr>
        <w:trPr>
          <w:trHeight w:val="20"/>
        </w:trPr>
        <w:tc>
          <w:tcPr>
            <w:tcW w:w="2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after-tax items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Net operating earnings (non-GAAP)</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4,815</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outstanding—basic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10,404,784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3"/>
              </w:rPr>
              <w:t>10,409,588</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Reported basic earnings per share (GAAP)</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r>
      <w:tr>
        <w:trPr>
          <w:trHeight w:val="216"/>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Items excluded from operating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Net operating earnings per share (non-GAAP)</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540" w:hanging="540"/>
        <w:spacing w:after="0" w:line="268" w:lineRule="auto"/>
        <w:tabs>
          <w:tab w:leader="none" w:pos="2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believes operating earnings, which exclude non-core items, provide a more meaningful representation of the Company's performance.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Items of significance affecting the Company's earnings included:</w:t>
      </w:r>
    </w:p>
    <w:p>
      <w:pPr>
        <w:spacing w:after="0" w:line="252" w:lineRule="exact"/>
        <w:rPr>
          <w:sz w:val="20"/>
          <w:szCs w:val="20"/>
          <w:color w:val="auto"/>
        </w:rPr>
      </w:pPr>
    </w:p>
    <w:p>
      <w:pPr>
        <w:ind w:left="1080" w:right="120" w:hanging="532"/>
        <w:spacing w:after="0" w:line="306"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net interest income and dividend income before provision for loan losses, which grew to $31.7 million compared to $29.9 million for the year ended June 30, 2013, principally due to an 18.6% increase in loans, offset in part by reduced transactional interest income on purchased loans. The following table summarizes interest income and related yields recognized on the Company's loans.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w w:val="89"/>
              </w:rPr>
              <w:t>Year Ended June 30,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w w:val="76"/>
              </w:rPr>
              <w:t>2013</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jc w:val="right"/>
              <w:ind w:right="158"/>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246,853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252,199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14,824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LASG: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w:t>
            </w:r>
          </w:p>
        </w:tc>
      </w:tr>
      <w:tr>
        <w:trPr>
          <w:trHeight w:val="216"/>
        </w:trPr>
        <w:tc>
          <w:tcPr>
            <w:tcW w:w="2940" w:type="dxa"/>
            <w:vAlign w:val="bottom"/>
          </w:tcPr>
          <w:p>
            <w:pPr>
              <w:jc w:val="right"/>
              <w:ind w:right="1952"/>
              <w:spacing w:after="0"/>
              <w:rPr>
                <w:sz w:val="20"/>
                <w:szCs w:val="20"/>
                <w:color w:val="auto"/>
              </w:rPr>
            </w:pPr>
            <w:r>
              <w:rPr>
                <w:rFonts w:ascii="Arial" w:cs="Arial" w:eastAsia="Arial" w:hAnsi="Arial"/>
                <w:sz w:val="18"/>
                <w:szCs w:val="18"/>
                <w:color w:val="auto"/>
              </w:rPr>
              <w:t>Purchased</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178,377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117,205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18,801</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16.04%</w:t>
            </w:r>
          </w:p>
        </w:tc>
      </w:tr>
      <w:tr>
        <w:trPr>
          <w:trHeight w:val="210"/>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248,260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132,111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20,193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w:t>
            </w:r>
          </w:p>
        </w:tc>
      </w:tr>
      <w:tr>
        <w:trPr>
          <w:trHeight w:val="210"/>
        </w:trPr>
        <w:tc>
          <w:tcPr>
            <w:tcW w:w="2940" w:type="dxa"/>
            <w:vAlign w:val="bottom"/>
          </w:tcPr>
          <w:p>
            <w:pPr>
              <w:jc w:val="right"/>
              <w:ind w:right="1952"/>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495,113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7.47%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384,310</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35,017</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9.11%</w:t>
            </w:r>
          </w:p>
        </w:tc>
      </w:tr>
      <w:tr>
        <w:trPr>
          <w:trHeight w:val="20"/>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yield on purchased loans in each period shown was increased by unscheduled loan payoffs, which resulted in immediate recognition of the prepaid loans' discount in interest income.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following table details the "total return" on purchased loans, which includes total transactional income of $5.4 million for the year ended June 30, 2014, a decrease of $5.2 million from the year ended June 30, 2013. The following table summarizes the total return recognized on the purchased loan portfolio:</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86"/>
              </w:rPr>
              <w:t>Year Ended 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Return(1)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9"/>
              </w:rPr>
              <w:t>Return(1)</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Transactional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2,115</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16"/>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Gain on sale of real estate owned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r>
      <w:tr>
        <w:trPr>
          <w:trHeight w:val="21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r>
      <w:tr>
        <w:trPr>
          <w:trHeight w:val="216"/>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Accelerated accretion and loan fees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6.58%</w:t>
            </w:r>
          </w:p>
        </w:tc>
      </w:tr>
      <w:tr>
        <w:trPr>
          <w:trHeight w:val="21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r>
      <w:tr>
        <w:trPr>
          <w:trHeight w:val="210"/>
        </w:trPr>
        <w:tc>
          <w:tcPr>
            <w:tcW w:w="44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18.33%</w:t>
            </w:r>
          </w:p>
        </w:tc>
      </w:tr>
      <w:tr>
        <w:trPr>
          <w:trHeight w:val="20"/>
        </w:trPr>
        <w:tc>
          <w:tcPr>
            <w:tcW w:w="2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20" w:hanging="540"/>
        <w:spacing w:after="0" w:line="332" w:lineRule="auto"/>
        <w:tabs>
          <w:tab w:leader="none" w:pos="22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total return represents scheduled interest and accretion, accelerated accretion, net gains on asset sales, and other noninterest income recorded during the period divided by the average invested balance, on an annualized basis.</w:t>
      </w:r>
    </w:p>
    <w:p>
      <w:pPr>
        <w:spacing w:after="0" w:line="166"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decrease of $4.4 million in noninterest income, principally resulting from lower sales of residential and purchased loans in fiscal 2014. During fiscal 2014, residential loans originated for sale decreased by $50.5 million, mainly the result of adding most residential production to portfolio during the first half of fiscal 2014, in order to increase the Bank's loan purchasing capacity under its regulatory commitments.</w:t>
      </w:r>
    </w:p>
    <w:p>
      <w:pPr>
        <w:spacing w:after="0" w:line="174"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$178 thousand in noninterest expense, principally due to legal settlement expense of $980 thousand in fiscal 2013 and reduced marketing expense in fiscal 2014, partially offset by increased compensation and occupancy expenses.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average balance sheets, average yields and costs, and certain other information for the periods indicated:</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87"/>
              </w:rPr>
              <w:t>Year Ended 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Income/</w:t>
            </w:r>
          </w:p>
        </w:tc>
        <w:tc>
          <w:tcPr>
            <w:tcW w:w="1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Yield/</w:t>
            </w:r>
          </w:p>
        </w:tc>
        <w:tc>
          <w:tcPr>
            <w:tcW w:w="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Income/</w:t>
            </w:r>
          </w:p>
        </w:tc>
        <w:tc>
          <w:tcPr>
            <w:tcW w:w="1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Yield/</w:t>
            </w:r>
          </w:p>
        </w:tc>
        <w:tc>
          <w:tcPr>
            <w:tcW w:w="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Income/</w:t>
            </w:r>
          </w:p>
        </w:tc>
        <w:tc>
          <w:tcPr>
            <w:tcW w:w="16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Yield/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7"/>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Interest-earning assets: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 securities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115,849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0.90%</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131,199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138,708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Loans(1)(2)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495,113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37,009</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384,310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35,017</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339,648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24,734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Regulatory stock</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Short-term investments(3)</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78,838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0.24%</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127,781</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0.24%</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76,217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189</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interest-earning assets</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695,420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38,371</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5.52%</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648,688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36,543</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5.63%</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560,246</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27,014</w:t>
            </w:r>
          </w:p>
        </w:tc>
        <w:tc>
          <w:tcPr>
            <w:tcW w:w="8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42"/>
        </w:trPr>
        <w:tc>
          <w:tcPr>
            <w:tcW w:w="2580" w:type="dxa"/>
            <w:vAlign w:val="bottom"/>
            <w:gridSpan w:val="3"/>
          </w:tcPr>
          <w:p>
            <w:pPr>
              <w:spacing w:after="0" w:line="142" w:lineRule="exact"/>
              <w:rPr>
                <w:sz w:val="20"/>
                <w:szCs w:val="20"/>
                <w:color w:val="auto"/>
              </w:rPr>
            </w:pPr>
            <w:r>
              <w:rPr>
                <w:rFonts w:ascii="Arial" w:cs="Arial" w:eastAsia="Arial" w:hAnsi="Arial"/>
                <w:sz w:val="14"/>
                <w:szCs w:val="14"/>
                <w:color w:val="auto"/>
              </w:rPr>
              <w:t>Cash and due from banks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2,876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3,065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2,910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non-interest earning assets</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37,206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36,803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3"/>
          </w:tcPr>
          <w:p>
            <w:pPr>
              <w:spacing w:after="0" w:line="142" w:lineRule="exact"/>
              <w:rPr>
                <w:sz w:val="20"/>
                <w:szCs w:val="20"/>
                <w:color w:val="auto"/>
              </w:rPr>
            </w:pPr>
            <w:r>
              <w:rPr>
                <w:rFonts w:ascii="Arial" w:cs="Arial" w:eastAsia="Arial" w:hAnsi="Arial"/>
                <w:sz w:val="14"/>
                <w:szCs w:val="14"/>
                <w:color w:val="auto"/>
              </w:rPr>
              <w:t>Total assets</w:t>
            </w: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732,254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688,959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599,959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Liabilities &amp; Shareholders' Equity:</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liabilities: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NOW accounts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61,146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55,763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55,218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Money market accounts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85,333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447</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0.52%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63,931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0.53%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44,692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Savings accounts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32,799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Time deposits</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314,848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3,470</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280,059</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3,564</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1.27%</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223,782</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interest-bearing deposits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495,718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4,123</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0.83%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431,692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4,098</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0.95%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356,491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3,426</w:t>
            </w:r>
          </w:p>
        </w:tc>
        <w:tc>
          <w:tcPr>
            <w:tcW w:w="8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Short-term borrowings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Borrowed funds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112,812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2,119</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Junior subordinated debentures</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8,352</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765</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9.16%</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8,185</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769</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9.40%</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8,028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interest-bearing liabilities</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564,768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6,653</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1.18%</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516,982</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6,596</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1.28%</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478,406</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6,317</w:t>
            </w:r>
          </w:p>
        </w:tc>
        <w:tc>
          <w:tcPr>
            <w:tcW w:w="8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31"/>
        </w:trPr>
        <w:tc>
          <w:tcPr>
            <w:tcW w:w="2580" w:type="dxa"/>
            <w:vAlign w:val="bottom"/>
            <w:gridSpan w:val="3"/>
          </w:tcPr>
          <w:p>
            <w:pPr>
              <w:spacing w:after="0" w:line="131" w:lineRule="exact"/>
              <w:rPr>
                <w:sz w:val="20"/>
                <w:szCs w:val="20"/>
                <w:color w:val="auto"/>
              </w:rPr>
            </w:pPr>
            <w:r>
              <w:rPr>
                <w:rFonts w:ascii="Arial" w:cs="Arial" w:eastAsia="Arial" w:hAnsi="Arial"/>
                <w:sz w:val="14"/>
                <w:szCs w:val="14"/>
                <w:color w:val="auto"/>
              </w:rPr>
              <w:t>Interest-bearing liabilities of discontinued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operations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271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liabilities: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Demand deposits and escrow accounts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50,890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49,343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45,933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5,982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3"/>
          </w:tcPr>
          <w:p>
            <w:pPr>
              <w:spacing w:after="0" w:line="142" w:lineRule="exact"/>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w w:val="90"/>
              </w:rPr>
              <w:t>619,620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w w:val="90"/>
              </w:rPr>
              <w:t>572,307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w w:val="90"/>
              </w:rPr>
              <w:t>528,542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112,634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116,652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71,417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3"/>
          </w:tcPr>
          <w:p>
            <w:pPr>
              <w:spacing w:after="0" w:line="142" w:lineRule="exact"/>
              <w:rPr>
                <w:sz w:val="20"/>
                <w:szCs w:val="20"/>
                <w:color w:val="auto"/>
              </w:rPr>
            </w:pPr>
            <w:r>
              <w:rPr>
                <w:rFonts w:ascii="Arial" w:cs="Arial" w:eastAsia="Arial" w:hAnsi="Arial"/>
                <w:sz w:val="14"/>
                <w:szCs w:val="14"/>
                <w:color w:val="auto"/>
              </w:rPr>
              <w:t>Total liabilities and shareholders' equity</w:t>
            </w: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732,254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688,959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599,959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4"/>
                <w:szCs w:val="14"/>
                <w:color w:val="auto"/>
              </w:rPr>
              <w:t>Net interest income</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31,718</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29,947</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20,697</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gridSpan w:val="3"/>
            <w:vMerge w:val="restart"/>
          </w:tcPr>
          <w:p>
            <w:pPr>
              <w:spacing w:after="0"/>
              <w:rPr>
                <w:sz w:val="20"/>
                <w:szCs w:val="20"/>
                <w:color w:val="auto"/>
              </w:rPr>
            </w:pPr>
            <w:r>
              <w:rPr>
                <w:rFonts w:ascii="Arial" w:cs="Arial" w:eastAsia="Arial" w:hAnsi="Arial"/>
                <w:sz w:val="14"/>
                <w:szCs w:val="14"/>
                <w:color w:val="auto"/>
              </w:rPr>
              <w:t>Interest rate spread</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4.34%</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4.36%</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line="20" w:lineRule="exact"/>
              <w:rPr>
                <w:sz w:val="1"/>
                <w:szCs w:val="1"/>
                <w:color w:val="auto"/>
              </w:rPr>
            </w:pPr>
          </w:p>
        </w:tc>
      </w:tr>
      <w:tr>
        <w:trPr>
          <w:trHeight w:val="129"/>
        </w:trPr>
        <w:tc>
          <w:tcPr>
            <w:tcW w:w="25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margin(4)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loans held for sale.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Nonaccrual loans are included in the computation of average, but unpaid interest has not been included for purposes of determining interest income.</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Short term investments include FHLB overnight deposits and other interest-bearing deposits.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interest margin is calculated as net interest income divided by total interest-earning assets.</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7"/>
              </w:rPr>
              <w:t>Year Ended June 30, 2014</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10"/>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Compared to the Year Ended</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June 30, 2013</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gridSpan w:val="3"/>
          </w:tcPr>
          <w:p>
            <w:pPr>
              <w:jc w:val="center"/>
              <w:ind w:right="52"/>
              <w:spacing w:after="0" w:line="129" w:lineRule="exact"/>
              <w:rPr>
                <w:sz w:val="20"/>
                <w:szCs w:val="20"/>
                <w:color w:val="auto"/>
              </w:rPr>
            </w:pPr>
            <w:r>
              <w:rPr>
                <w:rFonts w:ascii="Arial" w:cs="Arial" w:eastAsia="Arial" w:hAnsi="Arial"/>
                <w:sz w:val="14"/>
                <w:szCs w:val="14"/>
                <w:b w:val="1"/>
                <w:bCs w:val="1"/>
                <w:color w:val="auto"/>
                <w:w w:val="85"/>
              </w:rPr>
              <w:t>Change Due</w:t>
            </w:r>
          </w:p>
        </w:tc>
        <w:tc>
          <w:tcPr>
            <w:tcW w:w="60" w:type="dxa"/>
            <w:vAlign w:val="bottom"/>
          </w:tcPr>
          <w:p>
            <w:pPr>
              <w:spacing w:after="0"/>
              <w:rPr>
                <w:sz w:val="11"/>
                <w:szCs w:val="11"/>
                <w:color w:val="auto"/>
              </w:rPr>
            </w:pPr>
          </w:p>
        </w:tc>
        <w:tc>
          <w:tcPr>
            <w:tcW w:w="9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Change Due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to Volume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8"/>
              </w:rPr>
              <w:t>to Rate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Total Change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0"/>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 increase in interest income</w:t>
            </w: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 increase in interest expense</w:t>
            </w:r>
          </w:p>
        </w:tc>
        <w:tc>
          <w:tcPr>
            <w:tcW w:w="1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interest and dividend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7"/>
              </w:rPr>
              <w:t>Year Ended June 30, 2013</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10"/>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Compared to the Year Ended</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June 30, 2012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gridSpan w:val="3"/>
          </w:tcPr>
          <w:p>
            <w:pPr>
              <w:jc w:val="center"/>
              <w:ind w:right="52"/>
              <w:spacing w:after="0" w:line="129" w:lineRule="exact"/>
              <w:rPr>
                <w:sz w:val="20"/>
                <w:szCs w:val="20"/>
                <w:color w:val="auto"/>
              </w:rPr>
            </w:pPr>
            <w:r>
              <w:rPr>
                <w:rFonts w:ascii="Arial" w:cs="Arial" w:eastAsia="Arial" w:hAnsi="Arial"/>
                <w:sz w:val="14"/>
                <w:szCs w:val="14"/>
                <w:b w:val="1"/>
                <w:bCs w:val="1"/>
                <w:color w:val="auto"/>
                <w:w w:val="85"/>
              </w:rPr>
              <w:t>Change Due</w:t>
            </w:r>
          </w:p>
        </w:tc>
        <w:tc>
          <w:tcPr>
            <w:tcW w:w="60" w:type="dxa"/>
            <w:vAlign w:val="bottom"/>
          </w:tcPr>
          <w:p>
            <w:pPr>
              <w:spacing w:after="0"/>
              <w:rPr>
                <w:sz w:val="11"/>
                <w:szCs w:val="11"/>
                <w:color w:val="auto"/>
              </w:rPr>
            </w:pPr>
          </w:p>
        </w:tc>
        <w:tc>
          <w:tcPr>
            <w:tcW w:w="9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Change Due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to Volume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8"/>
              </w:rPr>
              <w:t>to Rate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Total Change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(777)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 increase in interest income</w:t>
            </w:r>
          </w:p>
        </w:tc>
        <w:tc>
          <w:tcPr>
            <w:tcW w:w="1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Interest bearing deposits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 increase in interest expense</w:t>
            </w:r>
          </w:p>
        </w:tc>
        <w:tc>
          <w:tcPr>
            <w:tcW w:w="1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interest and dividend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For the year ended June 30, 2014, the $8.6 million volume-related change in net interest income was mainly the result of the significant increase in loans, which grew by $110.8 million on average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compared to fiscal 2013. The unfavorable rate-related change in fiscal 2014 compared to fiscal 2013 was principally due to the lower level of transactional interest income realized on purchased loans, which declined by $3.1 million year over year. For fiscal 2014, the 4.56% net interest margin earned was 6 basis points lower than that earned for the year ended June 30, 2013. The net interest margin decreased during fiscal 2014 principally due to decreased accelerated discount accretion from the early payoff of purchased loans.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effects of accretion of fair value adjustments on the net interest margin, for the periods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4"/>
                <w:szCs w:val="14"/>
                <w:b w:val="1"/>
                <w:bCs w:val="1"/>
                <w:color w:val="auto"/>
                <w:w w:val="89"/>
              </w:rPr>
              <w:t>Accretion (Amortization) of Merger Fair Value Adjustments</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Year Ended June 30,</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Income</w:t>
            </w:r>
          </w:p>
        </w:tc>
        <w:tc>
          <w:tcPr>
            <w:tcW w:w="84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Effect 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Income</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Effect 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Yield / Rate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(Expense)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Yield / 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115,849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w w:val="94"/>
              </w:rPr>
              <w:t>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131,199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0.04%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384,310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84,458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133,179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0.03%$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Interest-bearing liabilities: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6"/>
              </w:rPr>
              <w:t>0.11%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431,692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0.71%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interest-bearing liabilities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516,982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Total effect of noncash accretion on:</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total cost of funds improved to 1.08% in fiscal 2014, down from 1.16% in fiscal 2013, principally due to a 12 basis point decrease in the cost of interest-bearing deposits.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Quarterly, the Company determines the amount of its allowance for loan losses adequate to provide for losses inherent in the Company's loan portfolios, with the provision for loan losses determined by the net periodic change in the allowance for loan losses. For acquired loans accounted for under ASC 310-30, a provision for loan loss is recorded when estimates of future cash flows decrease due to credit deterioration.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provision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provision for loan losses for the fiscal year ended June 30, 2014 was $531 thousand. This compares to a provision for loan losses of $1.1 million for the year ended June 30, 2013. At June 30, 2014 and 2013, the allowance for loan losses stood at $1.4 million and $1.1 million, respectively,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ratio of allowance for loan losses to total loans was 0.26% at each fiscal year end. Net charge-offs for the fiscal year ended June 30, 2014 totaled</w:t>
      </w:r>
    </w:p>
    <w:p>
      <w:pPr>
        <w:spacing w:after="0" w:line="38"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$308 thousand, representing approximately 0.06% of the Company's average portfolio loan balance during the fiscal year. This compares to $803 thousand, or 0.21%, in fiscal 2013, representing a decrease of $495 thousand in fiscal 2014, the result of improved net charge-off trends in all loan segments.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on the allowance for loan losses, see "Asset Quality."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Noninterest income for the fiscal year ended June 30, 2014 totaled $4.9 million, a decrease of $4.4 million, or 47.7%, from fiscal 2013. When compared to fiscal 2013, the increase was principally due to the following:</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$792 thousand decrease in securities gains. There were no sales of available-for-sale securities in fiscal 2014;</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$1.4 million decrease in gains on residential loans originated for sale, a decrease correlated to the volume of loans originated for portfolio in fiscal 2014;</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$1.3 million decrease in gains on portfolio loan sales, due to fewer sales of purchased loans in fiscal 2014;</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$683 thousand decrease in net gains on sales of other real estate owned. In fiscal 2013, the Company recognized gains of $684 thousand on the resolution of properties previously securing acquired loans, as compared to $100 thousand in fiscal 2014;</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$267 thousand decrease in BOLI income, due to death benefits received in fiscal 2013.</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Noninterest expense for the fiscal year ended June 30, 2014 totaled $31.8 million, a decrease of $178 thousand, or 0.6%, from fiscal 2013. When compared to fiscal 2013, the increase was principally due to the following:</w:t>
      </w:r>
    </w:p>
    <w:p>
      <w:pPr>
        <w:spacing w:after="0" w:line="199" w:lineRule="exact"/>
        <w:rPr>
          <w:sz w:val="20"/>
          <w:szCs w:val="20"/>
          <w:color w:val="auto"/>
        </w:rPr>
      </w:pPr>
    </w:p>
    <w:p>
      <w:pPr>
        <w:ind w:left="1080" w:right="320" w:hanging="532"/>
        <w:spacing w:after="0" w:line="335" w:lineRule="auto"/>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increase of $750 thousand in salaries and benefits, principally due to increased severance costs, partially offset by lower incentive compensation. Severance expense totaled $1.3 million in fiscal 2014, compared to $309 thousand in fiscal 2013. The Company's employees, excluding discontinued operations, and on a full-time equivalent basis, totaled 187 at June 30, 2014, compared to 205 at June 30, 2013;</w:t>
      </w:r>
    </w:p>
    <w:p>
      <w:pPr>
        <w:spacing w:after="0" w:line="155" w:lineRule="exact"/>
        <w:rPr>
          <w:rFonts w:ascii="Arial" w:cs="Arial" w:eastAsia="Arial" w:hAnsi="Arial"/>
          <w:sz w:val="15"/>
          <w:szCs w:val="15"/>
          <w:color w:val="auto"/>
        </w:rPr>
      </w:pPr>
    </w:p>
    <w:p>
      <w:pPr>
        <w:ind w:left="1080" w:right="56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of $822 thousand in occupancy and equipment expense, principally due to increased rent associated with the relocation of the Company's office in Boston, MA, and depreciation, principally related to the Company's core banking software;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$165 thousand in professional fees, principally due to lower legal fees in fiscal 2014;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of $237 thousand in data processing, due to the conversion of the Bank's core software to an outsourced model during fiscal 2014;</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of $724 thousand in marketing expense, due to a reduction in deposit and residential mortgage marketing in fiscal 2014;</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of $227 thousand in loan acquisition and collection expense, principally due to lower loan acquisitions and work-out expenses;</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$197 thousand in intangible asset amortization. The company's core deposit intangible is amortized on an accelerated basis, therefore, the expense decreases annually;</w:t>
      </w:r>
    </w:p>
    <w:p>
      <w:pPr>
        <w:spacing w:after="0" w:line="21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$1.2 million in legal settlement expense. In fiscal 2013, the Company recorded a charge of $1.0 million in connection with a dispute regarding certain deposit account activity occurring in 2005 and 2006. The Company received an insurance recovery totaling $250 thousand in fiscal 2014 related to this settlement;</w:t>
      </w:r>
    </w:p>
    <w:p>
      <w:pPr>
        <w:spacing w:after="0" w:line="207"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other noninterest expense of $530 thousand, principally related to nonrecurring expenses associated with the Company's core banking software conversion in fiscal 2014. Non-capital expenses associated with the conversion totaled $466 thousand.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Income tax expense for the fiscal year ended June 30, 2014 totaled $1.6 million, representing 36.9% of pretax income, as compared to $1.9 million, or 30.5% of pretax income, in fiscal 2013. The increase in the Company's effective tax rate was principally due to increased state income taxes resulting from year over year changes in state apportionment. In the current year, relatively less income was apportioned to Maine, which has a lower financial institution income tax rate than the other states to which the Company's income was apportioned.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Operations—Discontinued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Company concluded all investment brokerage activities in the second quarter of fiscal 2014. Accordingly, operations associated with these activities have been classified as discontinued operations for all periods shown in the accompanying consolidated statements of income. The Company recorded a net loss from discontinued operations of $8 thousand in fiscal 2014, compared to net income of $125 thousand in fiscal 2013.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total assets grew to $761.9 million at June 30, 2014, representing an increase of $91.3 million, or 13.6%, compared to $670.6 million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2013. Significant changes in the Company's balance sheet components include:</w:t>
      </w:r>
    </w:p>
    <w:p>
      <w:pPr>
        <w:spacing w:after="0" w:line="232" w:lineRule="exact"/>
        <w:rPr>
          <w:sz w:val="20"/>
          <w:szCs w:val="20"/>
          <w:color w:val="auto"/>
        </w:rPr>
      </w:pPr>
    </w:p>
    <w:p>
      <w:pPr>
        <w:ind w:left="1080" w:right="50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Loans increased by $84.4 million, or 19.0%, compared to June 30, 2013, principally due to net growth of $75.3 million in commercial loans purchased or originated by the LASG and $9.1 million of net growth in loans originated by the Bank's Community Banking Division;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Deposits and borrowings increased by $89.7 million and $1.9 million, respectively, from June 30, 2013. Non-maturity deposits increased by</w:t>
      </w:r>
    </w:p>
    <w:p>
      <w:pPr>
        <w:spacing w:after="0" w:line="38" w:lineRule="exact"/>
        <w:rPr>
          <w:rFonts w:ascii="Arial" w:cs="Arial" w:eastAsia="Arial" w:hAnsi="Arial"/>
          <w:sz w:val="16"/>
          <w:szCs w:val="16"/>
          <w:color w:val="auto"/>
        </w:rPr>
      </w:pPr>
    </w:p>
    <w:p>
      <w:pPr>
        <w:ind w:left="1080" w:right="20"/>
        <w:spacing w:after="0" w:line="323" w:lineRule="auto"/>
        <w:rPr>
          <w:rFonts w:ascii="Arial" w:cs="Arial" w:eastAsia="Arial" w:hAnsi="Arial"/>
          <w:sz w:val="16"/>
          <w:szCs w:val="16"/>
          <w:color w:val="auto"/>
        </w:rPr>
      </w:pPr>
      <w:r>
        <w:rPr>
          <w:rFonts w:ascii="Arial" w:cs="Arial" w:eastAsia="Arial" w:hAnsi="Arial"/>
          <w:sz w:val="16"/>
          <w:szCs w:val="16"/>
          <w:color w:val="auto"/>
        </w:rPr>
        <w:t>$10.6 million, or 4.8%, for the year while time deposits grew by 30.1% or $79.1 million. The latter was centered in deposits raised through deposit listing services, which the Bank uses when advantageous to acquire term funding consistent with its asset/liability management objectives;</w:t>
      </w:r>
    </w:p>
    <w:p>
      <w:pPr>
        <w:spacing w:after="0" w:line="160"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Shareholders' equity decreased by $1.7 million from June 30, 2013, in part due to common stock dividends of $2.9 million and $2.8 million of common stock repurchases (representing 291,200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Cash and cash equivalents increased $16.3 million, or 24.8%, to $82.3 million at June 30, 2014 as compared to $65.9 million at June 30, 2013. This increase was principally the result of deposit growth of $89.7 million and a net decrease in available-for-sale securities of $7.7 million, partially offset by loan growth of $84.4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Investments Securities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available-for-sale securities portfolio totaled $113.9 million and $121.6 million at June 30, 2014 and 2013, respectively. Mortgage-backed securities and U.S. Government-sponsored enterprise bonds totaling $33.1 million were pledged for outstanding borrowings at June 30, 2014.</w:t>
      </w:r>
    </w:p>
    <w:p>
      <w:pPr>
        <w:spacing w:after="0" w:line="139"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At June 30, 2014, the Company's investment portfolio was comprised entirely of U.S. Government-sponsored enterprise bonds and mortgage-backed securities guaranteed by government agencies. Generally, funds retained by the Company as a result of increases in deposits or decreases in loans, to the extent not immediately deployed by the Bank, are invested in securities held in its investment portfolio, which serves as a source of liquidity for the Company. The composition of the Company's securities portfolio at the dates indicated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ind w:left="460"/>
              <w:spacing w:after="0"/>
              <w:rPr>
                <w:sz w:val="20"/>
                <w:szCs w:val="20"/>
                <w:color w:val="auto"/>
              </w:rPr>
            </w:pPr>
            <w:r>
              <w:rPr>
                <w:rFonts w:ascii="Arial" w:cs="Arial" w:eastAsia="Arial" w:hAnsi="Arial"/>
                <w:sz w:val="14"/>
                <w:szCs w:val="14"/>
                <w:b w:val="1"/>
                <w:bCs w:val="1"/>
                <w:color w:val="auto"/>
              </w:rPr>
              <w:t>June 30, 2012</w:t>
            </w: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18"/>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60"/>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6"/>
              </w:rPr>
              <w:t>Fair Value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6"/>
              </w:rPr>
              <w:t>Fair Value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8"/>
              </w:rPr>
              <w:t>U.S. Government agency securities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7"/>
              </w:rPr>
              <w:t>Agency mortgage-backed securities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78,944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86,816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Trust preferred securities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115,159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124,233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420" w:firstLine="348"/>
        <w:spacing w:after="0" w:line="370" w:lineRule="auto"/>
        <w:rPr>
          <w:sz w:val="20"/>
          <w:szCs w:val="20"/>
          <w:color w:val="auto"/>
        </w:rPr>
      </w:pPr>
      <w:r>
        <w:rPr>
          <w:rFonts w:ascii="Arial" w:cs="Arial" w:eastAsia="Arial" w:hAnsi="Arial"/>
          <w:sz w:val="15"/>
          <w:szCs w:val="15"/>
          <w:color w:val="auto"/>
        </w:rPr>
        <w:t>The table below sets forth certain information regarding the contractual maturities and weighted average yields of the Company's securities portfolio at June 30, 2014. Actual maturities of mortgage-backed securities will differ from contractual maturities due both to scheduled amortization and prepayments.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After One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After Five</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Within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Year Through</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Years Through</w:t>
            </w: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After</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One Year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Five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Ten Years</w:t>
            </w:r>
          </w:p>
        </w:tc>
        <w:tc>
          <w:tcPr>
            <w:tcW w:w="120" w:type="dxa"/>
            <w:vAlign w:val="bottom"/>
          </w:tcPr>
          <w:p>
            <w:pPr>
              <w:spacing w:after="0"/>
              <w:rPr>
                <w:sz w:val="14"/>
                <w:szCs w:val="14"/>
                <w:color w:val="auto"/>
              </w:rPr>
            </w:pPr>
          </w:p>
        </w:tc>
        <w:tc>
          <w:tcPr>
            <w:tcW w:w="12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Ten Years</w:t>
            </w:r>
          </w:p>
        </w:tc>
        <w:tc>
          <w:tcPr>
            <w:tcW w:w="700" w:type="dxa"/>
            <w:vAlign w:val="bottom"/>
            <w:gridSpan w:val="2"/>
          </w:tcPr>
          <w:p>
            <w:pPr>
              <w:ind w:left="360"/>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Amount   Yield</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Yield</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(Dollars in</w:t>
            </w:r>
          </w:p>
        </w:tc>
        <w:tc>
          <w:tcPr>
            <w:tcW w:w="80" w:type="dxa"/>
            <w:vAlign w:val="bottom"/>
            <w:vMerge w:val="continue"/>
          </w:tcPr>
          <w:p>
            <w:pPr>
              <w:spacing w:after="0"/>
              <w:rPr>
                <w:sz w:val="12"/>
                <w:szCs w:val="12"/>
                <w:color w:val="auto"/>
              </w:rPr>
            </w:pPr>
          </w:p>
        </w:tc>
        <w:tc>
          <w:tcPr>
            <w:tcW w:w="700" w:type="dxa"/>
            <w:vAlign w:val="bottom"/>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w w:val="74"/>
              </w:rPr>
              <w:t>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1"/>
              </w:rPr>
              <w:t>U.S. Government agency securities</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$ 48,418</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0"/>
              </w:rPr>
              <w:t>Agency mortgage-backed securities</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33,536</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31,927</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65,463</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$ 48,418</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33,536</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31,927</w:t>
            </w: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113,881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reviews the portfolio of investments on an ongoing basis to determine if there have been any other-than-temporary declines in value. No other-than-temporary impairment expense was recognized during fiscal 2014 or fiscal 2013.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Loans, including loans held-for-sale, totaled $528.4 million at June 30, 2014, compared to $444.0 million at June 30, 2013. The increase of $84.4 million, or 19.0%, at June 30, 2014, was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principally due to net increases of $51.6 million, $20.8 million, and $12.1 million in commercial real estate, residential real estate, and commercial business, respectively, offset by a decrease in consumer loans. During fiscal 2014, the LASG purchased $79.8 million in loans, consisting principally of commercial real estate loans.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the Company's loan portfolio (excluding loans held-for-sale) at the dates indicated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center"/>
              <w:ind w:right="128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Successor Company</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21"/>
              <w:spacing w:after="0"/>
              <w:rPr>
                <w:sz w:val="20"/>
                <w:szCs w:val="20"/>
                <w:color w:val="auto"/>
              </w:rPr>
            </w:pPr>
            <w:r>
              <w:rPr>
                <w:rFonts w:ascii="Arial" w:cs="Arial" w:eastAsia="Arial" w:hAnsi="Arial"/>
                <w:sz w:val="14"/>
                <w:szCs w:val="14"/>
                <w:b w:val="1"/>
                <w:bCs w:val="1"/>
                <w:color w:val="auto"/>
                <w:w w:val="90"/>
              </w:rPr>
              <w:t>Company</w:t>
            </w: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6"/>
          </w:tcPr>
          <w:p>
            <w:pPr>
              <w:ind w:left="180"/>
              <w:spacing w:after="0" w:line="155" w:lineRule="exact"/>
              <w:rPr>
                <w:sz w:val="20"/>
                <w:szCs w:val="20"/>
                <w:color w:val="auto"/>
              </w:rPr>
            </w:pPr>
            <w:r>
              <w:rPr>
                <w:rFonts w:ascii="Arial" w:cs="Arial" w:eastAsia="Arial" w:hAnsi="Arial"/>
                <w:sz w:val="14"/>
                <w:szCs w:val="14"/>
                <w:b w:val="1"/>
                <w:bCs w:val="1"/>
                <w:color w:val="auto"/>
              </w:rPr>
              <w:t>June 30, 2014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5"/>
          </w:tcPr>
          <w:p>
            <w:pPr>
              <w:jc w:val="right"/>
              <w:ind w:right="409"/>
              <w:spacing w:after="0" w:line="155" w:lineRule="exact"/>
              <w:rPr>
                <w:sz w:val="20"/>
                <w:szCs w:val="20"/>
                <w:color w:val="auto"/>
              </w:rPr>
            </w:pPr>
            <w:r>
              <w:rPr>
                <w:rFonts w:ascii="Arial" w:cs="Arial" w:eastAsia="Arial" w:hAnsi="Arial"/>
                <w:sz w:val="14"/>
                <w:szCs w:val="14"/>
                <w:b w:val="1"/>
                <w:bCs w:val="1"/>
                <w:color w:val="auto"/>
              </w:rPr>
              <w:t>June 30, 2013</w:t>
            </w:r>
          </w:p>
        </w:tc>
        <w:tc>
          <w:tcPr>
            <w:tcW w:w="140" w:type="dxa"/>
            <w:vAlign w:val="bottom"/>
          </w:tcPr>
          <w:p>
            <w:pPr>
              <w:spacing w:after="0"/>
              <w:rPr>
                <w:sz w:val="13"/>
                <w:szCs w:val="13"/>
                <w:color w:val="auto"/>
              </w:rPr>
            </w:pPr>
          </w:p>
        </w:tc>
        <w:tc>
          <w:tcPr>
            <w:tcW w:w="92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w w:val="92"/>
              </w:rPr>
              <w:t>June 30, 2012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6"/>
          </w:tcPr>
          <w:p>
            <w:pPr>
              <w:jc w:val="right"/>
              <w:ind w:right="380"/>
              <w:spacing w:after="0" w:line="155" w:lineRule="exact"/>
              <w:rPr>
                <w:sz w:val="20"/>
                <w:szCs w:val="20"/>
                <w:color w:val="auto"/>
              </w:rPr>
            </w:pPr>
            <w:r>
              <w:rPr>
                <w:rFonts w:ascii="Arial" w:cs="Arial" w:eastAsia="Arial" w:hAnsi="Arial"/>
                <w:sz w:val="14"/>
                <w:szCs w:val="14"/>
                <w:b w:val="1"/>
                <w:bCs w:val="1"/>
                <w:color w:val="auto"/>
              </w:rPr>
              <w:t>June 30, 2011</w:t>
            </w:r>
          </w:p>
        </w:tc>
        <w:tc>
          <w:tcPr>
            <w:tcW w:w="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tcPr>
          <w:p>
            <w:pPr>
              <w:jc w:val="center"/>
              <w:ind w:right="1280"/>
              <w:spacing w:after="0" w:line="155" w:lineRule="exact"/>
              <w:rPr>
                <w:sz w:val="20"/>
                <w:szCs w:val="20"/>
                <w:color w:val="auto"/>
              </w:rPr>
            </w:pPr>
            <w:r>
              <w:rPr>
                <w:rFonts w:ascii="Arial" w:cs="Arial" w:eastAsia="Arial" w:hAnsi="Arial"/>
                <w:sz w:val="14"/>
                <w:szCs w:val="14"/>
                <w:b w:val="1"/>
                <w:bCs w:val="1"/>
                <w:color w:val="auto"/>
                <w:w w:val="85"/>
              </w:rPr>
              <w:t>June 30, 2010</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93"/>
              </w:rPr>
              <w:t>Percent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81"/>
              </w:rPr>
              <w:t>Percent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Percent</w:t>
            </w:r>
          </w:p>
        </w:tc>
        <w:tc>
          <w:tcPr>
            <w:tcW w:w="1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
              <w:spacing w:after="0" w:line="129" w:lineRule="exact"/>
              <w:rPr>
                <w:sz w:val="20"/>
                <w:szCs w:val="20"/>
                <w:color w:val="auto"/>
              </w:rPr>
            </w:pPr>
            <w:r>
              <w:rPr>
                <w:rFonts w:ascii="Arial" w:cs="Arial" w:eastAsia="Arial" w:hAnsi="Arial"/>
                <w:sz w:val="14"/>
                <w:szCs w:val="14"/>
                <w:b w:val="1"/>
                <w:bCs w:val="1"/>
                <w:color w:val="auto"/>
                <w:w w:val="93"/>
              </w:rPr>
              <w:t>Percent</w:t>
            </w:r>
          </w:p>
        </w:tc>
        <w:tc>
          <w:tcPr>
            <w:tcW w:w="1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of Total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w w:val="98"/>
              </w:rPr>
              <w:t>of Total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9"/>
          </w:tcPr>
          <w:p>
            <w:pPr>
              <w:jc w:val="right"/>
              <w:ind w:right="229"/>
              <w:spacing w:after="0"/>
              <w:rPr>
                <w:sz w:val="20"/>
                <w:szCs w:val="20"/>
                <w:color w:val="auto"/>
              </w:rPr>
            </w:pPr>
            <w:r>
              <w:rPr>
                <w:rFonts w:ascii="Arial" w:cs="Arial" w:eastAsia="Arial" w:hAnsi="Arial"/>
                <w:sz w:val="14"/>
                <w:szCs w:val="14"/>
                <w:b w:val="1"/>
                <w:bCs w:val="1"/>
                <w:color w:val="auto"/>
              </w:rPr>
              <w:t>Amount   of Total</w:t>
            </w: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of Total</w:t>
            </w: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76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(Dollars in</w:t>
            </w:r>
          </w:p>
        </w:tc>
        <w:tc>
          <w:tcPr>
            <w:tcW w:w="520" w:type="dxa"/>
            <w:vAlign w:val="bottom"/>
            <w:gridSpan w:val="4"/>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real estate</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148,634</w:t>
            </w:r>
          </w:p>
        </w:tc>
        <w:tc>
          <w:tcPr>
            <w:tcW w:w="8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28.79%$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127,829</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29.36%$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137,571</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38.61% $</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145,477</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46.94%</w:t>
            </w:r>
          </w:p>
        </w:tc>
        <w:tc>
          <w:tcPr>
            <w:tcW w:w="80" w:type="dxa"/>
            <w:vAlign w:val="bottom"/>
            <w:tcBorders>
              <w:right w:val="single" w:sz="8" w:color="auto"/>
            </w:tcBorders>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155,613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40.70%</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316,067</w:t>
            </w: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61.20%</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264,448</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60.74%</w:t>
            </w: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180,735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50.74%</w:t>
            </w:r>
          </w:p>
        </w:tc>
        <w:tc>
          <w:tcPr>
            <w:tcW w:w="80" w:type="dxa"/>
            <w:vAlign w:val="bottom"/>
          </w:tcPr>
          <w:p>
            <w:pPr>
              <w:spacing w:after="0"/>
              <w:rPr>
                <w:sz w:val="12"/>
                <w:szCs w:val="12"/>
                <w:color w:val="auto"/>
              </w:rPr>
            </w:pPr>
          </w:p>
        </w:tc>
        <w:tc>
          <w:tcPr>
            <w:tcW w:w="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117,761</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38.00%</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121,175</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31.70%</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7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0.01%</w:t>
            </w:r>
          </w:p>
        </w:tc>
        <w:tc>
          <w:tcPr>
            <w:tcW w:w="60" w:type="dxa"/>
            <w:vAlign w:val="bottom"/>
            <w:tcBorders>
              <w:lef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1,187</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0.33%</w:t>
            </w: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Commercial business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41,800</w:t>
            </w: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8.09%</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29,720</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6.83%</w:t>
            </w: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5.51%</w:t>
            </w:r>
          </w:p>
        </w:tc>
        <w:tc>
          <w:tcPr>
            <w:tcW w:w="80" w:type="dxa"/>
            <w:vAlign w:val="bottom"/>
          </w:tcPr>
          <w:p>
            <w:pPr>
              <w:spacing w:after="0"/>
              <w:rPr>
                <w:sz w:val="12"/>
                <w:szCs w:val="12"/>
                <w:color w:val="auto"/>
              </w:rPr>
            </w:pPr>
          </w:p>
        </w:tc>
        <w:tc>
          <w:tcPr>
            <w:tcW w:w="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22,225</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7.17%</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30,214</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7.90%</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and other</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9,884</w:t>
            </w:r>
          </w:p>
        </w:tc>
        <w:tc>
          <w:tcPr>
            <w:tcW w:w="7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13,337</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3.06%</w:t>
            </w:r>
          </w:p>
        </w:tc>
        <w:tc>
          <w:tcPr>
            <w:tcW w:w="60" w:type="dxa"/>
            <w:vAlign w:val="bottom"/>
            <w:tcBorders>
              <w:left w:val="single" w:sz="8" w:color="CCEEFF"/>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17,149</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4.81%</w:t>
            </w: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22,435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69,782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18.25%</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140"/>
              <w:spacing w:after="0" w:line="142" w:lineRule="exact"/>
              <w:rPr>
                <w:sz w:val="20"/>
                <w:szCs w:val="20"/>
                <w:color w:val="auto"/>
              </w:rPr>
            </w:pPr>
            <w:r>
              <w:rPr>
                <w:rFonts w:ascii="Arial" w:cs="Arial" w:eastAsia="Arial" w:hAnsi="Arial"/>
                <w:sz w:val="14"/>
                <w:szCs w:val="14"/>
                <w:color w:val="auto"/>
              </w:rPr>
              <w:t>Total loans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516,416</w:t>
            </w:r>
          </w:p>
        </w:tc>
        <w:tc>
          <w:tcPr>
            <w:tcW w:w="78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435,376</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356,254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4"/>
          </w:tcPr>
          <w:p>
            <w:pPr>
              <w:jc w:val="right"/>
              <w:ind w:right="20"/>
              <w:spacing w:after="0" w:line="142" w:lineRule="exact"/>
              <w:rPr>
                <w:sz w:val="20"/>
                <w:szCs w:val="20"/>
                <w:color w:val="auto"/>
              </w:rPr>
            </w:pPr>
            <w:r>
              <w:rPr>
                <w:rFonts w:ascii="Arial" w:cs="Arial" w:eastAsia="Arial" w:hAnsi="Arial"/>
                <w:sz w:val="14"/>
                <w:szCs w:val="14"/>
                <w:color w:val="auto"/>
                <w:w w:val="86"/>
              </w:rPr>
              <w:t>100.00%</w:t>
            </w:r>
          </w:p>
        </w:tc>
        <w:tc>
          <w:tcPr>
            <w:tcW w:w="8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309,913</w:t>
            </w: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100.00%</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382,309</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100.00%</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Less: Allowance for loan losses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1,367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left w:val="single" w:sz="8" w:color="CCEEFF"/>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824</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437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5,806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140"/>
              <w:spacing w:after="0" w:line="142" w:lineRule="exact"/>
              <w:rPr>
                <w:sz w:val="20"/>
                <w:szCs w:val="20"/>
                <w:color w:val="auto"/>
              </w:rPr>
            </w:pPr>
            <w:r>
              <w:rPr>
                <w:rFonts w:ascii="Arial" w:cs="Arial" w:eastAsia="Arial" w:hAnsi="Arial"/>
                <w:sz w:val="14"/>
                <w:szCs w:val="14"/>
                <w:color w:val="auto"/>
              </w:rPr>
              <w:t>Loans, net</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515,049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434,233</w:t>
            </w:r>
          </w:p>
        </w:tc>
        <w:tc>
          <w:tcPr>
            <w:tcW w:w="16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355,430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309,476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376,503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gridSpan w:val="3"/>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20" w:type="dxa"/>
            <w:vAlign w:val="bottom"/>
            <w:gridSpan w:val="21"/>
          </w:tcPr>
          <w:p>
            <w:pPr>
              <w:jc w:val="right"/>
              <w:ind w:right="75"/>
              <w:spacing w:after="0"/>
              <w:rPr>
                <w:sz w:val="20"/>
                <w:szCs w:val="20"/>
                <w:color w:val="auto"/>
              </w:rPr>
            </w:pPr>
            <w:r>
              <w:rPr>
                <w:rFonts w:ascii="Arial" w:cs="Arial" w:eastAsia="Arial" w:hAnsi="Arial"/>
                <w:sz w:val="18"/>
                <w:szCs w:val="18"/>
                <w:color w:val="auto"/>
                <w:w w:val="95"/>
              </w:rPr>
              <w:t>The Company's loan portfolio (excluding loans held-for-sale) by lending division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4"/>
                <w:szCs w:val="14"/>
                <w:b w:val="1"/>
                <w:bCs w:val="1"/>
                <w:color w:val="auto"/>
                <w:w w:val="92"/>
              </w:rPr>
              <w:t>June 30, 2013</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Community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0"/>
              </w:rPr>
              <w:t>Community</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Banking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Banking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right"/>
              <w:ind w:right="1260"/>
              <w:spacing w:after="0" w:line="149"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right="38"/>
              <w:spacing w:after="0"/>
              <w:rPr>
                <w:sz w:val="20"/>
                <w:szCs w:val="20"/>
                <w:color w:val="auto"/>
              </w:rPr>
            </w:pPr>
            <w:r>
              <w:rPr>
                <w:rFonts w:ascii="Arial" w:cs="Arial" w:eastAsia="Arial" w:hAnsi="Arial"/>
                <w:sz w:val="14"/>
                <w:szCs w:val="14"/>
                <w:b w:val="1"/>
                <w:bCs w:val="1"/>
                <w:color w:val="auto"/>
                <w:w w:val="88"/>
              </w:rPr>
              <w:t>Division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LASG</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of Total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4"/>
                <w:szCs w:val="14"/>
                <w:b w:val="1"/>
                <w:bCs w:val="1"/>
                <w:color w:val="auto"/>
                <w:w w:val="84"/>
              </w:rPr>
              <w:t>Division</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tcPr>
          <w:p>
            <w:pPr>
              <w:spacing w:after="0"/>
              <w:rPr>
                <w:sz w:val="14"/>
                <w:szCs w:val="14"/>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94"/>
              </w:rPr>
              <w:t>of Total</w:t>
            </w: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8"/>
          </w:tcPr>
          <w:p>
            <w:pPr>
              <w:ind w:left="4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w w:val="94"/>
              </w:rPr>
              <w:t>Residential 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116,660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$ 116,972</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22.66%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89,584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89,734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20.61%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27,975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27,975</w:t>
            </w:r>
          </w:p>
        </w:tc>
        <w:tc>
          <w:tcPr>
            <w:tcW w:w="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35,389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w w:val="88"/>
              </w:rPr>
              <w:t>Commercial 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w w:val="93"/>
              </w:rPr>
              <w:t>non-owner occupied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46,191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33,969</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80,160</w:t>
            </w:r>
          </w:p>
        </w:tc>
        <w:tc>
          <w:tcPr>
            <w:tcW w:w="6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48,428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66,554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15.29%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Commercial real estate: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owner occupied</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24,519</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11,907</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60" w:type="dxa"/>
            <w:vAlign w:val="bottom"/>
            <w:tcBorders>
              <w:left w:val="single" w:sz="8" w:color="CCEEFF"/>
            </w:tcBorders>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30,487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33,848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Commercial business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10,145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31,373</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17,242</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29,686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9,884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13,337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235,405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77,561</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312,966</w:t>
            </w: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229,711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14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Purchased loans: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Residential real estate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w w:val="97"/>
              </w:rPr>
              <w:t>Commercial business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Commercial real estate: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non-owner occupied</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133,581</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133,581</w:t>
            </w:r>
          </w:p>
        </w:tc>
        <w:tc>
          <w:tcPr>
            <w:tcW w:w="60" w:type="dxa"/>
            <w:vAlign w:val="bottom"/>
            <w:tcBorders>
              <w:left w:val="single" w:sz="8" w:color="CCEEFF"/>
            </w:tcBorders>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125,496</w:t>
            </w:r>
          </w:p>
        </w:tc>
        <w:tc>
          <w:tcPr>
            <w:tcW w:w="140" w:type="dxa"/>
            <w:vAlign w:val="bottom"/>
            <w:tcBorders>
              <w:left w:val="single" w:sz="8" w:color="CCEEFF"/>
            </w:tcBorders>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125,496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w w:val="88"/>
              </w:rPr>
              <w:t>Commercial 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owner occupied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65,900</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65,900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38,550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38,550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203,450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203,450</w:t>
            </w: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166,786</w:t>
            </w:r>
          </w:p>
        </w:tc>
        <w:tc>
          <w:tcPr>
            <w:tcW w:w="14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60" w:type="dxa"/>
            <w:vAlign w:val="bottom"/>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235,405</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$ 281,011</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$ 516,416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8"/>
              </w:rPr>
              <w:t>100.00%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229,711</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$ 205,665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7"/>
              </w:rPr>
              <w:t>$ 435,376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8"/>
              </w:rPr>
              <w:t>100.00%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summarizes the scheduled maturity of the Company's loan portfolio at June 30, 2014. Demand loans, loans having no stated repayment schedule, and overdraft loans are reported as being due in less than one year.</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rPr>
              <w:t>Scheduled Loan Maturities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7"/>
              </w:rPr>
              <w:t>After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After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One Year</w:t>
            </w:r>
          </w:p>
        </w:tc>
        <w:tc>
          <w:tcPr>
            <w:tcW w:w="20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Five Years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Within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Through</w:t>
            </w:r>
          </w:p>
        </w:tc>
        <w:tc>
          <w:tcPr>
            <w:tcW w:w="2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7"/>
              </w:rPr>
              <w:t>One Year</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Five Years</w:t>
            </w:r>
          </w:p>
        </w:tc>
        <w:tc>
          <w:tcPr>
            <w:tcW w:w="20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Ten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Ten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4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18,037</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109,972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144,947</w:t>
            </w: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rPr>
              <w:t>Purchased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3,687</w:t>
            </w: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40,894</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22,691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45,413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116,617</w:t>
            </w:r>
          </w:p>
        </w:tc>
      </w:tr>
      <w:tr>
        <w:trPr>
          <w:trHeight w:val="216"/>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76,007</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199,481</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Non-mortgage loans: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17,238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14,637</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9,171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41,518</w:t>
            </w:r>
          </w:p>
        </w:tc>
      </w:tr>
      <w:tr>
        <w:trPr>
          <w:trHeight w:val="216"/>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9,884</w:t>
            </w:r>
          </w:p>
        </w:tc>
      </w:tr>
      <w:tr>
        <w:trPr>
          <w:trHeight w:val="20"/>
        </w:trPr>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147,122</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72,167</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225,437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516,416</w:t>
            </w:r>
          </w:p>
        </w:tc>
      </w:tr>
      <w:tr>
        <w:trPr>
          <w:trHeight w:val="20"/>
        </w:trPr>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gridSpan w:val="13"/>
          </w:tcPr>
          <w:p>
            <w:pPr>
              <w:jc w:val="right"/>
              <w:ind w:right="680"/>
              <w:spacing w:after="0"/>
              <w:rPr>
                <w:sz w:val="20"/>
                <w:szCs w:val="20"/>
                <w:color w:val="auto"/>
              </w:rPr>
            </w:pPr>
            <w:r>
              <w:rPr>
                <w:rFonts w:ascii="Arial" w:cs="Arial" w:eastAsia="Arial" w:hAnsi="Arial"/>
                <w:sz w:val="14"/>
                <w:szCs w:val="14"/>
                <w:b w:val="1"/>
                <w:bCs w:val="1"/>
                <w:color w:val="auto"/>
                <w:w w:val="91"/>
              </w:rPr>
              <w:t>Loans Due After One Year, by Interest Rate Type</w:t>
            </w:r>
          </w:p>
        </w:tc>
      </w:tr>
      <w:tr>
        <w:trPr>
          <w:trHeight w:val="142"/>
        </w:trPr>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Borders>
              <w:top w:val="single" w:sz="8" w:color="auto"/>
              <w:bottom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w w:val="90"/>
              </w:rPr>
              <w:t>Predetermined rate</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7"/>
              </w:rPr>
              <w:t>Floating or Adjustable</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6"/>
          </w:tcPr>
          <w:p>
            <w:pPr>
              <w:jc w:val="right"/>
              <w:ind w:right="274"/>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67,020</w:t>
            </w:r>
          </w:p>
        </w:tc>
        <w:tc>
          <w:tcPr>
            <w:tcW w:w="720" w:type="dxa"/>
            <w:vAlign w:val="bottom"/>
            <w:tcBorders>
              <w:left w:val="single" w:sz="8" w:color="CCEEFF"/>
            </w:tcBorders>
            <w:gridSpan w:val="2"/>
            <w:shd w:val="clear" w:color="auto" w:fill="CCEEFF"/>
          </w:tcPr>
          <w:p>
            <w:pPr>
              <w:jc w:val="right"/>
              <w:ind w:right="38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140,355</w:t>
            </w: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rPr>
              <w:t>Purchased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2,725</w:t>
            </w: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79,987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29,011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108,998</w:t>
            </w:r>
          </w:p>
        </w:tc>
      </w:tr>
      <w:tr>
        <w:trPr>
          <w:trHeight w:val="216"/>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74,083</w:t>
            </w: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158,499</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Non-mortgage loans: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9,713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14,567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24,280</w:t>
            </w:r>
          </w:p>
        </w:tc>
      </w:tr>
      <w:tr>
        <w:trPr>
          <w:trHeight w:val="216"/>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9,587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9,587</w:t>
            </w:r>
          </w:p>
        </w:tc>
      </w:tr>
      <w:tr>
        <w:trPr>
          <w:trHeight w:val="20"/>
        </w:trPr>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232,322</w:t>
            </w:r>
          </w:p>
        </w:tc>
        <w:tc>
          <w:tcPr>
            <w:tcW w:w="720" w:type="dxa"/>
            <w:vAlign w:val="bottom"/>
            <w:tcBorders>
              <w:left w:val="single" w:sz="8" w:color="CCEEFF"/>
            </w:tcBorders>
            <w:gridSpan w:val="2"/>
            <w:shd w:val="clear" w:color="auto" w:fill="CCEEFF"/>
          </w:tcPr>
          <w:p>
            <w:pPr>
              <w:jc w:val="right"/>
              <w:ind w:right="38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212,404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444,726</w:t>
            </w:r>
          </w:p>
        </w:tc>
      </w:tr>
      <w:tr>
        <w:trPr>
          <w:trHeight w:val="20"/>
        </w:trPr>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 total portfolio loans at June 30, 2014, approximately 51.1% were variable rate products, compared to 46.5% at June 30, 2013.</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Certain purchased loans have been identified as having evidence of credit deterioration since their origination, and it is probable that the Company will not collect all contractually required principal and interest payments. Purchased credit-impaired loans are accounted for using the measurement provisions set forth in ASC 310-30. The nonaccretable difference represents a loan's contractually required payments receivable in excess of the amount of cash flows expected to be collected. Improvements in expected cash flows result in prospective yield adjustments. The effect of a decrease in expected cash flows due to further credit deterioration are recorded through the allowance for loan losses.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cash surrender value of the Company's BOLI assets increased $451 thousand, or 3.1%, to $14.8 million at June 30, 2014, compared to $14.4 million at June 30, 2013. BOLI assets are invested in the general account of three insurance companies and in separate accounts of a fourth insurance company. A general account policy's cash surrender value is supported by the general assets of the insurance company. A separate account policy's cash surrender value is supported by assets segregated from the general assets of the insurance company. Standard and Poor's rated these companies A+ or better at June 30, 2014. Interest earnings, net of mortality costs, increase the cash surrender value. These interest earnings are based on interest rates that reset each year, and are subject to minimum guaranteed rates. These increases in cash surrender value are recognized in other income and are not subject to income taxes. Management considers BOLI an illiquid asset. BOLI represented 12.3% of the Company's total risk-based capital at June 30, 2014.</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Intangible assets totaled $2.8 million and $3.5 million at June 30, 2014 and June 30, 2013, respectively. The $746 thousand decrease was the result of core deposit intangible amortization during fiscal 2014.</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Company's principal source of funding is its core deposit accounts. At June 30, 2014, core deposits, which the Company defines as non-maturity deposits and non-brokered insured time deposits, represented 99.6% of total deposits.</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Total deposits increased $89.7 million to $574.3 million as of June 30, 2014 from $484.6 million as of June 30, 2013. The overall increase was principally due to longer-term deposits generated through deposit listing services.</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tables set forth certain information relative to the composition of the Company's average deposit accounts and the weighted average interest rate on each category of deposits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00" w:type="dxa"/>
            <w:vAlign w:val="bottom"/>
            <w:gridSpan w:val="6"/>
          </w:tcPr>
          <w:p>
            <w:pPr>
              <w:jc w:val="center"/>
              <w:ind w:right="2080"/>
              <w:spacing w:after="0"/>
              <w:rPr>
                <w:sz w:val="20"/>
                <w:szCs w:val="20"/>
                <w:color w:val="auto"/>
              </w:rPr>
            </w:pPr>
            <w:r>
              <w:rPr>
                <w:rFonts w:ascii="Arial" w:cs="Arial" w:eastAsia="Arial" w:hAnsi="Arial"/>
                <w:sz w:val="14"/>
                <w:szCs w:val="14"/>
                <w:b w:val="1"/>
                <w:bCs w:val="1"/>
                <w:color w:val="auto"/>
                <w:w w:val="87"/>
              </w:rPr>
              <w:t>Year Ended June 30, 2014</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Weighted</w:t>
            </w: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Percent of 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Average Rate</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Average Deposits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5"/>
          </w:tcPr>
          <w:p>
            <w:pPr>
              <w:jc w:val="center"/>
              <w:ind w:right="22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deposits and escrow accounts</w:t>
            </w:r>
          </w:p>
        </w:tc>
        <w:tc>
          <w:tcPr>
            <w:tcW w:w="2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50,890</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Regular savings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34,391</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NOW accounts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61,146</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0.26%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85,333</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Time deposits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314,848</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average deposits</w:t>
            </w:r>
          </w:p>
        </w:tc>
        <w:tc>
          <w:tcPr>
            <w:tcW w:w="2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546,608</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20" w:type="dxa"/>
            <w:vAlign w:val="bottom"/>
            <w:vMerge w:val="restart"/>
          </w:tcPr>
          <w:p>
            <w:pPr>
              <w:jc w:val="right"/>
              <w:ind w:right="1052"/>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89"/>
              </w:rPr>
              <w:t>Year Ended June 30, 2013</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88"/>
              </w:rPr>
              <w:t>Year Ended June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Weighted</w:t>
            </w:r>
          </w:p>
        </w:tc>
        <w:tc>
          <w:tcPr>
            <w:tcW w:w="114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94"/>
              </w:rPr>
              <w:t>Percent of Total</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Weighted</w:t>
            </w:r>
          </w:p>
        </w:tc>
        <w:tc>
          <w:tcPr>
            <w:tcW w:w="11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4"/>
              </w:rPr>
              <w:t>Percent of 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Average Rate</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Average Deposits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Average Rate</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Average Deposits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4"/>
          </w:tcPr>
          <w:p>
            <w:pPr>
              <w:jc w:val="right"/>
              <w:ind w:right="13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and escrow accounts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49,343</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Regular savings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31,939</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32,799</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0.20%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55,763</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55,218</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63,931</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44,692</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0.39%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280,059</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223,782</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Total average deposits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0.85%</w:t>
            </w: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0.85%</w:t>
            </w: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481,035</w:t>
            </w:r>
          </w:p>
        </w:tc>
        <w:tc>
          <w:tcPr>
            <w:tcW w:w="1240" w:type="dxa"/>
            <w:vAlign w:val="bottom"/>
            <w:gridSpan w:val="3"/>
            <w:vMerge w:val="continue"/>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402,424</w:t>
            </w:r>
          </w:p>
        </w:tc>
        <w:tc>
          <w:tcPr>
            <w:tcW w:w="1220" w:type="dxa"/>
            <w:vAlign w:val="bottom"/>
            <w:gridSpan w:val="3"/>
            <w:vMerge w:val="continue"/>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of June 30, 2014, the aggregate amount of outstanding certificates of deposit in amounts greater than or equal to $100 thousand was approximately $251.4 million. The scheduled maturity of these deposits is set forth below (dollars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3 months or less</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Over 3 through 6 months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Over 6 through 12 months</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Over 12 months</w:t>
            </w:r>
          </w:p>
        </w:tc>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126,257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time certificates $100 thousand and over</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251,304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Short-term borrowings, FHLB advances, Federal Reserve Discount Window Borrower-in-custody advances, wholesale repurchase agreements and junior subordinated debentures have been the Company's sources of funding other than deposits. In fiscal 2014, total borrowings increased by $1.9 million, or 3.0%, to $66.0 million.</w:t>
      </w:r>
    </w:p>
    <w:p>
      <w:pPr>
        <w:spacing w:after="0" w:line="194"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Advances from the FHLB were $42.8 million and $28.0 million at June 30, 2014 and June 30, 2013, respectively, an increase of $14.8 million, or 52.7%. At June 30, 2014, the Company had pledged investment securities having a fair value of $18.3 million for outstanding FHLB borrowings. In addition, pledges of residential real estate loans, certain commercial real estate loans and certain FHLB deposits free of liens or pledges are required to secure outstanding advances and available additional borrowing capacity from the FHLB. Wholesale repurchase agreements were $10.2 million and $25.4 million at June 30, 2014 and 2013, respectively. At June 30, 2014, the Company had pledged investment securities having a fair value of $11.8 million for outstanding wholesale repurchase agreements.</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Short-term borrowings, consisting of sweep accounts and repurchase agreements, were $3.0 million and $625 thousand at June 30, 2014 and 2013, respectively. At June 30, 2014, sweep accounts were secured by $2.0 million of letters of credit issued by the FHLB and investment securities with a fair value of $3.0 million.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certain information about the Company's short-term borrowings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 2014</w:t>
            </w: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Average Rate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0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at period end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2,984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Average outstanding during period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2,230</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period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7"/>
              </w:rPr>
              <w:t>Year Ended June 30, 2013</w:t>
            </w:r>
          </w:p>
        </w:tc>
        <w:tc>
          <w:tcPr>
            <w:tcW w:w="19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4"/>
              </w:rPr>
              <w:t>Year Ended June 30, 2012</w:t>
            </w: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Average Rate</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Average Rate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period end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0.00%$  1,209</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Average outstanding during period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1,472</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1.29%</w:t>
            </w:r>
          </w:p>
        </w:tc>
        <w:tc>
          <w:tcPr>
            <w:tcW w:w="620" w:type="dxa"/>
            <w:vAlign w:val="bottom"/>
          </w:tcPr>
          <w:p>
            <w:pPr>
              <w:jc w:val="right"/>
              <w:spacing w:after="0"/>
              <w:rPr>
                <w:sz w:val="20"/>
                <w:szCs w:val="20"/>
                <w:color w:val="auto"/>
              </w:rPr>
            </w:pPr>
            <w:r>
              <w:rPr>
                <w:rFonts w:ascii="Arial" w:cs="Arial" w:eastAsia="Arial" w:hAnsi="Arial"/>
                <w:sz w:val="18"/>
                <w:szCs w:val="18"/>
                <w:color w:val="auto"/>
              </w:rPr>
              <w:t>1,075</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period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 were no balances outstanding at June 30, 2014 and 2013, respectively, for advances under the Federal Reserve Discount Window Borrower-in-custody program. The available credit under the program was $3.1 million and $80 thousand at June 30, 2014 and June 30, 2013, respectively, the increase in fiscal 2014 attributable to additional consumer loans pledged as collateral.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had junior subordinated debentures issued to affiliated trusts totaling $8.4 million and $8.3 million at June 30, 2014 and 2013,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"Capital" below for more information on our junior subordinated debentures and affiliated trusts.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allowance for loan losses is maintained at a level that management considers adequate to provide for probable loan losses based upon evaluation of known and inherent risks in the loan portfolio. The allowance is increased by providing for loan losses through a charge to expense and by recoveries of loans previously charged-off and is reduced by loans being charged-off.</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allowance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legacy loans based on estimates of deteriorated credit quality post-Merger.</w:t>
      </w:r>
    </w:p>
    <w:p>
      <w:pPr>
        <w:spacing w:after="0" w:line="197"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of June 30, 2014, the allowance for loan losses totaled $1.4 million, or 0.26% of total loans, as compared to $1.1 million, or 0.26% of total loans, at June 30, 2013. The year over year increase in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Company's allowance for losses was principally the result of loan growth. The following table sets forth activity in Company's allowance for loan losses for the periods indicated.</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Successor Company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5"/>
              </w:rPr>
              <w:t>Year Ended</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5"/>
              </w:rPr>
              <w:t>Year Ended</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6"/>
              </w:rPr>
              <w:t>Year Ended</w:t>
            </w: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184 Days Ended</w:t>
            </w:r>
          </w:p>
        </w:tc>
        <w:tc>
          <w:tcPr>
            <w:tcW w:w="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7"/>
              </w:rPr>
              <w:t>181 Days Ended</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2013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June 30, 2012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5"/>
              </w:rPr>
              <w:t>June 30, 2011</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6"/>
              </w:rPr>
              <w:t>Dec. 28, 2010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at beginning of period</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w:t>
            </w: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5,806</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Loans charged-off during the period: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Residential real estate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Commercial real estate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Commercial business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2"/>
          </w:tcPr>
          <w:p>
            <w:pPr>
              <w:ind w:left="240"/>
              <w:spacing w:after="0"/>
              <w:rPr>
                <w:sz w:val="20"/>
                <w:szCs w:val="20"/>
                <w:color w:val="auto"/>
              </w:rPr>
            </w:pPr>
            <w:r>
              <w:rPr>
                <w:rFonts w:ascii="Arial" w:cs="Arial" w:eastAsia="Arial" w:hAnsi="Arial"/>
                <w:sz w:val="14"/>
                <w:szCs w:val="14"/>
                <w:color w:val="auto"/>
              </w:rPr>
              <w:t>Consumer and other</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gridSpan w:val="2"/>
            <w:shd w:val="clear" w:color="auto" w:fill="CCEEFF"/>
          </w:tcPr>
          <w:p>
            <w:pPr>
              <w:ind w:left="240"/>
              <w:spacing w:after="0" w:line="144" w:lineRule="exact"/>
              <w:rPr>
                <w:sz w:val="20"/>
                <w:szCs w:val="20"/>
                <w:color w:val="auto"/>
              </w:rPr>
            </w:pPr>
            <w:r>
              <w:rPr>
                <w:rFonts w:ascii="Arial" w:cs="Arial" w:eastAsia="Arial" w:hAnsi="Arial"/>
                <w:sz w:val="14"/>
                <w:szCs w:val="14"/>
                <w:color w:val="auto"/>
              </w:rPr>
              <w:t>Total loans charged-off</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643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306</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90"/>
              </w:rPr>
              <w:t>Recoveries on loans previously charged-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off:</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Residential real estate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tcBorders>
              <w:right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Commercial real estate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Commercial business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2"/>
          </w:tcPr>
          <w:p>
            <w:pPr>
              <w:ind w:left="240"/>
              <w:spacing w:after="0"/>
              <w:rPr>
                <w:sz w:val="20"/>
                <w:szCs w:val="20"/>
                <w:color w:val="auto"/>
              </w:rPr>
            </w:pPr>
            <w:r>
              <w:rPr>
                <w:rFonts w:ascii="Arial" w:cs="Arial" w:eastAsia="Arial" w:hAnsi="Arial"/>
                <w:sz w:val="14"/>
                <w:szCs w:val="14"/>
                <w:color w:val="auto"/>
              </w:rPr>
              <w:t>Consumer and other</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gridSpan w:val="2"/>
            <w:shd w:val="clear" w:color="auto" w:fill="CCEEFF"/>
          </w:tcPr>
          <w:p>
            <w:pPr>
              <w:ind w:left="240"/>
              <w:spacing w:after="0" w:line="144" w:lineRule="exact"/>
              <w:rPr>
                <w:sz w:val="20"/>
                <w:szCs w:val="20"/>
                <w:color w:val="auto"/>
              </w:rPr>
            </w:pPr>
            <w:r>
              <w:rPr>
                <w:rFonts w:ascii="Arial" w:cs="Arial" w:eastAsia="Arial" w:hAnsi="Arial"/>
                <w:sz w:val="14"/>
                <w:szCs w:val="14"/>
                <w:color w:val="auto"/>
              </w:rPr>
              <w:t>Total recoveries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36</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40" w:type="dxa"/>
            <w:vAlign w:val="bottom"/>
            <w:gridSpan w:val="3"/>
            <w:vMerge w:val="restart"/>
          </w:tcPr>
          <w:p>
            <w:pPr>
              <w:spacing w:after="0"/>
              <w:rPr>
                <w:sz w:val="20"/>
                <w:szCs w:val="20"/>
                <w:color w:val="auto"/>
              </w:rPr>
            </w:pPr>
            <w:r>
              <w:rPr>
                <w:rFonts w:ascii="Arial" w:cs="Arial" w:eastAsia="Arial" w:hAnsi="Arial"/>
                <w:sz w:val="14"/>
                <w:szCs w:val="14"/>
                <w:color w:val="auto"/>
                <w:w w:val="99"/>
              </w:rPr>
              <w:t>Net loans charged off during the period</w:t>
            </w: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803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559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270</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751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1,822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40" w:type="dxa"/>
            <w:vAlign w:val="bottom"/>
            <w:gridSpan w:val="3"/>
            <w:vMerge w:val="restart"/>
          </w:tcPr>
          <w:p>
            <w:pPr>
              <w:spacing w:after="0"/>
              <w:rPr>
                <w:sz w:val="20"/>
                <w:szCs w:val="20"/>
                <w:color w:val="auto"/>
              </w:rPr>
            </w:pPr>
            <w:r>
              <w:rPr>
                <w:rFonts w:ascii="Arial" w:cs="Arial" w:eastAsia="Arial" w:hAnsi="Arial"/>
                <w:sz w:val="14"/>
                <w:szCs w:val="14"/>
                <w:color w:val="auto"/>
              </w:rPr>
              <w:t>Allowance at end of period</w:t>
            </w:r>
          </w:p>
        </w:tc>
        <w:tc>
          <w:tcPr>
            <w:tcW w:w="2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5,967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Total loans at end of period(1)</w:t>
            </w:r>
          </w:p>
        </w:tc>
        <w:tc>
          <w:tcPr>
            <w:tcW w:w="2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516,416</w:t>
            </w:r>
          </w:p>
        </w:tc>
        <w:tc>
          <w:tcPr>
            <w:tcW w:w="1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435,376</w:t>
            </w: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356,254</w:t>
            </w:r>
          </w:p>
        </w:tc>
        <w:tc>
          <w:tcPr>
            <w:tcW w:w="1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309,913</w:t>
            </w:r>
          </w:p>
        </w:tc>
        <w:tc>
          <w:tcPr>
            <w:tcW w:w="26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367,284</w:t>
            </w:r>
          </w:p>
        </w:tc>
        <w:tc>
          <w:tcPr>
            <w:tcW w:w="1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382,309</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2"/>
          </w:tcPr>
          <w:p>
            <w:pPr>
              <w:spacing w:after="0" w:line="138" w:lineRule="exact"/>
              <w:rPr>
                <w:sz w:val="20"/>
                <w:szCs w:val="20"/>
                <w:color w:val="auto"/>
              </w:rPr>
            </w:pPr>
            <w:r>
              <w:rPr>
                <w:rFonts w:ascii="Arial" w:cs="Arial" w:eastAsia="Arial" w:hAnsi="Arial"/>
                <w:sz w:val="14"/>
                <w:szCs w:val="14"/>
                <w:color w:val="auto"/>
              </w:rPr>
              <w:t>Average loans outstanding during the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period(1)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488,172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376,660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333,053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332,684</w:t>
            </w: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375,878</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388,700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Allowance as a percentage of total loans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tcBorders>
              <w:right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2"/>
          </w:tcPr>
          <w:p>
            <w:pPr>
              <w:spacing w:after="0" w:line="138" w:lineRule="exact"/>
              <w:rPr>
                <w:sz w:val="20"/>
                <w:szCs w:val="20"/>
                <w:color w:val="auto"/>
              </w:rPr>
            </w:pPr>
            <w:r>
              <w:rPr>
                <w:rFonts w:ascii="Arial" w:cs="Arial" w:eastAsia="Arial" w:hAnsi="Arial"/>
                <w:sz w:val="14"/>
                <w:szCs w:val="14"/>
                <w:color w:val="auto"/>
                <w:w w:val="94"/>
              </w:rPr>
              <w:t>Ratio of net charge-offs to average loans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0.06%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0.21%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right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0.08%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Allowance as a percentage of non-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performing loans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18.66%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23.54%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13.48%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tcBorders>
              <w:right w:val="single" w:sz="8" w:color="auto"/>
            </w:tcBorders>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5.49%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67.49%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and resulting ratios exclude loans held for sale</w:t>
      </w:r>
    </w:p>
    <w:p>
      <w:pPr>
        <w:spacing w:after="0" w:line="20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allocates the allowance for loan losses by loan category and the percent of loans in each category to total loans at the dates indicated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Successor Company</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color w:val="auto"/>
                <w:w w:val="96"/>
              </w:rPr>
              <w:t>June 30, 2013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color w:val="auto"/>
                <w:w w:val="98"/>
              </w:rPr>
              <w:t>June 30, 2013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color w:val="auto"/>
                <w:w w:val="96"/>
              </w:rPr>
              <w:t>June 30, 2012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Borders>
              <w:right w:val="single" w:sz="8" w:color="auto"/>
            </w:tcBorders>
            <w:gridSpan w:val="4"/>
          </w:tcPr>
          <w:p>
            <w:pPr>
              <w:jc w:val="right"/>
              <w:ind w:right="500"/>
              <w:spacing w:after="0" w:line="155" w:lineRule="exact"/>
              <w:rPr>
                <w:sz w:val="20"/>
                <w:szCs w:val="20"/>
                <w:color w:val="auto"/>
              </w:rPr>
            </w:pPr>
            <w:r>
              <w:rPr>
                <w:rFonts w:ascii="Arial" w:cs="Arial" w:eastAsia="Arial" w:hAnsi="Arial"/>
                <w:sz w:val="14"/>
                <w:szCs w:val="14"/>
                <w:b w:val="1"/>
                <w:bCs w:val="1"/>
                <w:color w:val="auto"/>
                <w:w w:val="96"/>
              </w:rPr>
              <w:t>June 30, 2011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4"/>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June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Percent of</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Percent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Loans to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Loans to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Loans to</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Loans to</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Loans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ind w:left="1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real estate</w:t>
            </w:r>
          </w:p>
        </w:tc>
        <w:tc>
          <w:tcPr>
            <w:tcW w:w="160" w:type="dxa"/>
            <w:vAlign w:val="bottom"/>
            <w:gridSpan w:val="2"/>
            <w:shd w:val="clear" w:color="auto" w:fill="CCEEFF"/>
          </w:tcPr>
          <w:p>
            <w:pPr>
              <w:jc w:val="right"/>
              <w:ind w:right="55"/>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28.79%</w:t>
            </w:r>
          </w:p>
        </w:tc>
        <w:tc>
          <w:tcPr>
            <w:tcW w:w="16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29.36%</w:t>
            </w:r>
          </w:p>
        </w:tc>
        <w:tc>
          <w:tcPr>
            <w:tcW w:w="18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38.61%</w:t>
            </w:r>
          </w:p>
        </w:tc>
        <w:tc>
          <w:tcPr>
            <w:tcW w:w="20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46.94%</w:t>
            </w:r>
          </w:p>
        </w:tc>
        <w:tc>
          <w:tcPr>
            <w:tcW w:w="24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61.21%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60.75%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51.07%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38.65%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1,462</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business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Consumer and 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4.81%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7.24%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1,462</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Unallocated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7"/>
        </w:trPr>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4"/>
                <w:szCs w:val="14"/>
                <w:color w:val="auto"/>
              </w:rPr>
            </w:pP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1,143</w:t>
            </w: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4"/>
                <w:szCs w:val="14"/>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4"/>
                <w:szCs w:val="14"/>
                <w:color w:val="auto"/>
              </w:rPr>
            </w:pPr>
          </w:p>
        </w:tc>
        <w:tc>
          <w:tcPr>
            <w:tcW w:w="180" w:type="dxa"/>
            <w:vAlign w:val="bottom"/>
          </w:tcPr>
          <w:p>
            <w:pPr>
              <w:jc w:val="right"/>
              <w:ind w:right="61"/>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437</w:t>
            </w:r>
          </w:p>
        </w:tc>
        <w:tc>
          <w:tcPr>
            <w:tcW w:w="8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4"/>
                <w:szCs w:val="14"/>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5,806</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reflects the annual trend of total loans 30 days or more past due, as a percentage of total loans at June 30:</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Predecessor</w:t>
            </w: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9"/>
              </w:rPr>
              <w:t>Successor Company</w:t>
            </w:r>
          </w:p>
        </w:tc>
        <w:tc>
          <w:tcPr>
            <w:tcW w:w="44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Company</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Past due loans to total loans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amounts and categories of the Company's non-performing assets at the dates indicated:</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Successor Company</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June 30, 2014</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June 30, 2013</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June 30, 2011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2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3,601</w:t>
            </w: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89"/>
              </w:rPr>
              <w:t>Real estate owned and other repossessed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collateral</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220" w:type="dxa"/>
            <w:vAlign w:val="bottom"/>
            <w:tcBorders>
              <w:right w:val="single" w:sz="8" w:color="auto"/>
            </w:tcBorders>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040" w:type="dxa"/>
            <w:vAlign w:val="bottom"/>
          </w:tcPr>
          <w:p>
            <w:pPr>
              <w:spacing w:after="0" w:line="196" w:lineRule="exact"/>
              <w:rPr>
                <w:sz w:val="20"/>
                <w:szCs w:val="20"/>
                <w:color w:val="auto"/>
              </w:rPr>
            </w:pPr>
            <w:r>
              <w:rPr>
                <w:rFonts w:ascii="Arial" w:cs="Arial" w:eastAsia="Arial" w:hAnsi="Arial"/>
                <w:sz w:val="18"/>
                <w:szCs w:val="18"/>
                <w:color w:val="auto"/>
              </w:rPr>
              <w:t>Nonperforming loans that are current</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651</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887</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377</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3,067</w:t>
            </w:r>
          </w:p>
        </w:tc>
        <w:tc>
          <w:tcPr>
            <w:tcW w:w="2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Non-performing loans to total loans</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1.42%</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6"/>
                <w:szCs w:val="16"/>
                <w:color w:val="auto"/>
              </w:rPr>
            </w:pP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1.72%</w:t>
            </w:r>
          </w:p>
        </w:tc>
        <w:tc>
          <w:tcPr>
            <w:tcW w:w="8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80"/>
              <w:spacing w:after="0" w:line="189" w:lineRule="exact"/>
              <w:rPr>
                <w:sz w:val="20"/>
                <w:szCs w:val="20"/>
                <w:color w:val="auto"/>
              </w:rPr>
            </w:pPr>
            <w:r>
              <w:rPr>
                <w:rFonts w:ascii="Arial" w:cs="Arial" w:eastAsia="Arial" w:hAnsi="Arial"/>
                <w:sz w:val="18"/>
                <w:szCs w:val="18"/>
                <w:color w:val="auto"/>
              </w:rPr>
              <w:t>2.33%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Non-performing assets to total assets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At June 30, 2014, the Company had $9.3 million of nonperforming assets, or 1.2% of total assets, compared to $7.0 million, or 1.0% of total assets, as of June 30, 2013. The increase in nonperforming assets in fiscal 2014 was principally associated with nonaccrual purchased commercial real estate loans.</w:t>
      </w:r>
    </w:p>
    <w:p>
      <w:pPr>
        <w:spacing w:after="0" w:line="13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TDRs represent loans for which concessions (such as extension of repayment terms or reductions of interest rates to below market rates) are granted due to a borrower's financial condition. Such concessions may include reductions of interest rates to below-market terms and/or extension of repayment terms. The balances and payment status of TDRs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252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6"/>
          </w:tcPr>
          <w:p>
            <w:pPr>
              <w:jc w:val="center"/>
              <w:ind w:left="26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Accrual</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4,057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TDRs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0" w:type="dxa"/>
            <w:vAlign w:val="bottom"/>
            <w:vMerge w:val="restart"/>
          </w:tcPr>
          <w:p>
            <w:pPr>
              <w:jc w:val="right"/>
              <w:ind w:right="1392"/>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June 30, 2014, the Company had real estate owned and other repossessed collateral amounting to $2.0 million, compared to $2.1 million at June 30, 2013, a decrease of $143 thousand. The real estate and personal property collateral for commercial and consumer loans are written down to fair value upon transfer to acquired assets. Revenues and expenses are recognized in the period when received or incurred on other real estate and in substance foreclosures. Gains and losses on disposition are recognized in noninterest income.</w:t>
      </w:r>
    </w:p>
    <w:p>
      <w:pPr>
        <w:spacing w:after="0" w:line="19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continue to focus on asset quality and allocate significant resources to credit policy, loan review, asset management, collection, and workout functions. Despite this ongoing effort, there can be no assurance that adverse changes in the real estate markets and economic conditions will not result in higher non-performing assets levels in the future and negatively impact our results of operations through higher provision for loan losses, net loan charge-offs, decreased accrual of income and increased noninterest expenses.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Commercial real estate and commercial loans are periodically evaluated under a ten-point rating system. These ratings are guidelines in assessing the risk of a particular loan. The Company had $7.4 million and $3.4 million of loans rated substandard or worse at June 30, 2014 and June 30, 2013, respectively, an increase attributable to purchased loans. The following tables present the Company's loans by risk rating.</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Originated Portfolio</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0"/>
              </w:rPr>
              <w:t>Business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4"/>
              </w:rPr>
              <w:t>Residential(1)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 (1 - 6)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Special mention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Substandard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Doubtful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375,136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2013</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Originated Portfolio</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0"/>
              </w:rPr>
              <w:t>Business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4"/>
              </w:rPr>
              <w:t>Residential(1)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 (1 - 6)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300,291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Special mention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Substandard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Doubtful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100,444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311,191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00" w:hanging="531"/>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Management and the Board of Directors of the Company recognize that taking and managing risk is fundamental to the business of banking. Through the development, implementation and monitoring of its policies with respect to risk management, the Company strives to measure, evaluate and control the risks it faces. The Board and management understand that an effective risk management system is critical to the Company's safety and soundness. Chief among the risks faced by us are credit risk, market risk (including interest rate risk), liquidity risk, and operational (transaction) risk.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The Company considers credit risk to be the most significant risk that it faces, in that it has the greatest potential to affect the financial condition and operating results of the Company. Credit risk is managed through a combination of policies and limits established by the Board, the monitoring of compliance with these policies and limits, and the periodic evaluation of loans in the portfolio, including those with problem characteristics. The Company also utilizes the services of independent third-parties to provide loan review services, which consist of a variety of monitoring techniques after a loan is purchased or originated.</w:t>
      </w:r>
    </w:p>
    <w:p>
      <w:pPr>
        <w:spacing w:after="0" w:line="152" w:lineRule="exact"/>
        <w:rPr>
          <w:sz w:val="20"/>
          <w:szCs w:val="20"/>
          <w:color w:val="auto"/>
        </w:rPr>
      </w:pPr>
    </w:p>
    <w:p>
      <w:pPr>
        <w:ind w:right="380" w:firstLine="351"/>
        <w:spacing w:after="0" w:line="254" w:lineRule="auto"/>
        <w:rPr>
          <w:sz w:val="20"/>
          <w:szCs w:val="20"/>
          <w:color w:val="auto"/>
        </w:rPr>
      </w:pPr>
      <w:r>
        <w:rPr>
          <w:rFonts w:ascii="Arial" w:cs="Arial" w:eastAsia="Arial" w:hAnsi="Arial"/>
          <w:sz w:val="18"/>
          <w:szCs w:val="18"/>
          <w:color w:val="auto"/>
        </w:rPr>
        <w:t>In general, Northeast's policies establish limits on the maximum amount of credit that may be granted to a single borrower (including affiliates), the aggregate amount of loans outstanding by type in relation to total assets and capital, and concentrations of loans by size, property type, and geography. Underwriting criteria, such as collateral and debt service coverage ratios and approval limits are also specified in loan policies. The Company's policies also address the performance of periodic credit reviews, the risk rating of loans, when loans should be placed on non-performing status and factors that should be considered in establishing the Bank's allowance for loan losses. For additional information, refer to "Asset Quality" above and Item 1, "Business—Lending Activities."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potential volatility in its net interest income due to changes in interest rates in a manner consistent with the risk appetite established by the board of directors.</w:t>
      </w:r>
    </w:p>
    <w:p>
      <w:pPr>
        <w:spacing w:after="0" w:line="248"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 As of June 30, 2014, the income simulation analysis (as noted in the table below) for the first twelve-month period indicated that exposure to changing interest rates fell within the Company's policy levels of tolerance.</w:t>
      </w:r>
    </w:p>
    <w:p>
      <w:pPr>
        <w:spacing w:after="0" w:line="174"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77"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Assuming a 200 basis point increase and 100 basis point decrease in interest rates starting on June 30, 2014, we estimate that our net interest income in the following 12 months would increase by 0.4% if rates increased by 200 basis points and decrease by 1.1% if rates declined by 100 basis points. These results indicate a modest level of asset sensitivity in our balance sheet. An asset-sensitive position indicates that there are more rate-sensitive assets than rate-sensitive liabilities repricing or maturing within specific time horizons, which would generally imply a favorable impact on net interest income in periods of rising interest rates and a negative impact in periods of falling rates. A liability-sensitive position would generally imply a negative impact on net interest income in periods of rising rates and a positive impact in periods of falling rates.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2"/>
              </w:rPr>
              <w:t>Up 200 Basis Points</w:t>
            </w:r>
          </w:p>
        </w:tc>
        <w:tc>
          <w:tcPr>
            <w:tcW w:w="160" w:type="dxa"/>
            <w:vAlign w:val="bottom"/>
          </w:tcPr>
          <w:p>
            <w:pPr>
              <w:spacing w:after="0"/>
              <w:rPr>
                <w:sz w:val="14"/>
                <w:szCs w:val="14"/>
                <w:color w:val="auto"/>
              </w:rPr>
            </w:pPr>
          </w:p>
        </w:tc>
        <w:tc>
          <w:tcPr>
            <w:tcW w:w="1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Down 100 Basis Points</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3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June 30, 2013</w:t>
            </w:r>
          </w:p>
        </w:tc>
        <w:tc>
          <w:tcPr>
            <w:tcW w:w="386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3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40" w:type="dxa"/>
            <w:vAlign w:val="bottom"/>
          </w:tcPr>
          <w:p>
            <w:pPr>
              <w:jc w:val="right"/>
              <w:ind w:right="612"/>
              <w:spacing w:after="0"/>
              <w:rPr>
                <w:sz w:val="20"/>
                <w:szCs w:val="20"/>
                <w:color w:val="auto"/>
              </w:rPr>
            </w:pPr>
            <w:r>
              <w:rPr>
                <w:rFonts w:ascii="Arial" w:cs="Arial" w:eastAsia="Arial" w:hAnsi="Arial"/>
                <w:sz w:val="18"/>
                <w:szCs w:val="18"/>
                <w:color w:val="auto"/>
              </w:rPr>
              <w:t>57</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Liquidity risk is defined as the risk associated with an organization's ability to meet current and future financial obligations of a short-term nature. Northeast uses its liquidity on a regular basis to fund existing and future loan commitments, to pay interest on deposits and on borrowings, to fund maturing certificates of deposit and borrowings, to fund other deposit withdrawals, to invest in other interest-earning assets, to make dividend payments to shareholders, and to meet operating expenses. The Company's primary sources of liquidity consist of deposit inflows, borrowed funds, and the amortization, prepayment and maturities of loans and securities. While scheduled payments from the amortization and maturities of loans and investment securities are relatively predictable sources of funds, deposit flows and loan and investment prepayments can be greatly influenced by general interest rates, economic conditions and competition. In addition to these regular sources of funds, the Company may choose to sell portfolio loans and investment securities to meet liquidity demands.</w:t>
      </w:r>
    </w:p>
    <w:p>
      <w:pPr>
        <w:spacing w:after="0" w:line="172" w:lineRule="exact"/>
        <w:rPr>
          <w:sz w:val="20"/>
          <w:szCs w:val="20"/>
          <w:color w:val="auto"/>
        </w:rPr>
      </w:pPr>
    </w:p>
    <w:p>
      <w:pPr>
        <w:jc w:val="both"/>
        <w:ind w:right="420" w:firstLine="348"/>
        <w:spacing w:after="0" w:line="306" w:lineRule="auto"/>
        <w:rPr>
          <w:sz w:val="20"/>
          <w:szCs w:val="20"/>
          <w:color w:val="auto"/>
        </w:rPr>
      </w:pPr>
      <w:r>
        <w:rPr>
          <w:rFonts w:ascii="Arial" w:cs="Arial" w:eastAsia="Arial" w:hAnsi="Arial"/>
          <w:sz w:val="16"/>
          <w:szCs w:val="16"/>
          <w:color w:val="auto"/>
        </w:rPr>
        <w:t>We monitor and forecast our liquidity position. There are several interdependent methods used by us for this purpose, including daily review of Federal Funds positions, monthly review of balance sheet changes, monthly review of liquidity ratios, quarterly review of liquidity forecasts and periodic review of contingent funding plans. Using these methods, the Company actively manages its liquidity position under the direction of the ALCO, which meets weekly.</w:t>
      </w:r>
    </w:p>
    <w:p>
      <w:pPr>
        <w:spacing w:after="0" w:line="16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is a summary of the unused borrowing capacity of the Company at June 30, 2014 available to meet our short-term funding needs (dollars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$ 190,483</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87,999</w:t>
            </w:r>
          </w:p>
        </w:tc>
        <w:tc>
          <w:tcPr>
            <w:tcW w:w="4920" w:type="dxa"/>
            <w:vAlign w:val="bottom"/>
          </w:tcPr>
          <w:p>
            <w:pPr>
              <w:ind w:left="160"/>
              <w:spacing w:after="0"/>
              <w:rPr>
                <w:sz w:val="20"/>
                <w:szCs w:val="20"/>
                <w:color w:val="auto"/>
              </w:rPr>
            </w:pPr>
            <w:r>
              <w:rPr>
                <w:rFonts w:ascii="Arial" w:cs="Arial" w:eastAsia="Arial" w:hAnsi="Arial"/>
                <w:sz w:val="18"/>
                <w:szCs w:val="18"/>
                <w:color w:val="auto"/>
                <w:w w:val="88"/>
              </w:rPr>
              <w:t>Unused advance capacity subject to eligible and qualified collateral</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4"/>
              </w:rPr>
              <w:t>Federal Discount Window Borrower-in-Custody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Unused credit line subject to the pledge of loans</w:t>
            </w:r>
          </w:p>
        </w:tc>
      </w:tr>
      <w:tr>
        <w:trPr>
          <w:trHeight w:val="210"/>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Total unused borrowing capacity</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281,585</w:t>
            </w:r>
          </w:p>
        </w:tc>
        <w:tc>
          <w:tcPr>
            <w:tcW w:w="4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80,804</w:t>
            </w:r>
          </w:p>
        </w:tc>
        <w:tc>
          <w:tcPr>
            <w:tcW w:w="49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Total sources of liquidity</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$ 362,389</w:t>
            </w:r>
          </w:p>
        </w:tc>
        <w:tc>
          <w:tcPr>
            <w:tcW w:w="4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Retail deposits and other core deposit sources including deposit listing services are used by the Bank to manage its overall liquidity position. While we currently do not seek wholesale funding such as FHLB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 advance capacity, the purchase of additional capital stock in the Federal Home Loan Bank of Boston may be required. At June 30, 2014, the Bank had</w:t>
      </w:r>
    </w:p>
    <w:p>
      <w:pPr>
        <w:spacing w:after="0" w:line="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$362.4 million of immediately accessible liquidity, defined as cash that the Bank reasonably believes could be raised within 7 days through collateralized borrowings, brokered deposits or security sales. This position represented 48% of total assets. Further, at June 30, 2014, the Company had $82.3 million of cash and cash equivalents. This level of balance sheet liquidity is intended, in part, for future purchases of commercial real estate loans.</w:t>
      </w:r>
    </w:p>
    <w:p>
      <w:pPr>
        <w:spacing w:after="0" w:line="163"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On a parent company only basis, commitments and debt service requirements at June 30, 2014 consisted of junior subordinated debentures issued to NBN Capital Trust II, NBN Capital Trust III and NBN Capital Trust IV with a principal balance of $16.5 million. See Note 17 of the Notes to the Consolidated Financial Statements for carrying values, maturity dates and the use of purchased interest rate caps and swaps to hedge the interest expense in periods of rising interest rates. Based on the interest rates at June 30, 2014, the annual aggregate payments to meet the debt service of the junior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subordinated debentures is approximately $412 thousand. Including the impact of the interest rate swap associated with NBN Capital Trust IV subordinated debentures, annual payments are expected to total $595 thousand.</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principal sources of funds for the Company to meet parent-only obligations are dividends from the Bank, which are subject to regulatory limitations, and borrowings from public and private sources. For information on the restrictions on the payment of dividends by Northeast Bank, see Note 9 of the Notes to the Company's Consolidated Financial Statements in this Annual Report.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Operational risk, which we define as the risk of loss from failed internal processes, people and systems, and external events, is inherent in all of our business activities. The principal ways in which we manage operational risk include the establishment of departmental and business-specific policies and procedures, internal controls and monitoring requirements. Some specific examples include our information security program, business continuity planning and testing, our vendor management program, reconciliation processes, our enterprise risk assessment process, and new product and/or system introduction processes. Periodic internal audits provide an important independent check on adherence to policies, procedures and controls designed to mitigate risk exposure.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67"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unused lines of credit and standby letters of credit is represented by the contractual amount of those instruments. 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committed amounts do not necessarily represent future cash requirements. To control the credit risk associated with entering into commitments and issuing letters of credit, the Company uses the same credit quality, collateral policies, and monitoring controls in making commitments and letters of credit as it does with its lending activities.</w:t>
      </w:r>
    </w:p>
    <w:p>
      <w:pPr>
        <w:spacing w:after="0" w:line="20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The credit risk involved in issuing letters of credit is essentially the same as that involved in extending loans to customers.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Unused lines of credit and commitments to extend credit typically result in loans with a market interest 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amounts of the Company's contractual obligations, and other commitments with off-balance sheet risk, both at June 30, 2014,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9"/>
              </w:rPr>
              <w:t>Payments Due-By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Less Than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center"/>
              <w:ind w:right="57"/>
              <w:spacing w:after="0" w:line="129" w:lineRule="exact"/>
              <w:rPr>
                <w:sz w:val="20"/>
                <w:szCs w:val="20"/>
                <w:color w:val="auto"/>
              </w:rPr>
            </w:pPr>
            <w:r>
              <w:rPr>
                <w:rFonts w:ascii="Arial" w:cs="Arial" w:eastAsia="Arial" w:hAnsi="Arial"/>
                <w:sz w:val="14"/>
                <w:szCs w:val="14"/>
                <w:b w:val="1"/>
                <w:bCs w:val="1"/>
                <w:color w:val="auto"/>
                <w:w w:val="85"/>
              </w:rPr>
              <w:t>1 - 3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w w:val="85"/>
              </w:rPr>
              <w:t>4 - 5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w w:val="97"/>
              </w:rPr>
              <w:t>After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ind w:right="97"/>
              <w:spacing w:after="0"/>
              <w:rPr>
                <w:sz w:val="20"/>
                <w:szCs w:val="20"/>
                <w:color w:val="auto"/>
              </w:rPr>
            </w:pPr>
            <w:r>
              <w:rPr>
                <w:rFonts w:ascii="Arial" w:cs="Arial" w:eastAsia="Arial" w:hAnsi="Arial"/>
                <w:sz w:val="14"/>
                <w:szCs w:val="14"/>
                <w:b w:val="1"/>
                <w:bCs w:val="1"/>
                <w:color w:val="auto"/>
                <w:w w:val="83"/>
              </w:rPr>
              <w:t>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w w:val="94"/>
              </w:rPr>
              <w:t>Years</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11"/>
          </w:tcPr>
          <w:p>
            <w:pPr>
              <w:jc w:val="right"/>
              <w:ind w:right="48"/>
              <w:spacing w:after="0" w:line="142"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FHLB advances</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37,500</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27,500</w:t>
            </w:r>
          </w:p>
        </w:tc>
        <w:tc>
          <w:tcPr>
            <w:tcW w:w="1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10,000</w:t>
            </w:r>
          </w:p>
        </w:tc>
        <w:tc>
          <w:tcPr>
            <w:tcW w:w="80" w:type="dxa"/>
            <w:vAlign w:val="bottom"/>
          </w:tcPr>
          <w:p>
            <w:pPr>
              <w:spacing w:after="0"/>
              <w:rPr>
                <w:sz w:val="18"/>
                <w:szCs w:val="18"/>
                <w:color w:val="auto"/>
              </w:rPr>
            </w:pPr>
          </w:p>
        </w:tc>
        <w:tc>
          <w:tcPr>
            <w:tcW w:w="2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Wholesale repurchase agreements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16,496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16,496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debt obligations</w:t>
            </w: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68,796</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30,748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20,609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16,827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Operating lease obligations</w:t>
            </w:r>
          </w:p>
        </w:tc>
        <w:tc>
          <w:tcPr>
            <w:tcW w:w="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8,684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contractual obligations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77,444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31,906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22,764</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20,244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6"/>
          </w:tcPr>
          <w:p>
            <w:pPr>
              <w:jc w:val="center"/>
              <w:spacing w:after="0"/>
              <w:rPr>
                <w:sz w:val="20"/>
                <w:szCs w:val="20"/>
                <w:color w:val="auto"/>
              </w:rPr>
            </w:pPr>
            <w:r>
              <w:rPr>
                <w:rFonts w:ascii="Arial" w:cs="Arial" w:eastAsia="Arial" w:hAnsi="Arial"/>
                <w:sz w:val="14"/>
                <w:szCs w:val="14"/>
                <w:b w:val="1"/>
                <w:bCs w:val="1"/>
                <w:color w:val="auto"/>
                <w:w w:val="89"/>
              </w:rPr>
              <w:t>Amount of Commitment Expiring-By Period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3"/>
              </w:rPr>
              <w:t>Less Than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1 - 3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4 - 5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After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1 Year</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9"/>
              </w:rPr>
              <w:t>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4"/>
              </w:rPr>
              <w:t>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4"/>
              </w:rPr>
              <w:t>5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11"/>
          </w:tcPr>
          <w:p>
            <w:pPr>
              <w:jc w:val="center"/>
              <w:ind w:left="279"/>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Commitments with off-balance sheet risk:</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48,939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28,730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7,137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4,665</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Standby letters of credit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Total commitments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49,105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28,896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7,137</w:t>
            </w:r>
          </w:p>
        </w:tc>
        <w:tc>
          <w:tcPr>
            <w:tcW w:w="16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equity was $112.1 million at June 30, 2014, a decrease of $1.7 million from June 30, 2013, in part due to common stock dividends of</w:t>
      </w:r>
    </w:p>
    <w:p>
      <w:pPr>
        <w:spacing w:after="0" w:line="38"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$2.9 million and $2.8 million of common stock repurchases (representing 291,200 shares). See Note 9 of the Notes to the Consolidated Financial Statements for information on the Company's capital ratios. Regulatory capital ratios for the Company and the Bank currently exceed all applicable requirements, including the commitments made to the Federal Reserve and the Bureau in connection with the Merger to maintain minimum Tier 1 leverage and total risk-based capital ratios of 10% and 15%,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consolidated financial statements and related notes have been presented in terms of historic dollars without considering changes in the relative purchasing power of money over time due to inflation. Unlike industrial companies, nearly all of the assets and virtually all of the liabilities of the Company are monetary in nature. As a result, interest rates have a more significant impact on the Company's performance than the general level of inflation. Over short periods of time, interest rates may not necessarily move in the same direction or in the same magnitude as inflation.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Note 1 of the Notes to the Consolidated Financial Statement includes the FASB and the SEC issued statements and interpretations affecting the Company.</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Critical accounting policies are those that involve significant judgments and assessments by management, and that could potentially result in materially different results under different assumptions and conditions. Northeast considers the following to be its critical accounting policies: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67"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97"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70"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94" w:lineRule="exact"/>
        <w:rPr>
          <w:sz w:val="20"/>
          <w:szCs w:val="20"/>
          <w:color w:val="auto"/>
        </w:rPr>
      </w:pPr>
    </w:p>
    <w:p>
      <w:pPr>
        <w:ind w:left="540" w:right="380"/>
        <w:spacing w:after="0" w:line="33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39" w:lineRule="exact"/>
        <w:rPr>
          <w:sz w:val="20"/>
          <w:szCs w:val="20"/>
          <w:color w:val="auto"/>
        </w:rPr>
      </w:pPr>
    </w:p>
    <w:p>
      <w:pPr>
        <w:ind w:left="540" w:right="180"/>
        <w:spacing w:after="0" w:line="294"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affected by factors affecting the general economy or conditions specific to the real estate market, such as geographic location or property type.</w:t>
      </w:r>
    </w:p>
    <w:p>
      <w:pPr>
        <w:spacing w:after="0" w:line="248"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2014 or 2013.</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201"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See Item 7, "Management's Discussion and Analysis of Financial Condition and Results of Operations—Risk Management" and accompanying table set forth therein for quantitative and qualitative disclosures about market risk.</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960755" cy="11061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075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Northeast Bancorp</w:t>
      </w:r>
    </w:p>
    <w:p>
      <w:pPr>
        <w:spacing w:after="0" w:line="219"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We have audited the accompanying consolidated balance sheets of Northeast Bancorp and subsidiary as of June 30, 2014 and 2013, and the related consolidated statements of income, comprehensive income, changes in shareholders' equity and cash flows for the years then ended. These financial statements are the responsibility of the Company's management. Our responsibility is to express an opinion on these financial statements based on our audits.</w:t>
      </w:r>
    </w:p>
    <w:p>
      <w:pPr>
        <w:spacing w:after="0" w:line="14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Northeast Bancorp and subsidiary at June 30, 2014 and 2013, and the consolidated results of their operations and their cash flows for the years then ended, in conformity with U.S. generally accepted accounting principles.</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2014</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82,259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65,934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113,881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121,597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516,416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435,376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515,049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434,233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Regulatory stock, at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761,931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670,639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shd w:val="clear" w:color="auto" w:fill="CCEEFF"/>
          </w:tcPr>
          <w:p>
            <w:pPr>
              <w:ind w:left="2340"/>
              <w:spacing w:after="0" w:line="196" w:lineRule="exact"/>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Noninterest bearing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50,140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46,425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524,189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438,198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574,329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484,623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25,397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8,268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649,865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556,837</w:t>
            </w:r>
          </w:p>
        </w:tc>
        <w:tc>
          <w:tcPr>
            <w:tcW w:w="160" w:type="dxa"/>
            <w:vAlign w:val="bottom"/>
            <w:shd w:val="clear" w:color="auto" w:fill="CCEEFF"/>
          </w:tcPr>
          <w:p>
            <w:pPr>
              <w:spacing w:after="0"/>
              <w:rPr>
                <w:sz w:val="18"/>
                <w:szCs w:val="18"/>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w w:val="88"/>
              </w:rPr>
              <w:t>Preferred stock, $1.00 par value, 1,000,000 shares authorized; no shares issued and outstanding at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June 30, 2014 and June 30, 2013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89"/>
              </w:rPr>
              <w:t>Voting common stock, $1.00 par value, 25,000,000 authorized; 9,260,331 and 9,565,680 issued and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June 30, 2014 and 2013, respectively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5"/>
              </w:rPr>
              <w:t>Non-voting common stock, $1.00 par value, 3,000,000 authorized; 880,963 shares issued and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outstanding at June 30, 2014 and June 30, 2013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10"/>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113,802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761,931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670,639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and dividend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Interest on loans</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37,009</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on available-for-sale securities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Other interest and dividend income</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interest and dividend income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36,543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2"/>
          </w:tcPr>
          <w:p>
            <w:pPr>
              <w:spacing w:after="0" w:line="142"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Deposits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Federal Home Loan Bank advances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Wholesale repurchase agreements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Short-term borrowings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Junior subordinated debentures issued to affiliated trusts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Obligation under capital lease agreement</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interest expense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6,596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ind w:left="220"/>
              <w:spacing w:after="0" w:line="142" w:lineRule="exact"/>
              <w:rPr>
                <w:sz w:val="20"/>
                <w:szCs w:val="20"/>
                <w:color w:val="auto"/>
              </w:rPr>
            </w:pPr>
            <w:r>
              <w:rPr>
                <w:rFonts w:ascii="Arial" w:cs="Arial" w:eastAsia="Arial" w:hAnsi="Arial"/>
                <w:sz w:val="14"/>
                <w:szCs w:val="14"/>
                <w:color w:val="auto"/>
              </w:rPr>
              <w:t>Net interest and dividend income before provision for loan losses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31,718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29,947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loan losses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ind w:left="220"/>
              <w:spacing w:after="0" w:line="142" w:lineRule="exact"/>
              <w:rPr>
                <w:sz w:val="20"/>
                <w:szCs w:val="20"/>
                <w:color w:val="auto"/>
              </w:rPr>
            </w:pPr>
            <w:r>
              <w:rPr>
                <w:rFonts w:ascii="Arial" w:cs="Arial" w:eastAsia="Arial" w:hAnsi="Arial"/>
                <w:sz w:val="14"/>
                <w:szCs w:val="14"/>
                <w:color w:val="auto"/>
              </w:rPr>
              <w:t>Net interest and dividend income after provision for loan losses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31,187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Noninterest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Fees for other services to customers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securities gains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Gain on sales of loans held for sale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sales of portfolio loans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Gain recognized on real estate owned and other repossessed collateral,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Bank-owned life insurance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Other noninterest income</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noninterest income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2"/>
          </w:tcPr>
          <w:p>
            <w:pPr>
              <w:spacing w:after="0" w:line="142" w:lineRule="exact"/>
              <w:rPr>
                <w:sz w:val="20"/>
                <w:szCs w:val="20"/>
                <w:color w:val="auto"/>
              </w:rPr>
            </w:pPr>
            <w:r>
              <w:rPr>
                <w:rFonts w:ascii="Arial" w:cs="Arial" w:eastAsia="Arial" w:hAnsi="Arial"/>
                <w:sz w:val="14"/>
                <w:szCs w:val="14"/>
                <w:color w:val="auto"/>
              </w:rPr>
              <w:t>Noninterest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Salaries and employee benefits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Occupancy and equipment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Professional fees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Data processing fees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Marketing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Loan acquisition and collection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1,766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FDIC insurance premiums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Intangible asset 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Legal settlement (recovery)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Other noninterest expense</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noninterest expense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31,955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ind w:left="100"/>
              <w:spacing w:after="0" w:line="142" w:lineRule="exact"/>
              <w:rPr>
                <w:sz w:val="20"/>
                <w:szCs w:val="20"/>
                <w:color w:val="auto"/>
              </w:rPr>
            </w:pPr>
            <w:r>
              <w:rPr>
                <w:rFonts w:ascii="Arial" w:cs="Arial" w:eastAsia="Arial" w:hAnsi="Arial"/>
                <w:sz w:val="14"/>
                <w:szCs w:val="14"/>
                <w:color w:val="auto"/>
              </w:rPr>
              <w:t>Income from continuing operations before income tax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4,279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6,176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 expense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ind w:left="100"/>
              <w:spacing w:after="0" w:line="142" w:lineRule="exact"/>
              <w:rPr>
                <w:sz w:val="20"/>
                <w:szCs w:val="20"/>
                <w:color w:val="auto"/>
              </w:rPr>
            </w:pPr>
            <w:r>
              <w:rPr>
                <w:rFonts w:ascii="Arial" w:cs="Arial" w:eastAsia="Arial" w:hAnsi="Arial"/>
                <w:sz w:val="14"/>
                <w:szCs w:val="14"/>
                <w:color w:val="auto"/>
              </w:rPr>
              <w:t>Net income from continuing operations</w:t>
            </w: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(Loss) income from discontinued operations</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Income tax (benefit)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Net (loss) income from discontinued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ind w:left="100"/>
              <w:spacing w:after="0" w:line="142"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4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Net income available to common shareholders</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2,692</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4,065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Weighted-average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Basic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10,404,784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10,409,588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5"/>
              </w:rPr>
              <w:t>10,404,784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10,409,588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common share: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00"/>
              <w:spacing w:after="0" w:line="149" w:lineRule="exact"/>
              <w:rPr>
                <w:sz w:val="20"/>
                <w:szCs w:val="20"/>
                <w:color w:val="auto"/>
              </w:rPr>
            </w:pPr>
            <w:r>
              <w:rPr>
                <w:rFonts w:ascii="Arial" w:cs="Arial" w:eastAsia="Arial" w:hAnsi="Arial"/>
                <w:sz w:val="14"/>
                <w:szCs w:val="14"/>
                <w:color w:val="auto"/>
              </w:rPr>
              <w:t>Basic: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from continuing operations</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20"/>
              <w:spacing w:after="0" w:line="149" w:lineRule="exact"/>
              <w:rPr>
                <w:sz w:val="20"/>
                <w:szCs w:val="20"/>
                <w:color w:val="auto"/>
              </w:rPr>
            </w:pPr>
            <w:r>
              <w:rPr>
                <w:rFonts w:ascii="Arial" w:cs="Arial" w:eastAsia="Arial" w:hAnsi="Arial"/>
                <w:sz w:val="14"/>
                <w:szCs w:val="14"/>
                <w:color w:val="auto"/>
              </w:rPr>
              <w:t>Income from discontinued operations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Net income</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0.26</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100"/>
              <w:spacing w:after="0"/>
              <w:rPr>
                <w:sz w:val="20"/>
                <w:szCs w:val="20"/>
                <w:color w:val="auto"/>
              </w:rPr>
            </w:pPr>
            <w:r>
              <w:rPr>
                <w:rFonts w:ascii="Arial" w:cs="Arial" w:eastAsia="Arial" w:hAnsi="Arial"/>
                <w:sz w:val="14"/>
                <w:szCs w:val="14"/>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from continuing operations</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20"/>
              <w:spacing w:after="0" w:line="149" w:lineRule="exact"/>
              <w:rPr>
                <w:sz w:val="20"/>
                <w:szCs w:val="20"/>
                <w:color w:val="auto"/>
              </w:rPr>
            </w:pPr>
            <w:r>
              <w:rPr>
                <w:rFonts w:ascii="Arial" w:cs="Arial" w:eastAsia="Arial" w:hAnsi="Arial"/>
                <w:sz w:val="14"/>
                <w:szCs w:val="14"/>
                <w:color w:val="auto"/>
              </w:rPr>
              <w:t>Income from discontinued operations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Net income</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0.26</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Cash dividends declared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60" w:type="dxa"/>
            <w:vAlign w:val="bottom"/>
            <w:gridSpan w:val="2"/>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0.36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Change in net unrealized gain or loss on available-for-sale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(2,469)</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(3,261)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Derivatives and hedging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Change in accumulated loss on effective cash flow hedges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Total derivatives and hedging activities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(3,139)</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Income tax expense (benefit) related to other comprehensive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(1,067)</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(2,072)</w:t>
            </w:r>
          </w:p>
        </w:tc>
      </w:tr>
      <w:tr>
        <w:trPr>
          <w:trHeight w:val="210"/>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rPr>
              <w:t>Voting</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Non-voting</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42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140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Paid-in Capital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60" w:type="dxa"/>
            <w:vAlign w:val="bottom"/>
            <w:shd w:val="clear" w:color="auto" w:fill="CCEEFF"/>
          </w:tcPr>
          <w:p>
            <w:pPr>
              <w:jc w:val="right"/>
              <w:ind w:right="52"/>
              <w:spacing w:after="0" w:line="131" w:lineRule="exact"/>
              <w:rPr>
                <w:sz w:val="20"/>
                <w:szCs w:val="20"/>
                <w:color w:val="auto"/>
              </w:rPr>
            </w:pPr>
            <w:r>
              <w:rPr>
                <w:rFonts w:ascii="Arial" w:cs="Arial" w:eastAsia="Arial" w:hAnsi="Arial"/>
                <w:sz w:val="14"/>
                <w:szCs w:val="14"/>
                <w:color w:val="auto"/>
                <w:w w:val="82"/>
              </w:rPr>
              <w:t>Balance at June 30,</w:t>
            </w: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2012</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4,227</w:t>
            </w: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center"/>
              <w:ind w:right="9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9,307,127</w:t>
            </w:r>
          </w:p>
        </w:tc>
        <w:tc>
          <w:tcPr>
            <w:tcW w:w="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9,307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1,076,314</w:t>
            </w:r>
          </w:p>
        </w:tc>
        <w:tc>
          <w:tcPr>
            <w:tcW w:w="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1,076</w:t>
            </w:r>
          </w:p>
        </w:tc>
        <w:tc>
          <w:tcPr>
            <w:tcW w:w="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96,359</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12,235</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119,139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Other</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0"/>
              </w:rPr>
              <w:t>comprehensive</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7"/>
              </w:rPr>
              <w:t>income, net of</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tax</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(2,072)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Conversion of</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non-voting</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5"/>
              </w:rPr>
              <w:t>common stock</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to voting</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w w:val="95"/>
              </w:rPr>
              <w:t>common stock</w:t>
            </w: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195,351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195</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(195,351)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Stock offering</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costs</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Issuance of</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restricted</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w w:val="95"/>
              </w:rPr>
              <w:t>common stock</w:t>
            </w: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63,202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Dividends on</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92"/>
              </w:rPr>
              <w:t>preferred stock</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Dividends on</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5"/>
              </w:rPr>
              <w:t>common stock</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at $0.36 per</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rPr>
              <w:t>share</w:t>
            </w: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(3,750)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Stock-based</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98"/>
              </w:rPr>
              <w:t>compensation</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Redemption of</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2"/>
              </w:rPr>
              <w:t>preferred stock</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rPr>
              <w:t>and warrants</w:t>
            </w:r>
          </w:p>
        </w:tc>
        <w:tc>
          <w:tcPr>
            <w:tcW w:w="5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(4,227)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(4,322)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(4,326)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Accretion of</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92"/>
              </w:rPr>
              <w:t>preferred stock</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(268)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1180" w:type="dxa"/>
            <w:vAlign w:val="bottom"/>
            <w:gridSpan w:val="2"/>
          </w:tcPr>
          <w:p>
            <w:pPr>
              <w:jc w:val="right"/>
              <w:ind w:right="52"/>
              <w:spacing w:after="0" w:line="131" w:lineRule="exact"/>
              <w:rPr>
                <w:sz w:val="20"/>
                <w:szCs w:val="20"/>
                <w:color w:val="auto"/>
              </w:rPr>
            </w:pPr>
            <w:r>
              <w:rPr>
                <w:rFonts w:ascii="Arial" w:cs="Arial" w:eastAsia="Arial" w:hAnsi="Arial"/>
                <w:sz w:val="14"/>
                <w:szCs w:val="14"/>
                <w:color w:val="auto"/>
                <w:w w:val="84"/>
              </w:rPr>
              <w:t>Balance at June 30,</w:t>
            </w: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2013</w:t>
            </w: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center"/>
              <w:ind w:right="92"/>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9,565,680</w:t>
            </w:r>
          </w:p>
        </w:tc>
        <w:tc>
          <w:tcPr>
            <w:tcW w:w="60" w:type="dxa"/>
            <w:vAlign w:val="bottom"/>
          </w:tcPr>
          <w:p>
            <w:pPr>
              <w:spacing w:after="0"/>
              <w:rPr>
                <w:sz w:val="13"/>
                <w:szCs w:val="13"/>
                <w:color w:val="auto"/>
              </w:rPr>
            </w:pPr>
          </w:p>
        </w:tc>
        <w:tc>
          <w:tcPr>
            <w:tcW w:w="22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9,566</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880,963</w:t>
            </w:r>
          </w:p>
        </w:tc>
        <w:tc>
          <w:tcPr>
            <w:tcW w:w="60" w:type="dxa"/>
            <w:vAlign w:val="bottom"/>
          </w:tcPr>
          <w:p>
            <w:pPr>
              <w:spacing w:after="0"/>
              <w:rPr>
                <w:sz w:val="13"/>
                <w:szCs w:val="13"/>
                <w:color w:val="auto"/>
              </w:rPr>
            </w:pPr>
          </w:p>
        </w:tc>
        <w:tc>
          <w:tcPr>
            <w:tcW w:w="2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881</w:t>
            </w:r>
          </w:p>
        </w:tc>
        <w:tc>
          <w:tcPr>
            <w:tcW w:w="6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92,745</w:t>
            </w:r>
          </w:p>
        </w:tc>
        <w:tc>
          <w:tcPr>
            <w:tcW w:w="60" w:type="dxa"/>
            <w:vAlign w:val="bottom"/>
          </w:tcPr>
          <w:p>
            <w:pPr>
              <w:spacing w:after="0"/>
              <w:rPr>
                <w:sz w:val="13"/>
                <w:szCs w:val="13"/>
                <w:color w:val="auto"/>
              </w:rPr>
            </w:pPr>
          </w:p>
        </w:tc>
        <w:tc>
          <w:tcPr>
            <w:tcW w:w="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12,524</w:t>
            </w:r>
          </w:p>
        </w:tc>
        <w:tc>
          <w:tcPr>
            <w:tcW w:w="60" w:type="dxa"/>
            <w:vAlign w:val="bottom"/>
          </w:tcPr>
          <w:p>
            <w:pPr>
              <w:spacing w:after="0"/>
              <w:rPr>
                <w:sz w:val="13"/>
                <w:szCs w:val="13"/>
                <w:color w:val="auto"/>
              </w:rPr>
            </w:pPr>
          </w:p>
        </w:tc>
        <w:tc>
          <w:tcPr>
            <w:tcW w:w="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(1,914)</w:t>
            </w:r>
          </w:p>
        </w:tc>
        <w:tc>
          <w:tcPr>
            <w:tcW w:w="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113,802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Net income</w:t>
            </w:r>
          </w:p>
        </w:tc>
        <w:tc>
          <w:tcPr>
            <w:tcW w:w="5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2,692</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2,692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Other</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0"/>
              </w:rPr>
              <w:t>comprehensive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7"/>
              </w:rPr>
              <w:t>income, net of</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rPr>
              <w:t>tax</w:t>
            </w: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631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631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Common stock</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repurchased</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(291,200)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(292)</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(2,531)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(2,823)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Dividends on</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5"/>
              </w:rPr>
              <w:t>common stock</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at $0.28 per</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rPr>
              <w:t>share</w:t>
            </w: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(2,922)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Stock-based</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98"/>
              </w:rPr>
              <w:t>compensation</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Forfeiture of</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restricted</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w w:val="95"/>
              </w:rPr>
              <w:t>common stock</w:t>
            </w: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(14,149)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60" w:type="dxa"/>
            <w:vAlign w:val="bottom"/>
            <w:shd w:val="clear" w:color="auto" w:fill="CCEEFF"/>
          </w:tcPr>
          <w:p>
            <w:pPr>
              <w:jc w:val="right"/>
              <w:ind w:right="52"/>
              <w:spacing w:after="0" w:line="131" w:lineRule="exact"/>
              <w:rPr>
                <w:sz w:val="20"/>
                <w:szCs w:val="20"/>
                <w:color w:val="auto"/>
              </w:rPr>
            </w:pPr>
            <w:r>
              <w:rPr>
                <w:rFonts w:ascii="Arial" w:cs="Arial" w:eastAsia="Arial" w:hAnsi="Arial"/>
                <w:sz w:val="14"/>
                <w:szCs w:val="14"/>
                <w:color w:val="auto"/>
                <w:w w:val="82"/>
              </w:rPr>
              <w:t>Balance at June 30,</w:t>
            </w: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2014</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center"/>
              <w:ind w:right="92"/>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9,260,331</w:t>
            </w:r>
          </w:p>
        </w:tc>
        <w:tc>
          <w:tcPr>
            <w:tcW w:w="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9,260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880,963</w:t>
            </w:r>
          </w:p>
        </w:tc>
        <w:tc>
          <w:tcPr>
            <w:tcW w:w="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881</w:t>
            </w:r>
          </w:p>
        </w:tc>
        <w:tc>
          <w:tcPr>
            <w:tcW w:w="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90,914</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12,294</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(1,283)</w:t>
            </w: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112,066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7"/>
              </w:rPr>
              <w:t>Year Ended June 30,</w:t>
            </w: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2,692</w:t>
            </w:r>
          </w:p>
        </w:tc>
        <w:tc>
          <w:tcPr>
            <w:tcW w:w="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4,420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Provision for loan losses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1,122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Gain recognized on real estate owned and other repossessed collateral, net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(746)</w:t>
            </w: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Accretion of loans, net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(9,926)</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Accretion of deposits, net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(989)</w:t>
            </w: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Accretion of borrowings, net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(1,034)</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Originations of loans held for sale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(91,366)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(141,870)</w:t>
            </w: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Net proceeds from sales of loans held for sale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89,665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146,167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Gain on sales of loans held for sale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(3,009)</w:t>
            </w: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Gain on sales of portfolio loans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(2,311)</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Amortization of intangible assets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Bank-owned life insurance income, net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(718)</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Depreciation of premises and equipment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Loss on disposition of premises and equipment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Net gain on sale of available-for-sale securities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(792)</w:t>
            </w: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Deferred income tax benefit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(428)</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Stock-based compensation</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rPr>
              <w:t>Amortization of securities, net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1,710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Changes in other assets and liabilities: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360"/>
              <w:spacing w:after="0" w:line="149" w:lineRule="exact"/>
              <w:rPr>
                <w:sz w:val="20"/>
                <w:szCs w:val="20"/>
                <w:color w:val="auto"/>
              </w:rPr>
            </w:pPr>
            <w:r>
              <w:rPr>
                <w:rFonts w:ascii="Arial" w:cs="Arial" w:eastAsia="Arial" w:hAnsi="Arial"/>
                <w:sz w:val="14"/>
                <w:szCs w:val="14"/>
                <w:color w:val="auto"/>
              </w:rPr>
              <w:t>Other assets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3,630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 liabilities</w:t>
            </w:r>
          </w:p>
        </w:tc>
        <w:tc>
          <w:tcPr>
            <w:tcW w:w="1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2,834</w:t>
            </w: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80" w:type="dxa"/>
            <w:vAlign w:val="bottom"/>
          </w:tcPr>
          <w:p>
            <w:pPr>
              <w:ind w:left="120"/>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1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Investing activities: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sales of available-for-sale securities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159,579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Purchases of available-for-sale securities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(48,481)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(167,294)</w:t>
            </w: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maturities and principal payments on available-for-sale securities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56,318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15,203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 purchases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(79,823)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(121,336)</w:t>
            </w: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Loan originations and principal collections, net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42,217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Purchases of premises and equipment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(2,897)</w:t>
            </w: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sales of premises and equipment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sales of portfolio loans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sales of real estate owned and other repossessed collateral</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3,925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life insurance benefits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Redemption (purchase) of regulatory stock, net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cash used in investing activities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(64,835)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(63,083)</w:t>
            </w:r>
          </w:p>
        </w:tc>
      </w:tr>
      <w:tr>
        <w:trPr>
          <w:trHeight w:val="142"/>
        </w:trPr>
        <w:tc>
          <w:tcPr>
            <w:tcW w:w="6300" w:type="dxa"/>
            <w:vAlign w:val="bottom"/>
            <w:gridSpan w:val="2"/>
          </w:tcPr>
          <w:p>
            <w:pPr>
              <w:spacing w:after="0" w:line="142" w:lineRule="exact"/>
              <w:rPr>
                <w:sz w:val="20"/>
                <w:szCs w:val="20"/>
                <w:color w:val="auto"/>
              </w:rPr>
            </w:pPr>
            <w:r>
              <w:rPr>
                <w:rFonts w:ascii="Arial" w:cs="Arial" w:eastAsia="Arial" w:hAnsi="Arial"/>
                <w:sz w:val="14"/>
                <w:szCs w:val="14"/>
                <w:color w:val="auto"/>
              </w:rPr>
              <w:t>Financing activities:</w:t>
            </w:r>
          </w:p>
        </w:tc>
        <w:tc>
          <w:tcPr>
            <w:tcW w:w="13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increase in deposits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63,424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Net increase (decrease) short-term borrowings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(584)</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 on preferred stock</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Dividends paid on common stock</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(3,750)</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Stock offering costs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Repayment of FHLB borrowings and wholesale repurchase agreements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(55,000)</w:t>
            </w: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FHLB borrowings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Redemption of preferred stock and warrants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(4,326)</w:t>
            </w: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Repayment of capital lease obligation</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86,699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(580)</w:t>
            </w:r>
          </w:p>
        </w:tc>
      </w:tr>
      <w:tr>
        <w:trPr>
          <w:trHeight w:val="142"/>
        </w:trPr>
        <w:tc>
          <w:tcPr>
            <w:tcW w:w="6300" w:type="dxa"/>
            <w:vAlign w:val="bottom"/>
            <w:gridSpan w:val="2"/>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13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16,325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(62,340)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128,274</w:t>
            </w:r>
          </w:p>
        </w:tc>
        <w:tc>
          <w:tcPr>
            <w:tcW w:w="160" w:type="dxa"/>
            <w:vAlign w:val="bottom"/>
            <w:shd w:val="clear" w:color="auto" w:fill="CCEEFF"/>
          </w:tcPr>
          <w:p>
            <w:pPr>
              <w:spacing w:after="0"/>
              <w:rPr>
                <w:sz w:val="12"/>
                <w:szCs w:val="12"/>
                <w:color w:val="auto"/>
              </w:rPr>
            </w:pPr>
          </w:p>
        </w:tc>
      </w:tr>
      <w:tr>
        <w:trPr>
          <w:trHeight w:val="142"/>
        </w:trPr>
        <w:tc>
          <w:tcPr>
            <w:tcW w:w="630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year</w:t>
            </w:r>
          </w:p>
        </w:tc>
        <w:tc>
          <w:tcPr>
            <w:tcW w:w="13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82,259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65,934</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Supplemental schedule of cash flow information:</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Interest paid</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7,496</w:t>
            </w:r>
          </w:p>
        </w:tc>
        <w:tc>
          <w:tcPr>
            <w:tcW w:w="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8,751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 paid, net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line="149" w:lineRule="exact"/>
              <w:rPr>
                <w:sz w:val="20"/>
                <w:szCs w:val="20"/>
                <w:color w:val="auto"/>
              </w:rPr>
            </w:pPr>
            <w:r>
              <w:rPr>
                <w:rFonts w:ascii="Arial" w:cs="Arial" w:eastAsia="Arial" w:hAnsi="Arial"/>
                <w:sz w:val="14"/>
                <w:szCs w:val="14"/>
                <w:color w:val="auto"/>
              </w:rPr>
              <w:t>Supplemental schedule of noncash investing and financing activities: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Transfers from loans to real estate owned and other repossessed collateral, net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4,209</w:t>
            </w:r>
          </w:p>
        </w:tc>
        <w:tc>
          <w:tcPr>
            <w:tcW w:w="1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accounting and reporting policies of Northeast Bancorp and Subsidiary ("Company" or "Northeast") conform to accounting principles generally accepted in the United States of America ("GAAP") and conform to practices within the financial services industry.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Company is a Maine corporation and a bank holding company registered with the Federal Reserve Bank of Boston ("FRB") under the Bank Holding Company Act of 1956. As a bank holding company, the Company is subject to the regulation and supervision of the FRB. The Company provides a full range of banking services to individual and corporate customers throughout south-central and western Maine and conducts loan purchasing and origination activities nationwide through its wholly-owned subsidiary, Northeast Bank (the "Bank"), a Maine state-chartered universal bank. The Bank is subject to supervision and regulation by applicable state and federal banking agencies, including the State of Maine Bureau of Financial Institutions, the Federal Deposit Insurance Corporation ("FDIC"), and the FRB. The Bank faces competition from banks and other financial institutions.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 Accounting</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December 29, 2010, the Company merged with FHB Formation LLC (the "Merger"). The Company applied the acquisition method of accounting to this business combination, which represented an acquisition by FHB Formation LLC ("FHB") of Northeast, with Northeast as the surviving company. Under the acquisition method, the acquiring entity in a business combination recognizes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In the Merger, amounts allocated to assets acquired and liabilities assumed were greater than the purchase price, which resulted in the recognition of a bargain purchase gain. Acquisition-related costs were expensed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Northeast Bancorp, and its wholly-owned subsidiary, Northeast Bank (including the Bank's wholly-owned subsidiaries). All significant intercompany transactions and balances have been eliminated in consolidation.</w:t>
      </w:r>
    </w:p>
    <w:p>
      <w:pPr>
        <w:spacing w:after="0" w:line="13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NBN Capital Trust II, NBN Capital Trust III and NBN Capital Trust IV are considered affiliates and are deconsolidated pursuant to criteria established by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investments in these affiliates were $496 thousand in aggregate and are included in other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previously reported amounts have been reclassified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financial statements have been prepared in conformity with GAAP. In preparing the financial statements, management is required to make estimates and assumptions that affect the reported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amounts of assets and liabilities and the disclosure of contingent assets and liabilities as of the date of the statement of financial condition and income and expenses for the period. Actual results could differ significantly from those estimates.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Material estimates that are particularly susceptible to significant change relate to the determination of the allowance for loan losses, the determination of fair values in conjunction with the application of acquisition accounting, and the on-going evaluation of assets for potential impairment.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 of Credit Risk</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Most of the Company's business activity is with customers located within the State of Maine. However, the Company's loan purchasing activities are diversified across the country. In all regions, the Company has emphasized the origination and purchase of commercial real estate loans. Repayment of loans is expected to come from cash flows of the borrower. Losses on secured loans are limited by the value of the collateral upon default of the borrowers. The Company does not have any significant concentrations to any one industry or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purposes of presentation in the consolidated statements of cash flow, cash and cash equivalents consist of cash and due from banks and short-term investments. The Company is required to maintain a certain reserve balance in the form of cash or deposits with other financial institutions. At June 30, 2014 and 2013, such reserve balances totaled $2.4 million and $5.3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Securities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Securities for which the Company has the positive intent and ability to hold to maturity are classified as held to maturity and carried at amortized cost. Those securities held for indefinite periods of time but not necessarily to maturity are classified as available for sale. Securities held for indefinite periods of time include securities that management intends to use as part of its asset/liability, liquidity, or capital management strategies and may be sold in response to changes in interest rates, maturities, asset/liability mix, liquidity needs, regulatory capital needs or other business factors. Securities available for sale are carried at estimated fair value with unrealized gains and losses reported on an after-tax basis in shareholders' equity as accumulated other comprehensive income or loss.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Interest and dividends on securities are recorded on the accrual method. Premiums and discounts on securities are amortized or accreted into interest income by the level-yield method over the remaining period to contractual maturity, adjusted for the effect of actual prepayments in the case of mortgage-backed securities. These estimates of prepayment assumptions are made based upon the actual performance of the underlying security, current interest rates, the general market consensus regarding changes in mortgage interest rates, the contractual repayment terms of the underlying loans, the priority rights of the investors to the cash flows from the mortgage securities and other economic conditions. When differences arise between anticipated prepayments and actual prepayments, the effective yield is recalculated to reflect actual payments to date and anticipated future payments. Unamortized premium or discount is adjusted to the amount that would have existed had the new effective yield been applied since purchase, with a corresponding charge or credit to interest income.</w:t>
      </w:r>
    </w:p>
    <w:p>
      <w:pPr>
        <w:spacing w:after="0" w:line="17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Security transactions are recorded on the trade date. Realized gains and losses are determined using the specific identification method and are recorded in non-interest income.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Management evaluates securities for other-than-temporary impairment on a periodic basis. Factors considered in determining whether an impairment is other-than-temporary include: (1) the length of time and the extent to which the fair value has been less than cost, (2) the financial condition and near-term prospects of the issuer and (3) the intent and ability of the Company to hold the investment for a period of time sufficient to allow for any anticipated recovery in fair value. If the Company intends to sell an impaired security, the Company records an other-than-temporary loss in an amount equal to the entire difference between the fair value and amortized cost. If a security is determined to be other-than-temporarily impaired but the Company does not intend to sell the security, only the credit portion of the estimated loss is recognized in earnings, with the other portion of the loss recognized in other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Regulatory Stock</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During the periods presented, the Company has owned investments in the stock of the FRB and the Federal Home Loan Bank of Boston ("FHLBB"). No ready market exists for these stocks, and they have no quoted market values. FRB stock is redeemable at par; therefore, fair value equals cost. The Bank, as a member of the FHLBB, is required to maintain investments in the capital stock of FHLBB equal to their membership base investments plus an activity-based investment determined according to the Bank's level of outstanding FHLBB advances. The Company reviews its investments in regulatory stock periodically to determine if other-than-temporary impairment exists. The Company reviews recent public filings, rating agency analysis and other factors, when making the determination. In June of 2014, the Company redeemed its FRB stock, at par, in connection with the Bank's conversion to a nonmember bank.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 Held for Sale and Loan Servicing</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Residential real estate mortgage loans are designated as held for sale based on intent, which is determined when loans are underwritten. Loans originated and held for sale in the secondary market are carried at the lower of cost or fair value. Realized gains and losses on sales of loans are determined using the specific identification method. Direct loan originations costs and fees related to loans held for sale are deferred upon origination and are recognized on the date of sale.</w:t>
      </w:r>
    </w:p>
    <w:p>
      <w:pPr>
        <w:spacing w:after="0" w:line="142"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its mortgage banking activities, the Company sells loans both on a servicing released and servicing retained basis. The Company recognizes as separate assets the rights to service mortgage loans for others, and performs an assessment of capitalized mortgage servicing rights for impairment based on the current fair value of those rights. The Company capitalizes mortgage servicing rights at their allocated cost (based on the relative fair values of the rights and the related loans) upon the sale of the related loans. Mortgage servicing rights are amortized over the estimated weighted average life of the loans. The Company's assumptions with respect to prepayments, which affect the estimated average life of the loans, are adjusted periodically to reflect current circumstances. The Company evaluates the estimated life and fair value of its servicing portfolio based on data that is disaggregated to reflect note rate, type, and term on the underlying loans.</w:t>
      </w:r>
    </w:p>
    <w:p>
      <w:pPr>
        <w:spacing w:after="0" w:line="20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connection with loans to be held for sale, the Company often offers interest rate lock commitments to prospective borrowers. The Company manages this interest rate risk by entering into offsetting forward sale agreements with third party investors for certain funded loans and loan commitments. The Company uses "best efforts" forward loan sale commitments to mitigate the risk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potential decreases in the values of loans that would result from the exercise of the derivative loan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Loans purchased by the Company are accounted for under ASC 310-30, Receivables—Loans and Debt Securities Acquired with Deteriorated Credit Quality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7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7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67" w:lineRule="exact"/>
        <w:rPr>
          <w:sz w:val="20"/>
          <w:szCs w:val="20"/>
          <w:color w:val="auto"/>
        </w:rPr>
      </w:pPr>
    </w:p>
    <w:p>
      <w:pPr>
        <w:ind w:left="540" w:right="60" w:firstLine="351"/>
        <w:spacing w:after="0" w:line="256"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97"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70" w:lineRule="exact"/>
        <w:rPr>
          <w:sz w:val="20"/>
          <w:szCs w:val="20"/>
          <w:color w:val="auto"/>
        </w:rPr>
      </w:pPr>
    </w:p>
    <w:p>
      <w:pPr>
        <w:ind w:left="540" w:right="80" w:firstLine="351"/>
        <w:spacing w:after="0" w:line="259"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94"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39" w:lineRule="exact"/>
        <w:rPr>
          <w:sz w:val="20"/>
          <w:szCs w:val="20"/>
          <w:color w:val="auto"/>
        </w:rPr>
      </w:pPr>
    </w:p>
    <w:p>
      <w:pPr>
        <w:ind w:left="540" w:right="240" w:firstLine="351"/>
        <w:spacing w:after="0" w:line="332"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LASG. Loans acquired by the LASG are, with limited exceptions, performing loans at the date of purchase. Loans in this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left="540" w:right="280"/>
        <w:spacing w:after="0" w:line="256" w:lineRule="auto"/>
        <w:rPr>
          <w:sz w:val="20"/>
          <w:szCs w:val="20"/>
          <w:color w:val="auto"/>
        </w:rPr>
      </w:pPr>
      <w:r>
        <w:rPr>
          <w:rFonts w:ascii="Arial" w:cs="Arial" w:eastAsia="Arial" w:hAnsi="Arial"/>
          <w:sz w:val="18"/>
          <w:szCs w:val="18"/>
          <w:color w:val="auto"/>
        </w:rPr>
        <w:t>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w:t>
      </w:r>
    </w:p>
    <w:p>
      <w:pPr>
        <w:spacing w:after="0" w:line="19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2014 or 2013.</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20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Premises and Equipment</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Premises and equipment are stated at cost less accumulated depreciation. Depreciation is computed by the straight-line method over the estimated useful lives of the assets. Premises and equipment under capital leases are amortized over the estimated useful lives of the assets or the respective lease terms, whichever is shorter. Maintenance and repairs are charged to expense as incurred and the cost of major renewals and betterments are capitalized.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Identifiable intangible assets subject to amortization are amortized over the estimated lives of the intangibles using a method that approximates the amount of economic benefits that are realized by the Company. Identifiable intangible assets are reviewed for impairment whenever events or changes in circumstances indicate that the carrying amount of the assets may not be recoverable.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Owned and Other Repossessed Collateral</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Assets in control of the Company or acquired through foreclosure or repossession are held for sale and are initially recorded at fair value less cost to sell at the date control is established, resulting in a new cost basis. The amount by which the recorded investment in the loan exceeds the fair value (net of estimated cost to sell) of the foreclosed asset is charged to the allowance for loan losses. Subsequent declines in the fair value of the foreclosed asset below the new cost basis are recorded through the use of a valuation allowance or through a direct write-off. Subsequent increases in the fair value may only be recorded to the extent of any previously recognized valuation allowance. Rental revenue received on foreclosed assets is included in other noninterest income, whereas operating expenses and changes in the valuation allowance relating to foreclosed assets are included in other noninterest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reviews long-lived assets, including premises and equipment, for impairment whenever events or changes in business circumstances indicate that the remaining useful life may warrant revision or that the carrying amount of the long-lived asset may not be fully recoverable. The Company performs undiscounted cash flow analyses to determine if impairment exists. If impairment is determined to exist, any related impairment loss is calculated based on fair value. Impairment losses on assets to be disposed of, if any, are based on the estimated proceeds to be received, less costs of disposal.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 Owned Life Insurance</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Increases in the cash surrender value of life insurance policies, as well as death benefits received net of any cash surrender value, are recorded in other noninterest income, and are not subject to income taxes. The cash surrender value of the policies not previously endorsed to participants are recorded as assets of the Company. Any amounts owed to participants relating to these policies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recorded as liabilities of the Company. The Company reviews the financial strength of the insurance carriers prior to the purchase of life insurance policies and no less than annually thereafter.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Company's policy is to recognize interest and penalties assessed on uncertain tax positions in income tax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360" w:firstLine="348"/>
        <w:spacing w:after="0" w:line="318" w:lineRule="auto"/>
        <w:rPr>
          <w:sz w:val="20"/>
          <w:szCs w:val="20"/>
          <w:color w:val="auto"/>
        </w:rPr>
      </w:pPr>
      <w:r>
        <w:rPr>
          <w:rFonts w:ascii="Arial" w:cs="Arial" w:eastAsia="Arial" w:hAnsi="Arial"/>
          <w:sz w:val="15"/>
          <w:szCs w:val="15"/>
          <w:color w:val="auto"/>
        </w:rPr>
        <w:t>The Company's stock-based compensation plans provide for awards of stock options, restricted stock and other stock-based compensation to directors, officers and employees. The cost of employee services received in exchange for awards of equity instruments is based on the grant-date fair value of those awards. Compensation cost is recognized over the requisite service period as a component of compensation expense. For awards with graded-vesting, compensation cost is recognized on a straight-line basis over the requisite service period for the entire award. The Company uses the Black-Scholes model to estimate the fair value of stock options, while the market price of the Company's common stock at the date of grant is used for restricted stock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During the first quarter of fiscal 2014, the Company ceased all investment brokerage operations. The results of such operations are classified as discontinued operations in the statements of income for each period presented. The Company has eliminated all intercompany transactions related to discontinued operations for each period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Comprehensive Income</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unrealized gains and losses on securities available for sale, unrealized losses related to factors other than credit on debt securities, unrealized gains and losses on cash flow hedges and deferred gains on hedge accounting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(inclusive of participating securities). Diluted earnings per share have been calculated in a manner similar to that of basic earnings per share except that the weighted average number of common shares outstanding is increased to include the number of additional common shares that would have been outstanding if all potentially dilutive common shares (such as those resulting from the exercise of stock options or the attainment of performance measures) were issued during the period, computed using the treasury stock method.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Derivative instruments are carried at fair value in the Company's financial statements. The accounting for changes in the fair value of a derivative instrument is determined by whether it has been designated and qualifies as part of a hedging relationship, and further, by the type of hedging relationship. For those derivative instruments that are designated and qualify as hedging instruments, the Company designates the hedging instrument, based upon the exposure being hedged, as either a fair value hedge or a cash flow hedge. 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net of related tax, and reclassified into earnings in the same period or periods during which the hedged transactions affect earnings. The remaining gain or loss on the derivative instrument in excess of the cumulative change in the present value of future cash flows of the hedged item (i.e., the ineffective portion), if any, is recognized in current earnings during the period. For derivative instruments designated and qualifying as a fair value hedge (i.e., hedging the exposure to changes in the fair value of an asset or liability or an identified portion thereof that is attributable to the hedged risk), the gain or loss on the derivative instrument, as well as the offsetting gain or loss on the hedged item attributable to the hedged risk, are recognized in current earnings during the period of the change in fair values. At the inception of a hedge, the Company documents certain items, including but not limited to the following: the relationship between hedging instruments and hedged items, Company risk management objectives, hedging strategies, and the evaluation of hedge transaction effectiveness. Documentation includes linking all derivatives designated as fair value or cash flow hedges to specific assets and liabilities on the balance sheet or to specific forecasted transactions.</w:t>
      </w:r>
    </w:p>
    <w:p>
      <w:pPr>
        <w:spacing w:after="0" w:line="18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Hedge accounting is discontinued prospectively when (1) a derivative is no longer highly effective in offsetting changes in the fair value or cash flow of a hedged item, (2) a derivative expires or is sold, (3) a derivative is de-designated as a hedge, because it is unlikely that a forecasted transaction will occur, or (4) it is determined that designation of a derivative as a hedge is no longer appropriate. For derivative instruments not designated as hedging instruments, the gain or loss on the derivative is recognized in current earnings during the period of change.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Transfer of Financial Assets</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Company does not maintain effective control over the transferred assets through an agreement to repurchase them before their maturity.</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sells financial assets in the normal course of business, the majority of which are residential mortgage loan sales through established programs, commercial loan sales through participation agreements, and other individual or portfolio loan and securities sales. In accordance with accounting guidance for asset transfers, the Company considers any ongoing involvement with transferred assets in determining whether the assets can be derecognized from the balance sheet. With the exception of servicing and certain performance-based guarantees, the Company's continuing involvement with financial assets sold is minimal and generally limited to market customary representation and warranty clauses.</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When the Company sells financial assets, it may retain servicing rights and/or other interests in the financial assets. The gain or loss on sale depends on the previous carrying amount of the transferred financial assets and the consideration received and any liabilities incurred in exchange for the transferred assets. Upon transfer, any servicing assets and other interests held by the Company are carried at the lower of cost or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Company's operations are considered by management to be aggregated in one reportable operating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July 2013, the FASB issued ASU No. 2013-10, </w:t>
      </w:r>
      <w:r>
        <w:rPr>
          <w:rFonts w:ascii="Arial" w:cs="Arial" w:eastAsia="Arial" w:hAnsi="Arial"/>
          <w:sz w:val="18"/>
          <w:szCs w:val="18"/>
          <w:i w:val="1"/>
          <w:iCs w:val="1"/>
          <w:color w:val="auto"/>
        </w:rPr>
        <w:t>Derivatives and Hedging (Topic 815): Inclusion of the Fed Funds Effective Swap Rate (or Overnight Index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Swap Rate) as a Benchmark Interest Rate for Hedge Accounting Purposes </w:t>
      </w:r>
      <w:r>
        <w:rPr>
          <w:rFonts w:ascii="Arial" w:cs="Arial" w:eastAsia="Arial" w:hAnsi="Arial"/>
          <w:sz w:val="18"/>
          <w:szCs w:val="18"/>
          <w:color w:val="auto"/>
        </w:rPr>
        <w:t>("ASU 2013-30"). The amendments in ASU 2013-30 permit the Fed Funds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Swap Rate (OIS) to be used as a U.S. benchmark interest rate for hedge accounting purposes under Topic 815, in addition to UST and LIBOR. The amendments also remove the restriction on using different benchmark rates for similar hedges. The amendments are effective prospectively for qualifying new or redesignated hedging relationships entered into on or after July 17, 2013. ASU 2013-30 may impact the accounting for interest rate hedging relationships entered into after July 17, 2013.</w:t>
      </w:r>
    </w:p>
    <w:p>
      <w:pPr>
        <w:spacing w:after="0" w:line="19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In January 2014, the FASB issued ASU No. 2014-01, </w:t>
      </w:r>
      <w:r>
        <w:rPr>
          <w:rFonts w:ascii="Arial" w:cs="Arial" w:eastAsia="Arial" w:hAnsi="Arial"/>
          <w:sz w:val="16"/>
          <w:szCs w:val="16"/>
          <w:i w:val="1"/>
          <w:iCs w:val="1"/>
          <w:color w:val="auto"/>
        </w:rPr>
        <w:t>Investments—Equity Method and Joint Ventures (Topic 323): Accounting for Investments in Qualified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Affordable Housing Projects </w:t>
      </w:r>
      <w:r>
        <w:rPr>
          <w:rFonts w:ascii="Arial" w:cs="Arial" w:eastAsia="Arial" w:hAnsi="Arial"/>
          <w:sz w:val="16"/>
          <w:szCs w:val="16"/>
          <w:color w:val="auto"/>
        </w:rPr>
        <w:t>("ASU 2014-01"). The amendments in ASU 2014-01 provide guidance on accounting for investments by a reporting entity in flow-through limited liability entities that manage or invest in affordable housing projects that qualify for the low-income housing tax credit. The amendments permit reporting entities to make an accounting policy election to account for their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(benefit). The amendments are effective for fiscal years, and interim periods within those years, beginning after December 31, 2014 and should be applied retrospectively to all periods presented. Early adoption is permitted. The Company does not expect ASU 2014-01 to have material impact on the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January 2014, the FASB issued ASU No. 2014-04, </w:t>
      </w:r>
      <w:r>
        <w:rPr>
          <w:rFonts w:ascii="Arial" w:cs="Arial" w:eastAsia="Arial" w:hAnsi="Arial"/>
          <w:sz w:val="16"/>
          <w:szCs w:val="16"/>
          <w:i w:val="1"/>
          <w:iCs w:val="1"/>
          <w:color w:val="auto"/>
        </w:rPr>
        <w:t>Receivables (Topic 310): Troubled Debt Restructurings by Creditors</w:t>
      </w:r>
      <w:r>
        <w:rPr>
          <w:rFonts w:ascii="Arial" w:cs="Arial" w:eastAsia="Arial" w:hAnsi="Arial"/>
          <w:sz w:val="16"/>
          <w:szCs w:val="16"/>
          <w:color w:val="auto"/>
        </w:rPr>
        <w:t xml:space="preserve"> ("ASU 2014-04"). The amendments clarify that when an in substance repossession or foreclosure occurs,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Additionally, the amendments require interim and annual disclosure of both (i) the amount of foreclosed residential real estate property held by the creditor and (ii) the recorded investment in consumer mortgage loans collateralized by residential real estate property that are in the process of foreclosure according to local requirements of the applicable jurisdiction. The amendments ASU 2014-04 are effective for annual periods, and interim periods within those annual periods, beginning after December 15, 2014. An entity can elect to adopt the amendments in ASU 2014-04 using either a modified retrospective transition method or a prospective transition method. Under the modified retrospective transition method, an entity should apply the amendments by means of a cumulative-effect adjustment to residential consumer mortgage loans and foreclosed residential real estate properties existing as of the beginning of the annual period for which the amendments are effective. The Company does not expect ASU 2014-04 to have material impact on the consolidated financial statements.</w:t>
      </w:r>
    </w:p>
    <w:p>
      <w:pPr>
        <w:spacing w:after="0" w:line="178"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 xml:space="preserve">In April 2014, the FASB issued ASU No. 2014-08, </w:t>
      </w:r>
      <w:r>
        <w:rPr>
          <w:rFonts w:ascii="Arial" w:cs="Arial" w:eastAsia="Arial" w:hAnsi="Arial"/>
          <w:sz w:val="16"/>
          <w:szCs w:val="16"/>
          <w:i w:val="1"/>
          <w:iCs w:val="1"/>
          <w:color w:val="auto"/>
        </w:rPr>
        <w:t>Presentation of Financial Statements (Topic 205) and Property, Plant, and Equipment (Topic 360):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Discontinued Operations and Disclosures of Disposals of Components of an Entity </w:t>
      </w:r>
      <w:r>
        <w:rPr>
          <w:rFonts w:ascii="Arial" w:cs="Arial" w:eastAsia="Arial" w:hAnsi="Arial"/>
          <w:sz w:val="16"/>
          <w:szCs w:val="16"/>
          <w:color w:val="auto"/>
        </w:rPr>
        <w:t>("ASU 2014-08"). Under ASU 2014-08, only disposals that</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a strategic shift that has (or will have) a major effect on the entity's results and operations would qualify as discontinued operations. In addition, ASU 2014-08 (1) expands the disclosure requirements for disposals that meet the definition of a discontinued operation, (2) requires entities to disclose information about disposals of individually significant components, and (3) updates the current definition of "discontinued operations." The amendments are effective prospectively within annual periods beginning on or after December 15, 2014. The Company does not expect ASU 2014-08 to have a material impact on the consolidated financial statements.</w:t>
      </w:r>
    </w:p>
    <w:p>
      <w:pPr>
        <w:spacing w:after="0" w:line="172" w:lineRule="exact"/>
        <w:rPr>
          <w:sz w:val="20"/>
          <w:szCs w:val="20"/>
          <w:color w:val="auto"/>
        </w:rPr>
      </w:pPr>
    </w:p>
    <w:p>
      <w:pPr>
        <w:ind w:right="200" w:firstLine="351"/>
        <w:spacing w:after="0" w:line="312" w:lineRule="auto"/>
        <w:rPr>
          <w:sz w:val="20"/>
          <w:szCs w:val="20"/>
          <w:color w:val="auto"/>
        </w:rPr>
      </w:pPr>
      <w:r>
        <w:rPr>
          <w:rFonts w:ascii="Arial" w:cs="Arial" w:eastAsia="Arial" w:hAnsi="Arial"/>
          <w:sz w:val="15"/>
          <w:szCs w:val="15"/>
          <w:color w:val="auto"/>
        </w:rPr>
        <w:t xml:space="preserve">In June 2014, the FASB issued ASU 2014-11, </w:t>
      </w:r>
      <w:r>
        <w:rPr>
          <w:rFonts w:ascii="Arial" w:cs="Arial" w:eastAsia="Arial" w:hAnsi="Arial"/>
          <w:sz w:val="15"/>
          <w:szCs w:val="15"/>
          <w:i w:val="1"/>
          <w:iCs w:val="1"/>
          <w:color w:val="auto"/>
        </w:rPr>
        <w:t>Transfers and Servicing (Topic 860): Repurchase-to-Maturity Transactions, Repurchase Financings,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Disclosures </w:t>
      </w:r>
      <w:r>
        <w:rPr>
          <w:rFonts w:ascii="Arial" w:cs="Arial" w:eastAsia="Arial" w:hAnsi="Arial"/>
          <w:sz w:val="15"/>
          <w:szCs w:val="15"/>
          <w:color w:val="auto"/>
        </w:rPr>
        <w:t>("ASU 2014-11"). ASU 2014-11 changes the accounting for repurchase-to-maturity transactions and linked repurchase financings to secured</w:t>
      </w:r>
      <w:r>
        <w:rPr>
          <w:rFonts w:ascii="Arial" w:cs="Arial" w:eastAsia="Arial" w:hAnsi="Arial"/>
          <w:sz w:val="15"/>
          <w:szCs w:val="15"/>
          <w:i w:val="1"/>
          <w:iCs w:val="1"/>
          <w:color w:val="auto"/>
        </w:rPr>
        <w:t xml:space="preserve"> </w:t>
      </w:r>
      <w:r>
        <w:rPr>
          <w:rFonts w:ascii="Arial" w:cs="Arial" w:eastAsia="Arial" w:hAnsi="Arial"/>
          <w:sz w:val="15"/>
          <w:szCs w:val="15"/>
          <w:color w:val="auto"/>
        </w:rPr>
        <w:t>borrowing accounting, which is consistent with the accounting for other repurchase agreements. ASU 2014-11 also requires two new disclosures. The first disclosure requires an entity to disclose information on transfers accounted for as sales in transactions that are economically similar to repurchase agreements. The second disclosure provides increased transparency about the types of collateral pledged in repurchase agreements and similar transactions accounted for as secured borrowings. ASU 2014-11 is effective for annual periods, and interim periods within those annual periods, beginning after December 15, 2014. Early adoption is not permitted. The adoption of this pronouncement is not expected to have a material impact on the Company's consolidated financial statements.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Available-for-sale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presents a summary of the amortized cost, gross unrealized holding gains and losses, and fair value of securities available for sale.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48,418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66,744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65,463</w:t>
            </w:r>
          </w:p>
        </w:tc>
      </w:tr>
      <w:tr>
        <w:trPr>
          <w:trHeight w:val="20"/>
        </w:trPr>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115,159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113,881</w:t>
            </w: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June 30, 2013</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45,333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78,944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76,264</w:t>
            </w:r>
          </w:p>
        </w:tc>
      </w:tr>
      <w:tr>
        <w:trPr>
          <w:trHeight w:val="20"/>
        </w:trPr>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124,233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121,597</w:t>
            </w: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At June 30, 2014, the Company held no securities of any single issuer (excluding the U. S. Government and federal agencies) with a book value that exceeded 10 percent of shareholders' equity.</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 following table summarizes realized gains and losses on available-for-sale securities.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4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4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r>
      <w:tr>
        <w:trPr>
          <w:trHeight w:val="129"/>
        </w:trPr>
        <w:tc>
          <w:tcPr>
            <w:tcW w:w="4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6"/>
          </w:tcPr>
          <w:p>
            <w:pPr>
              <w:ind w:left="100"/>
              <w:spacing w:after="0" w:line="129" w:lineRule="exact"/>
              <w:rPr>
                <w:sz w:val="20"/>
                <w:szCs w:val="20"/>
                <w:color w:val="auto"/>
              </w:rPr>
            </w:pPr>
            <w:r>
              <w:rPr>
                <w:rFonts w:ascii="Arial" w:cs="Arial" w:eastAsia="Arial" w:hAnsi="Arial"/>
                <w:sz w:val="14"/>
                <w:szCs w:val="14"/>
                <w:b w:val="1"/>
                <w:bCs w:val="1"/>
                <w:color w:val="auto"/>
              </w:rPr>
              <w:t>(Dollars in</w:t>
            </w:r>
          </w:p>
        </w:tc>
      </w:tr>
      <w:tr>
        <w:trPr>
          <w:trHeight w:val="161"/>
        </w:trPr>
        <w:tc>
          <w:tcPr>
            <w:tcW w:w="4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6"/>
          </w:tcPr>
          <w:p>
            <w:pPr>
              <w:ind w:left="80"/>
              <w:spacing w:after="0"/>
              <w:rPr>
                <w:sz w:val="20"/>
                <w:szCs w:val="20"/>
                <w:color w:val="auto"/>
              </w:rPr>
            </w:pPr>
            <w:r>
              <w:rPr>
                <w:rFonts w:ascii="Arial" w:cs="Arial" w:eastAsia="Arial" w:hAnsi="Arial"/>
                <w:sz w:val="14"/>
                <w:szCs w:val="14"/>
                <w:b w:val="1"/>
                <w:bCs w:val="1"/>
                <w:color w:val="auto"/>
              </w:rPr>
              <w:t>thousands)</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Gross realized losses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0"/>
        </w:trPr>
        <w:tc>
          <w:tcPr>
            <w:tcW w:w="4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w:t>
            </w:r>
          </w:p>
        </w:tc>
      </w:tr>
      <w:tr>
        <w:trPr>
          <w:trHeight w:val="20"/>
        </w:trPr>
        <w:tc>
          <w:tcPr>
            <w:tcW w:w="4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At June 30, 2014, investment securities with a fair value of approximately $33.1 million were pledged as collateral to secure outstanding wholesale repurchase agreements and FHLB advances.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Available-for-sale Securities (Continued)</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85"/>
              </w:rPr>
              <w:t>June 30, 2014</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right"/>
              <w:ind w:right="92"/>
              <w:spacing w:after="0" w:line="129"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left="286"/>
              <w:spacing w:after="0" w:line="129" w:lineRule="exact"/>
              <w:rPr>
                <w:sz w:val="20"/>
                <w:szCs w:val="20"/>
                <w:color w:val="auto"/>
              </w:rPr>
            </w:pPr>
            <w:r>
              <w:rPr>
                <w:rFonts w:ascii="Arial" w:cs="Arial" w:eastAsia="Arial" w:hAnsi="Arial"/>
                <w:sz w:val="14"/>
                <w:szCs w:val="14"/>
                <w:b w:val="1"/>
                <w:bCs w:val="1"/>
                <w:color w:val="auto"/>
                <w:w w:val="92"/>
              </w:rPr>
              <w:t>More than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12 Months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86"/>
              <w:spacing w:after="0"/>
              <w:rPr>
                <w:sz w:val="20"/>
                <w:szCs w:val="20"/>
                <w:color w:val="auto"/>
              </w:rPr>
            </w:pPr>
            <w:r>
              <w:rPr>
                <w:rFonts w:ascii="Arial" w:cs="Arial" w:eastAsia="Arial" w:hAnsi="Arial"/>
                <w:sz w:val="14"/>
                <w:szCs w:val="14"/>
                <w:b w:val="1"/>
                <w:bCs w:val="1"/>
                <w:color w:val="auto"/>
                <w:w w:val="89"/>
              </w:rPr>
              <w:t>12 Months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44"/>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80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6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800" w:type="dxa"/>
            <w:vAlign w:val="bottom"/>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4"/>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5"/>
              </w:rPr>
              <w:t>(Dollars</w:t>
            </w: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24,141</w:t>
            </w:r>
          </w:p>
        </w:tc>
        <w:tc>
          <w:tcPr>
            <w:tcW w:w="5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24,141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62,734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62,734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24,141</w:t>
            </w:r>
          </w:p>
        </w:tc>
        <w:tc>
          <w:tcPr>
            <w:tcW w:w="5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62,734</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(1,284)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86,875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(1,312)</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4"/>
              <w:spacing w:after="0"/>
              <w:rPr>
                <w:sz w:val="20"/>
                <w:szCs w:val="20"/>
                <w:color w:val="auto"/>
              </w:rPr>
            </w:pPr>
            <w:r>
              <w:rPr>
                <w:rFonts w:ascii="Arial" w:cs="Arial" w:eastAsia="Arial" w:hAnsi="Arial"/>
                <w:sz w:val="14"/>
                <w:szCs w:val="14"/>
                <w:b w:val="1"/>
                <w:bCs w:val="1"/>
                <w:color w:val="auto"/>
                <w:w w:val="85"/>
              </w:rPr>
              <w:t>June 30, 2013</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Less than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left="4"/>
              <w:spacing w:after="0" w:line="129" w:lineRule="exact"/>
              <w:rPr>
                <w:sz w:val="20"/>
                <w:szCs w:val="20"/>
                <w:color w:val="auto"/>
              </w:rPr>
            </w:pPr>
            <w:r>
              <w:rPr>
                <w:rFonts w:ascii="Arial" w:cs="Arial" w:eastAsia="Arial" w:hAnsi="Arial"/>
                <w:sz w:val="14"/>
                <w:szCs w:val="14"/>
                <w:b w:val="1"/>
                <w:bCs w:val="1"/>
                <w:color w:val="auto"/>
                <w:w w:val="89"/>
              </w:rPr>
              <w:t>More than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12 Months</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4"/>
              <w:spacing w:after="0"/>
              <w:rPr>
                <w:sz w:val="20"/>
                <w:szCs w:val="20"/>
                <w:color w:val="auto"/>
              </w:rPr>
            </w:pPr>
            <w:r>
              <w:rPr>
                <w:rFonts w:ascii="Arial" w:cs="Arial" w:eastAsia="Arial" w:hAnsi="Arial"/>
                <w:sz w:val="14"/>
                <w:szCs w:val="14"/>
                <w:b w:val="1"/>
                <w:bCs w:val="1"/>
                <w:color w:val="auto"/>
                <w:w w:val="89"/>
              </w:rPr>
              <w:t>12 Months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ind w:right="24"/>
              <w:spacing w:after="0" w:line="12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62"/>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(Dollars</w:t>
            </w:r>
          </w:p>
        </w:tc>
        <w:tc>
          <w:tcPr>
            <w:tcW w:w="9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76,264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(2,680)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76,264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(2,680)</w:t>
            </w: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76,264</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(2,680)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w:t>
            </w: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other-than-temporary impairment losses on securities during the years ended June 30, 2014 and 2013.</w:t>
      </w:r>
    </w:p>
    <w:p>
      <w:pPr>
        <w:spacing w:after="0" w:line="225" w:lineRule="exact"/>
        <w:rPr>
          <w:sz w:val="20"/>
          <w:szCs w:val="20"/>
          <w:color w:val="auto"/>
        </w:rPr>
      </w:pPr>
    </w:p>
    <w:p>
      <w:pPr>
        <w:jc w:val="both"/>
        <w:ind w:right="460" w:firstLine="341"/>
        <w:spacing w:after="0" w:line="306" w:lineRule="auto"/>
        <w:rPr>
          <w:sz w:val="20"/>
          <w:szCs w:val="20"/>
          <w:color w:val="auto"/>
        </w:rPr>
      </w:pPr>
      <w:r>
        <w:rPr>
          <w:rFonts w:ascii="Arial" w:cs="Arial" w:eastAsia="Arial" w:hAnsi="Arial"/>
          <w:sz w:val="16"/>
          <w:szCs w:val="16"/>
          <w:color w:val="auto"/>
        </w:rPr>
        <w:t>At June 30, 2014, the Company had 21 securities in a continuous loss position for greater than twelve months. At June 30, 2014, all of the Company's available-for-sale securities were issued or guaranteed by either government agencies or government-sponsored enterprises. The decline in fair value of the Company's available-for-sale securities at June 30, 2014 is attributable to changes in interest rates.</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June 30, 2014.</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Available-for-sale Securities (Continued)</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June 30, 2014. Actual maturities may differ from contractual maturities because borrowers may have the right to call or prepay obligations with or without call or prepayment penalties.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Fair</w:t>
            </w:r>
          </w:p>
        </w:tc>
      </w:tr>
      <w:tr>
        <w:trPr>
          <w:trHeight w:val="161"/>
        </w:trPr>
        <w:tc>
          <w:tcPr>
            <w:tcW w:w="4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w w:val="90"/>
              </w:rPr>
              <w:t>(Dollars in thousands)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48,415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48,418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33,536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Due after ten years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31,927</w:t>
            </w:r>
          </w:p>
        </w:tc>
      </w:tr>
      <w:tr>
        <w:trPr>
          <w:trHeight w:val="20"/>
        </w:trPr>
        <w:tc>
          <w:tcPr>
            <w:tcW w:w="4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115,159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113,881</w:t>
            </w:r>
          </w:p>
        </w:tc>
      </w:tr>
      <w:tr>
        <w:trPr>
          <w:trHeight w:val="20"/>
        </w:trPr>
        <w:tc>
          <w:tcPr>
            <w:tcW w:w="4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3"/>
              </w:rPr>
              <w:t>June 30, 2014</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3"/>
              </w:rPr>
              <w:t>June 30, 2013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Originated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Purchased</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Originated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0"/>
              </w:rPr>
              <w:t>Purchased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(Dollars 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116,972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120,659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89,734</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Home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35,389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316,098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100,444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264,490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Commercial business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312,966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516,416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268,590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435,376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Loans pledged as collateral with the FHLB for outstanding borrowings and additional borrowing capacity totaled $187.6 million and $56.7 at June 30, 2014 and 2013,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serviced for others totaled $82.0 million and $97.1 million at June 30, 2014 and 2013, respectively.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allowance for loan losses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June 30, 2014</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Residential</w:t>
            </w:r>
          </w:p>
        </w:tc>
        <w:tc>
          <w:tcPr>
            <w:tcW w:w="60" w:type="dxa"/>
            <w:vAlign w:val="bottom"/>
          </w:tcPr>
          <w:p>
            <w:pPr>
              <w:spacing w:after="0"/>
              <w:rPr>
                <w:sz w:val="11"/>
                <w:szCs w:val="11"/>
                <w:color w:val="auto"/>
              </w:rPr>
            </w:pPr>
          </w:p>
        </w:tc>
        <w:tc>
          <w:tcPr>
            <w:tcW w:w="9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Commercial</w:t>
            </w:r>
          </w:p>
        </w:tc>
        <w:tc>
          <w:tcPr>
            <w:tcW w:w="60" w:type="dxa"/>
            <w:vAlign w:val="bottom"/>
          </w:tcPr>
          <w:p>
            <w:pPr>
              <w:spacing w:after="0"/>
              <w:rPr>
                <w:sz w:val="11"/>
                <w:szCs w:val="11"/>
                <w:color w:val="auto"/>
              </w:rPr>
            </w:pPr>
          </w:p>
        </w:tc>
        <w:tc>
          <w:tcPr>
            <w:tcW w:w="11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Commercial &amp;</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Real Estate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Real Estate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Industrial</w:t>
            </w:r>
          </w:p>
        </w:tc>
        <w:tc>
          <w:tcPr>
            <w:tcW w:w="6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Consumer</w:t>
            </w:r>
          </w:p>
        </w:tc>
        <w:tc>
          <w:tcPr>
            <w:tcW w:w="2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Purchased</w:t>
            </w:r>
          </w:p>
        </w:tc>
        <w:tc>
          <w:tcPr>
            <w:tcW w:w="6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Unallocated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gridSpan w:val="2"/>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Provision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Charge-offs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June 30, 2013</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Residential</w:t>
            </w:r>
          </w:p>
        </w:tc>
        <w:tc>
          <w:tcPr>
            <w:tcW w:w="60" w:type="dxa"/>
            <w:vAlign w:val="bottom"/>
          </w:tcPr>
          <w:p>
            <w:pPr>
              <w:spacing w:after="0"/>
              <w:rPr>
                <w:sz w:val="11"/>
                <w:szCs w:val="11"/>
                <w:color w:val="auto"/>
              </w:rPr>
            </w:pPr>
          </w:p>
        </w:tc>
        <w:tc>
          <w:tcPr>
            <w:tcW w:w="9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Commercial</w:t>
            </w:r>
          </w:p>
        </w:tc>
        <w:tc>
          <w:tcPr>
            <w:tcW w:w="60" w:type="dxa"/>
            <w:vAlign w:val="bottom"/>
          </w:tcPr>
          <w:p>
            <w:pPr>
              <w:spacing w:after="0"/>
              <w:rPr>
                <w:sz w:val="11"/>
                <w:szCs w:val="11"/>
                <w:color w:val="auto"/>
              </w:rPr>
            </w:pPr>
          </w:p>
        </w:tc>
        <w:tc>
          <w:tcPr>
            <w:tcW w:w="11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Commercial &amp;</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Real Estate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Real Estate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Industrial</w:t>
            </w:r>
          </w:p>
        </w:tc>
        <w:tc>
          <w:tcPr>
            <w:tcW w:w="6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Consumer</w:t>
            </w:r>
          </w:p>
        </w:tc>
        <w:tc>
          <w:tcPr>
            <w:tcW w:w="2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Purchased</w:t>
            </w:r>
          </w:p>
        </w:tc>
        <w:tc>
          <w:tcPr>
            <w:tcW w:w="6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Unallocated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gridSpan w:val="2"/>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Provision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Charge-offs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June 30, 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5"/>
              </w:rPr>
              <w:t>Residential</w:t>
            </w:r>
          </w:p>
        </w:tc>
        <w:tc>
          <w:tcPr>
            <w:tcW w:w="16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Commercial</w:t>
            </w:r>
          </w:p>
        </w:tc>
        <w:tc>
          <w:tcPr>
            <w:tcW w:w="160" w:type="dxa"/>
            <w:vAlign w:val="bottom"/>
          </w:tcPr>
          <w:p>
            <w:pPr>
              <w:spacing w:after="0"/>
              <w:rPr>
                <w:sz w:val="11"/>
                <w:szCs w:val="11"/>
                <w:color w:val="auto"/>
              </w:rPr>
            </w:pPr>
          </w:p>
        </w:tc>
        <w:tc>
          <w:tcPr>
            <w:tcW w:w="10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Commercial &amp;</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Real Estate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4"/>
              </w:rPr>
              <w:t>Real Estate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8"/>
              </w:rPr>
              <w:t>Industrial</w:t>
            </w: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0"/>
              </w:rPr>
              <w:t>Purchased</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Unallocated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6"/>
              </w:rPr>
              <w:t>Allowance for loan losses: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35</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142,633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114,068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307,863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ASC 310-30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198,703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198,703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144,947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41,518</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516,416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517"/>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June 30, 2013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5"/>
              </w:rPr>
              <w:t>Residential</w:t>
            </w:r>
          </w:p>
        </w:tc>
        <w:tc>
          <w:tcPr>
            <w:tcW w:w="16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Commercial</w:t>
            </w:r>
          </w:p>
        </w:tc>
        <w:tc>
          <w:tcPr>
            <w:tcW w:w="160" w:type="dxa"/>
            <w:vAlign w:val="bottom"/>
          </w:tcPr>
          <w:p>
            <w:pPr>
              <w:spacing w:after="0"/>
              <w:rPr>
                <w:sz w:val="11"/>
                <w:szCs w:val="11"/>
                <w:color w:val="auto"/>
              </w:rPr>
            </w:pPr>
          </w:p>
        </w:tc>
        <w:tc>
          <w:tcPr>
            <w:tcW w:w="10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Commercial &amp;</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Real Estate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4"/>
              </w:rPr>
              <w:t>Real Estate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8"/>
              </w:rPr>
              <w:t>Industrial</w:t>
            </w: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0"/>
              </w:rPr>
              <w:t>Purchased</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Unallocated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Individually evaluated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ASC 310-30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41</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8"/>
                <w:szCs w:val="18"/>
                <w:color w:val="auto"/>
              </w:rPr>
              <w:t>Loans: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Collectively evaluated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122,497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264,147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ASC 310-30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165,657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125,123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100,444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435,376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6"/>
          </w:tcPr>
          <w:p>
            <w:pPr>
              <w:jc w:val="center"/>
              <w:ind w:right="1400"/>
              <w:spacing w:after="0"/>
              <w:rPr>
                <w:sz w:val="20"/>
                <w:szCs w:val="20"/>
                <w:color w:val="auto"/>
              </w:rPr>
            </w:pPr>
            <w:r>
              <w:rPr>
                <w:rFonts w:ascii="Arial" w:cs="Arial" w:eastAsia="Arial" w:hAnsi="Arial"/>
                <w:sz w:val="14"/>
                <w:szCs w:val="14"/>
                <w:b w:val="1"/>
                <w:bCs w:val="1"/>
                <w:color w:val="auto"/>
                <w:w w:val="88"/>
              </w:rPr>
              <w:t>For the Year Ended</w:t>
            </w:r>
          </w:p>
        </w:tc>
      </w:t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At June 30, 2014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6"/>
          </w:tcPr>
          <w:p>
            <w:pPr>
              <w:jc w:val="center"/>
              <w:ind w:right="1400"/>
              <w:spacing w:after="0"/>
              <w:rPr>
                <w:sz w:val="20"/>
                <w:szCs w:val="20"/>
                <w:color w:val="auto"/>
              </w:rPr>
            </w:pPr>
            <w:r>
              <w:rPr>
                <w:rFonts w:ascii="Arial" w:cs="Arial" w:eastAsia="Arial" w:hAnsi="Arial"/>
                <w:sz w:val="14"/>
                <w:szCs w:val="14"/>
                <w:b w:val="1"/>
                <w:bCs w:val="1"/>
                <w:color w:val="auto"/>
                <w:w w:val="85"/>
              </w:rPr>
              <w:t>June 30, 2014</w:t>
            </w:r>
          </w:p>
        </w:tc>
      </w:tr>
      <w:tr>
        <w:trPr>
          <w:trHeight w:val="129"/>
        </w:trPr>
        <w:tc>
          <w:tcPr>
            <w:tcW w:w="11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Unpaid</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0"/>
              </w:rPr>
              <w:t>Interest</w:t>
            </w:r>
          </w:p>
        </w:tc>
        <w:tc>
          <w:tcPr>
            <w:tcW w:w="1300" w:type="dxa"/>
            <w:vAlign w:val="bottom"/>
            <w:gridSpan w:val="2"/>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3"/>
              </w:rPr>
              <w:t>Recorded</w:t>
            </w:r>
          </w:p>
        </w:tc>
        <w:tc>
          <w:tcPr>
            <w:tcW w:w="1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Principal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85"/>
              </w:rPr>
              <w:t>Income</w:t>
            </w:r>
          </w:p>
        </w:tc>
      </w:t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Recognized</w:t>
            </w:r>
          </w:p>
        </w:tc>
        <w:tc>
          <w:tcPr>
            <w:tcW w:w="1300" w:type="dxa"/>
            <w:vAlign w:val="bottom"/>
            <w:gridSpan w:val="2"/>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6"/>
          </w:tcPr>
          <w:p>
            <w:pPr>
              <w:jc w:val="center"/>
              <w:ind w:right="1420"/>
              <w:spacing w:after="0" w:line="142" w:lineRule="exact"/>
              <w:rPr>
                <w:sz w:val="20"/>
                <w:szCs w:val="20"/>
                <w:color w:val="auto"/>
              </w:rPr>
            </w:pPr>
            <w:r>
              <w:rPr>
                <w:rFonts w:ascii="Arial" w:cs="Arial" w:eastAsia="Arial" w:hAnsi="Arial"/>
                <w:sz w:val="14"/>
                <w:szCs w:val="14"/>
                <w:b w:val="1"/>
                <w:bCs w:val="1"/>
                <w:color w:val="auto"/>
                <w:w w:val="86"/>
              </w:rPr>
              <w:t>(Dollars in thousands)</w:t>
            </w: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business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Residential real estate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business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Purchased: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impaired loans</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20" w:type="dxa"/>
            <w:vAlign w:val="bottom"/>
            <w:gridSpan w:val="3"/>
          </w:tcPr>
          <w:p>
            <w:pPr>
              <w:ind w:left="6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For the Year Ended</w:t>
            </w: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680"/>
              <w:spacing w:after="0"/>
              <w:rPr>
                <w:sz w:val="20"/>
                <w:szCs w:val="20"/>
                <w:color w:val="auto"/>
              </w:rPr>
            </w:pPr>
            <w:r>
              <w:rPr>
                <w:rFonts w:ascii="Arial" w:cs="Arial" w:eastAsia="Arial" w:hAnsi="Arial"/>
                <w:sz w:val="14"/>
                <w:szCs w:val="14"/>
                <w:b w:val="1"/>
                <w:bCs w:val="1"/>
                <w:color w:val="auto"/>
                <w:w w:val="89"/>
              </w:rPr>
              <w:t>At June 30, 2013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June 30, 2013</w:t>
            </w: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Unpaid</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3"/>
              </w:rPr>
              <w:t>Recorded</w:t>
            </w:r>
          </w:p>
        </w:tc>
        <w:tc>
          <w:tcPr>
            <w:tcW w:w="1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Principal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Income</w:t>
            </w: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Recognized</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(Dollars in thousands)</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business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Residential real estate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business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Purchased: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impaired loans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business, and certain residential loans as follows: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Loans rated 1-6: Loans in these categories are considered "pass" rated loans. Loans in categories 1-5 are considered to have low to average risk.</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Loans rated 6 are considered marginally acceptable business credits and have more than average risk.</w:t>
      </w:r>
    </w:p>
    <w:p>
      <w:pPr>
        <w:spacing w:after="0" w:line="219" w:lineRule="exact"/>
        <w:rPr>
          <w:sz w:val="20"/>
          <w:szCs w:val="20"/>
          <w:color w:val="auto"/>
        </w:rPr>
      </w:pPr>
    </w:p>
    <w:p>
      <w:pPr>
        <w:ind w:left="540" w:right="560" w:firstLine="351"/>
        <w:spacing w:after="0" w:line="268"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86"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liquidation of the debt.</w:t>
      </w:r>
    </w:p>
    <w:p>
      <w:pPr>
        <w:spacing w:after="0" w:line="194" w:lineRule="exact"/>
        <w:rPr>
          <w:sz w:val="20"/>
          <w:szCs w:val="20"/>
          <w:color w:val="auto"/>
        </w:rPr>
      </w:pPr>
    </w:p>
    <w:p>
      <w:pPr>
        <w:jc w:val="both"/>
        <w:ind w:left="540" w:right="40" w:firstLine="351"/>
        <w:spacing w:after="0" w:line="259"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Loans rated 10: Loans in this category are considered "loss" and of such little value that their continuance as loans is not warranted.</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2"/>
              </w:rPr>
              <w:t>Originated Portfolio</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960" w:type="dxa"/>
            <w:vAlign w:val="bottom"/>
            <w:gridSpan w:val="3"/>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Commercial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0"/>
              </w:rPr>
              <w:t>Business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7"/>
              </w:rPr>
              <w:t>Residential(1)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Portfolio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1 - 6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41,271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189,986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353,242</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Loans rated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Loans rated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375,136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2"/>
              </w:rPr>
              <w:t>Originated Portfolio</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960" w:type="dxa"/>
            <w:vAlign w:val="bottom"/>
            <w:gridSpan w:val="3"/>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Commercial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0"/>
              </w:rPr>
              <w:t>Business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7"/>
              </w:rPr>
              <w:t>Residential(1)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Portfolio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1 - 6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29,340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300,291</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Loans rated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3,226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Loans rated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100,444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311,191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700" w:hanging="540"/>
        <w:spacing w:after="0" w:line="268" w:lineRule="auto"/>
        <w:tabs>
          <w:tab w:leader="none" w:pos="2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Past Due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Past Due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90 Days or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90 Days or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Non-</w:t>
            </w:r>
          </w:p>
        </w:tc>
      </w:tr>
      <w:tr>
        <w:trPr>
          <w:trHeight w:val="149"/>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30-59</w:t>
            </w:r>
          </w:p>
        </w:tc>
        <w:tc>
          <w:tcPr>
            <w:tcW w:w="80" w:type="dxa"/>
            <w:vAlign w:val="bottom"/>
          </w:tcPr>
          <w:p>
            <w:pPr>
              <w:spacing w:after="0"/>
              <w:rPr>
                <w:sz w:val="12"/>
                <w:szCs w:val="12"/>
                <w:color w:val="auto"/>
              </w:rPr>
            </w:pPr>
          </w:p>
        </w:tc>
        <w:tc>
          <w:tcPr>
            <w:tcW w:w="66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60-89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More-Still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More-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Past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Accrual</w:t>
            </w:r>
          </w:p>
        </w:tc>
      </w:t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Days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7"/>
              </w:rPr>
              <w:t>Days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Accruing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Nonaccrual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Due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Current</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Loans</w:t>
            </w:r>
          </w:p>
        </w:tc>
        <w:tc>
          <w:tcPr>
            <w:tcW w:w="1180" w:type="dxa"/>
            <w:vAlign w:val="bottom"/>
            <w:gridSpan w:val="2"/>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7"/>
          </w:tcPr>
          <w:p>
            <w:pPr>
              <w:jc w:val="right"/>
              <w:ind w:right="4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500" w:type="dxa"/>
            <w:vAlign w:val="bottom"/>
            <w:gridSpan w:val="3"/>
          </w:tcPr>
          <w:p>
            <w:pPr>
              <w:ind w:left="42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79"/>
              </w:rPr>
              <w:t>222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1,573</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2,523</w:t>
            </w:r>
          </w:p>
        </w:tc>
        <w:tc>
          <w:tcPr>
            <w:tcW w:w="2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114,449</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116,972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79"/>
              </w:rPr>
              <w:t>126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115,726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116,617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79"/>
              </w:rPr>
              <w:t>188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645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309,055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312,966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Purchased portfolio: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197,486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199,481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3260" w:type="dxa"/>
            <w:vAlign w:val="bottom"/>
            <w:gridSpan w:val="2"/>
          </w:tcPr>
          <w:p>
            <w:pPr>
              <w:ind w:left="1140"/>
              <w:spacing w:after="0"/>
              <w:rPr>
                <w:sz w:val="20"/>
                <w:szCs w:val="20"/>
                <w:color w:val="auto"/>
              </w:rPr>
            </w:pPr>
            <w:r>
              <w:rPr>
                <w:rFonts w:ascii="Arial" w:cs="Arial" w:eastAsia="Arial" w:hAnsi="Arial"/>
                <w:sz w:val="18"/>
                <w:szCs w:val="18"/>
                <w:color w:val="auto"/>
              </w:rPr>
              <w:t>Total purchased portfolio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201,455</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203,450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500" w:type="dxa"/>
            <w:vAlign w:val="bottom"/>
            <w:gridSpan w:val="3"/>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645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510,510</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516,416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Past Due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Past Due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90 Days or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90 Days or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Non-</w:t>
            </w:r>
          </w:p>
        </w:tc>
      </w:tr>
      <w:tr>
        <w:trPr>
          <w:trHeight w:val="149"/>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30-59</w:t>
            </w:r>
          </w:p>
        </w:tc>
        <w:tc>
          <w:tcPr>
            <w:tcW w:w="80" w:type="dxa"/>
            <w:vAlign w:val="bottom"/>
          </w:tcPr>
          <w:p>
            <w:pPr>
              <w:spacing w:after="0"/>
              <w:rPr>
                <w:sz w:val="12"/>
                <w:szCs w:val="12"/>
                <w:color w:val="auto"/>
              </w:rPr>
            </w:pPr>
          </w:p>
        </w:tc>
        <w:tc>
          <w:tcPr>
            <w:tcW w:w="6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60-89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More-Still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More-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Past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Accrual</w:t>
            </w:r>
          </w:p>
        </w:tc>
      </w:t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Days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rPr>
              <w:t>Days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Accruing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Nonaccrual</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Current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5"/>
              <w:spacing w:after="0"/>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2"/>
              </w:rPr>
              <w:t>Loans</w:t>
            </w:r>
          </w:p>
        </w:tc>
      </w:tr>
      <w:tr>
        <w:trPr>
          <w:trHeight w:val="142"/>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(Dollars in</w:t>
            </w:r>
          </w:p>
        </w:tc>
        <w:tc>
          <w:tcPr>
            <w:tcW w:w="180" w:type="dxa"/>
            <w:vAlign w:val="bottom"/>
            <w:gridSpan w:val="2"/>
          </w:tcPr>
          <w:p>
            <w:pPr>
              <w:spacing w:after="0"/>
              <w:rPr>
                <w:sz w:val="12"/>
                <w:szCs w:val="12"/>
                <w:color w:val="auto"/>
              </w:rPr>
            </w:pPr>
          </w:p>
        </w:tc>
        <w:tc>
          <w:tcPr>
            <w:tcW w:w="58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77"/>
              </w:rPr>
              <w:t>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278</w:t>
            </w:r>
          </w:p>
        </w:tc>
        <w:tc>
          <w:tcPr>
            <w:tcW w:w="80" w:type="dxa"/>
            <w:vAlign w:val="bottom"/>
          </w:tcPr>
          <w:p>
            <w:pPr>
              <w:spacing w:after="0"/>
              <w:rPr>
                <w:sz w:val="18"/>
                <w:szCs w:val="18"/>
                <w:color w:val="auto"/>
              </w:rPr>
            </w:pPr>
          </w:p>
        </w:tc>
        <w:tc>
          <w:tcPr>
            <w:tcW w:w="2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w w:val="88"/>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2,651</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87,083</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89,734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2,346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79"/>
              </w:rPr>
              <w:t>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99,929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264,640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268,590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Purchased portfolio: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160,701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164,046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3260" w:type="dxa"/>
            <w:vAlign w:val="bottom"/>
            <w:gridSpan w:val="2"/>
          </w:tcPr>
          <w:p>
            <w:pPr>
              <w:ind w:left="1140"/>
              <w:spacing w:after="0"/>
              <w:rPr>
                <w:sz w:val="20"/>
                <w:szCs w:val="20"/>
                <w:color w:val="auto"/>
              </w:rPr>
            </w:pPr>
            <w:r>
              <w:rPr>
                <w:rFonts w:ascii="Arial" w:cs="Arial" w:eastAsia="Arial" w:hAnsi="Arial"/>
                <w:sz w:val="18"/>
                <w:szCs w:val="18"/>
                <w:color w:val="auto"/>
              </w:rPr>
              <w:t>Total purchased portfolio</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2,210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163,441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166,786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3,068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428,081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435,376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89"/>
              </w:rPr>
              <w:t>88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7"/>
              </w:rPr>
              <w:t>Year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10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41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r>
      <w:tr>
        <w:trPr>
          <w:trHeight w:val="161"/>
        </w:trPr>
        <w:tc>
          <w:tcPr>
            <w:tcW w:w="4140" w:type="dxa"/>
            <w:vAlign w:val="bottom"/>
          </w:tcPr>
          <w:p>
            <w:pPr>
              <w:spacing w:after="0"/>
              <w:rPr>
                <w:sz w:val="14"/>
                <w:szCs w:val="14"/>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Contracts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Adjusted interest rate</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Principal deferment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r>
      <w:tr>
        <w:trPr>
          <w:trHeight w:val="20"/>
        </w:trPr>
        <w:tc>
          <w:tcPr>
            <w:tcW w:w="4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1,617</w:t>
            </w:r>
          </w:p>
        </w:tc>
      </w:tr>
      <w:tr>
        <w:trPr>
          <w:trHeight w:val="20"/>
        </w:trPr>
        <w:tc>
          <w:tcPr>
            <w:tcW w:w="4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loans modified in a TDR and the change in the recorded investment subsequent to the modifications.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Recorded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3"/>
              </w:rPr>
              <w:t>Recorded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Investment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Investment</w:t>
            </w:r>
          </w:p>
        </w:tc>
      </w:t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Pre-Modification</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Post-Modification</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7"/>
              </w:rPr>
              <w:t>Contracts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Pre-Modification</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6"/>
              </w:rPr>
              <w:t>Post-Modification</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Originated portfolio:</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Residential real estate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1,113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1,113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Home equity</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Commercial real estate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Commercial business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Consumer</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originated portfolio</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1,039</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1,390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1,337</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Purchased portfolio:</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Residential real estate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Commercial real estate</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1,990</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2,029</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purchased portfolio</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2,029</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280</w:t>
            </w: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40" w:type="dxa"/>
            <w:vAlign w:val="bottom"/>
          </w:tcPr>
          <w:p>
            <w:pPr>
              <w:ind w:left="280"/>
              <w:spacing w:after="0" w:line="142" w:lineRule="exact"/>
              <w:rPr>
                <w:sz w:val="20"/>
                <w:szCs w:val="20"/>
                <w:color w:val="auto"/>
              </w:rPr>
            </w:pPr>
            <w:r>
              <w:rPr>
                <w:rFonts w:ascii="Arial" w:cs="Arial" w:eastAsia="Arial" w:hAnsi="Arial"/>
                <w:sz w:val="14"/>
                <w:szCs w:val="14"/>
                <w:color w:val="auto"/>
              </w:rPr>
              <w:t>Total</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3,029</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3,068</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1,597</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1,617</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2014, there were no further commitments to lend associated with loans modified in a TDR.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loans that have been modified during the past twelve months which have subsequently defaulted during the periods indicated.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 loan to have defaulted when it reaches 90 days past due.</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7"/>
              </w:rPr>
              <w:t>Year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10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4140" w:type="dxa"/>
            <w:vAlign w:val="bottom"/>
          </w:tcPr>
          <w:p>
            <w:pPr>
              <w:spacing w:after="0"/>
              <w:rPr>
                <w:sz w:val="11"/>
                <w:szCs w:val="11"/>
                <w:color w:val="auto"/>
              </w:rPr>
            </w:pPr>
          </w:p>
        </w:tc>
        <w:tc>
          <w:tcPr>
            <w:tcW w:w="80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41"/>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1"/>
                <w:szCs w:val="11"/>
                <w:color w:val="auto"/>
              </w:rPr>
            </w:pPr>
          </w:p>
        </w:tc>
      </w:tr>
      <w:tr>
        <w:trPr>
          <w:trHeight w:val="161"/>
        </w:trPr>
        <w:tc>
          <w:tcPr>
            <w:tcW w:w="4140" w:type="dxa"/>
            <w:vAlign w:val="bottom"/>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Home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36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0"/>
        </w:trPr>
        <w:tc>
          <w:tcPr>
            <w:tcW w:w="4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79"/>
              </w:rPr>
              <w:t>36</w:t>
            </w:r>
          </w:p>
        </w:tc>
        <w:tc>
          <w:tcPr>
            <w:tcW w:w="16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presents a summary of loans accounted for under ASC 310-30 that were acquired by the Company during the year ended June 30, 2014 (dollars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116,786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r>
      <w:tr>
        <w:trPr>
          <w:trHeight w:val="20"/>
        </w:trPr>
        <w:tc>
          <w:tcPr>
            <w:tcW w:w="5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115,222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Accretable yield</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(35,399)</w:t>
            </w:r>
          </w:p>
        </w:tc>
      </w:tr>
      <w:tr>
        <w:trPr>
          <w:trHeight w:val="20"/>
        </w:trPr>
        <w:tc>
          <w:tcPr>
            <w:tcW w:w="5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79,823</w:t>
            </w:r>
          </w:p>
        </w:tc>
      </w:tr>
      <w:tr>
        <w:trPr>
          <w:trHeight w:val="20"/>
        </w:trPr>
        <w:tc>
          <w:tcPr>
            <w:tcW w:w="5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summarizes the activity in the accretable yield for loans accounted for under ASC 310-30 during the year ended June 30, 2014 (dollars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108,251</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Accretion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(15,433)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35,399</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Reclassifications from nonaccretable difference,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(19,968)</w:t>
            </w:r>
          </w:p>
        </w:tc>
      </w:tr>
      <w:tr>
        <w:trPr>
          <w:trHeight w:val="210"/>
        </w:trPr>
        <w:tc>
          <w:tcPr>
            <w:tcW w:w="7040" w:type="dxa"/>
            <w:vAlign w:val="bottom"/>
          </w:tcPr>
          <w:p>
            <w:pPr>
              <w:ind w:left="180"/>
              <w:spacing w:after="0"/>
              <w:rPr>
                <w:sz w:val="20"/>
                <w:szCs w:val="20"/>
                <w:color w:val="auto"/>
              </w:rPr>
            </w:pPr>
            <w:r>
              <w:rPr>
                <w:rFonts w:ascii="Arial" w:cs="Arial" w:eastAsia="Arial" w:hAnsi="Arial"/>
                <w:sz w:val="18"/>
                <w:szCs w:val="18"/>
                <w:color w:val="auto"/>
              </w:rPr>
              <w:t>End balance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109,040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84"/>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gridSpan w:val="6"/>
          </w:tcPr>
          <w:p>
            <w:pPr>
              <w:ind w:left="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239,376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203,755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1720"/>
              <w:spacing w:after="0"/>
              <w:rPr>
                <w:sz w:val="20"/>
                <w:szCs w:val="20"/>
                <w:color w:val="auto"/>
              </w:rPr>
            </w:pPr>
            <w:r>
              <w:rPr>
                <w:rFonts w:ascii="Arial" w:cs="Arial" w:eastAsia="Arial" w:hAnsi="Arial"/>
                <w:sz w:val="18"/>
                <w:szCs w:val="18"/>
                <w:color w:val="auto"/>
              </w:rPr>
              <w:t>Carrying amount</w:t>
            </w: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gridSpan w:val="2"/>
            <w:vMerge w:val="continue"/>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201,171</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166,506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20" w:type="dxa"/>
            <w:vAlign w:val="bottom"/>
            <w:vMerge w:val="restart"/>
          </w:tcPr>
          <w:p>
            <w:pPr>
              <w:jc w:val="right"/>
              <w:ind w:right="189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Premises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Premises and equipment consists of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Estimated Useful Life</w:t>
            </w: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2"/>
                <w:szCs w:val="12"/>
                <w:color w:val="auto"/>
              </w:rPr>
            </w:pPr>
          </w:p>
        </w:tc>
        <w:tc>
          <w:tcPr>
            <w:tcW w:w="2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2,120</w:t>
            </w:r>
          </w:p>
        </w:tc>
        <w:tc>
          <w:tcPr>
            <w:tcW w:w="2820" w:type="dxa"/>
            <w:vAlign w:val="bottom"/>
            <w:gridSpan w:val="2"/>
          </w:tcPr>
          <w:p>
            <w:pPr>
              <w:jc w:val="right"/>
              <w:ind w:right="116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Assets recorded under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6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Term of lease</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Leasehold and building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2,310</w:t>
            </w:r>
          </w:p>
        </w:tc>
        <w:tc>
          <w:tcPr>
            <w:tcW w:w="16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5 - 39 (or term of lease, if shorter)</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8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3 - 7</w:t>
            </w: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13,515</w:t>
            </w: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Net premises and equipment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Depreciation and amortization of premises and equipment included in occupancy and equipment expense was $2.0 million for the year ended June 30, 2014 and $1.7 million for the year ended June 30,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31"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At June 30, 2014 and 2013, intangible assets consisted of a core deposit intangible. The Company's core deposit intangible is being amortized on an accelerated basis over 9.5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the carrying amount of the core deposit intangible follow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360"/>
              <w:spacing w:after="0"/>
              <w:rPr>
                <w:sz w:val="20"/>
                <w:szCs w:val="20"/>
                <w:color w:val="auto"/>
              </w:rPr>
            </w:pPr>
            <w:r>
              <w:rPr>
                <w:rFonts w:ascii="Arial" w:cs="Arial" w:eastAsia="Arial" w:hAnsi="Arial"/>
                <w:sz w:val="18"/>
                <w:szCs w:val="18"/>
                <w:color w:val="auto"/>
                <w:w w:val="98"/>
              </w:rPr>
              <w:t>The components of core deposit intangible follow at June 30:</w:t>
            </w: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40" w:type="dxa"/>
            <w:vAlign w:val="bottom"/>
            <w:gridSpan w:val="2"/>
            <w:vMerge w:val="continue"/>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(Dollars</w:t>
            </w:r>
          </w:p>
        </w:tc>
        <w:tc>
          <w:tcPr>
            <w:tcW w:w="2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79"/>
              </w:rPr>
              <w:t>in</w:t>
            </w:r>
          </w:p>
        </w:tc>
        <w:tc>
          <w:tcPr>
            <w:tcW w:w="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Gross carrying amount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6,348</w:t>
            </w:r>
          </w:p>
        </w:tc>
        <w:tc>
          <w:tcPr>
            <w:tcW w:w="2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6,348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(3,550)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60" w:type="dxa"/>
            <w:vAlign w:val="bottom"/>
            <w:vMerge w:val="restart"/>
          </w:tcPr>
          <w:p>
            <w:pPr>
              <w:jc w:val="right"/>
              <w:ind w:right="2012"/>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Estimated annual amortization expense associated with the core deposit intangible follows for the fiscal years ending June 30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2016</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2018</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2020</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Deposits</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2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The composition of deposits at June 30 follows: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76"/>
              </w:rPr>
              <w:t>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7"/>
          </w:tcPr>
          <w:p>
            <w:pPr>
              <w:jc w:val="right"/>
              <w:ind w:right="38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46,425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NOW</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63,648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57,334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84,416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Regular savings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34,692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33,636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Time certificates of less than $100 thousand</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99,373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time certificates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251,304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163,439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574,329</w:t>
            </w:r>
          </w:p>
        </w:tc>
        <w:tc>
          <w:tcPr>
            <w:tcW w:w="10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8"/>
              </w:rPr>
              <w:t>$  484,623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scheduled maturities of time certificates at June 30, 2014 by fiscal year follow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170,791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2016</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57,599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2018</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27,191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341,948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720" w:type="dxa"/>
            <w:vAlign w:val="bottom"/>
            <w:vMerge w:val="restart"/>
          </w:tcPr>
          <w:p>
            <w:pPr>
              <w:jc w:val="right"/>
              <w:ind w:right="2872"/>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Advances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advances from the Federal Home Loan Bank of Boston as of June 30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5"/>
          </w:tcPr>
          <w:p>
            <w:pPr>
              <w:ind w:left="2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Unpaid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Average Interest</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7"/>
              </w:rPr>
              <w:t>Maturity By Fiscal Year</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jc w:val="right"/>
              <w:ind w:right="198"/>
              <w:spacing w:after="0"/>
              <w:rPr>
                <w:sz w:val="20"/>
                <w:szCs w:val="20"/>
                <w:color w:val="auto"/>
              </w:rPr>
            </w:pPr>
            <w:r>
              <w:rPr>
                <w:rFonts w:ascii="Arial" w:cs="Arial" w:eastAsia="Arial" w:hAnsi="Arial"/>
                <w:sz w:val="14"/>
                <w:szCs w:val="14"/>
                <w:b w:val="1"/>
                <w:bCs w:val="1"/>
                <w:color w:val="auto"/>
                <w:w w:val="95"/>
              </w:rPr>
              <w:t>Principal Balance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Carrying Amount(1)</w:t>
            </w:r>
          </w:p>
        </w:tc>
        <w:tc>
          <w:tcPr>
            <w:tcW w:w="740" w:type="dxa"/>
            <w:vAlign w:val="bottom"/>
            <w:gridSpan w:val="3"/>
          </w:tcPr>
          <w:p>
            <w:pPr>
              <w:ind w:left="420"/>
              <w:spacing w:after="0"/>
              <w:rPr>
                <w:sz w:val="20"/>
                <w:szCs w:val="20"/>
                <w:color w:val="auto"/>
              </w:rPr>
            </w:pPr>
            <w:r>
              <w:rPr>
                <w:rFonts w:ascii="Arial" w:cs="Arial" w:eastAsia="Arial" w:hAnsi="Arial"/>
                <w:sz w:val="14"/>
                <w:szCs w:val="14"/>
                <w:b w:val="1"/>
                <w:bCs w:val="1"/>
                <w:color w:val="auto"/>
                <w:w w:val="98"/>
              </w:rPr>
              <w:t>Rate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20" w:type="dxa"/>
            <w:vAlign w:val="bottom"/>
            <w:tcBorders>
              <w:bottom w:val="single" w:sz="8" w:color="auto"/>
            </w:tcBorders>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right"/>
              <w:ind w:right="78"/>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12,626</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3.03%</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10,296</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4.26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5,118</w:t>
            </w:r>
          </w:p>
        </w:tc>
        <w:tc>
          <w:tcPr>
            <w:tcW w:w="440" w:type="dxa"/>
            <w:vAlign w:val="bottom"/>
          </w:tcPr>
          <w:p>
            <w:pPr>
              <w:ind w:left="140"/>
              <w:spacing w:after="0"/>
              <w:rPr>
                <w:sz w:val="20"/>
                <w:szCs w:val="20"/>
                <w:color w:val="auto"/>
              </w:rPr>
            </w:pPr>
            <w:r>
              <w:rPr>
                <w:rFonts w:ascii="Arial" w:cs="Arial" w:eastAsia="Arial" w:hAnsi="Arial"/>
                <w:sz w:val="18"/>
                <w:szCs w:val="18"/>
                <w:color w:val="auto"/>
                <w:w w:val="79"/>
              </w:rPr>
              <w:t>4.29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42,500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28,040</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2.51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40" w:hanging="540"/>
        <w:spacing w:after="0" w:line="332" w:lineRule="auto"/>
        <w:tabs>
          <w:tab w:leader="none" w:pos="2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2014, FHLB advances with unpaid principal of $10.0 million were subject to call provisions and may be called prior to the stated maturity.</w:t>
      </w:r>
    </w:p>
    <w:p>
      <w:pPr>
        <w:spacing w:after="0" w:line="24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Certain mortgage loans, free of liens, pledges and encumbrances and certain investment securities maintained at the FHLB not otherwise pledged have been pledged under a blanket agreement to secure these advances. The Company is required to own stock in the Federal Home Loan Bank of Boston in order to borrow from the FHLB.</w:t>
      </w:r>
    </w:p>
    <w:p>
      <w:pPr>
        <w:spacing w:after="0" w:line="194"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As of June 30, 2014, the Company had a $2.1 million line of credit arrangement with the FHLB which was fully available. Also at June 30, 2014, the Company had approximately $88.0 million of additional capacity to borrow from the FHLB.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Wholesale Repurchase Agreements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wholesale repurchase agreements as of June 30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7"/>
              </w:rPr>
              <w:t>Maturity By Fiscal Year</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jc w:val="right"/>
              <w:spacing w:after="0"/>
              <w:rPr>
                <w:sz w:val="20"/>
                <w:szCs w:val="20"/>
                <w:color w:val="auto"/>
              </w:rPr>
            </w:pPr>
            <w:r>
              <w:rPr>
                <w:rFonts w:ascii="Arial" w:cs="Arial" w:eastAsia="Arial" w:hAnsi="Arial"/>
                <w:sz w:val="14"/>
                <w:szCs w:val="14"/>
                <w:b w:val="1"/>
                <w:bCs w:val="1"/>
                <w:color w:val="auto"/>
                <w:w w:val="89"/>
              </w:rPr>
              <w:t>Unpaid Principal Balance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Carrying Amount(1)</w:t>
            </w:r>
          </w:p>
        </w:tc>
        <w:tc>
          <w:tcPr>
            <w:tcW w:w="12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Interest Rate</w:t>
            </w: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4"/>
          </w:tcPr>
          <w:p>
            <w:pPr>
              <w:jc w:val="right"/>
              <w:ind w:right="79"/>
              <w:spacing w:after="0" w:line="12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15,035</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2015</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10,362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25,397</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260" w:right="140" w:hanging="540"/>
        <w:spacing w:after="0" w:line="332" w:lineRule="auto"/>
        <w:tabs>
          <w:tab w:leader="none" w:pos="2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2014, $10.0 million of wholesale repurchase agreements maturing in fiscal 2016 are callable on a quarterly basis.</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 is subject to margin calls on each transaction to maintain the necessary collateral in the form of cash or other mortgage-backed securities during the borrowing term.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Lease Obligation</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fiscal 2006, the Company recognized a capital lease obligation for its Lewiston, Maine, headquarters. The present value of the lease payments over fifteen years exceeded 90% of the fair value of the property.</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future minimum lease payments over the remaining term of the lease and the outstanding capital lease obligation at June 30, 2014 are as follows for years ending June 30 (dollars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9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2016</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2018</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2020 and thereafter</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r>
      <w:tr>
        <w:trPr>
          <w:trHeight w:val="20"/>
        </w:trPr>
        <w:tc>
          <w:tcPr>
            <w:tcW w:w="4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1,816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Imputed interest</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r>
      <w:tr>
        <w:trPr>
          <w:trHeight w:val="20"/>
        </w:trPr>
        <w:tc>
          <w:tcPr>
            <w:tcW w:w="4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1,558</w:t>
            </w:r>
          </w:p>
        </w:tc>
      </w:tr>
      <w:tr>
        <w:trPr>
          <w:trHeight w:val="20"/>
        </w:trPr>
        <w:tc>
          <w:tcPr>
            <w:tcW w:w="4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Borrowings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Short-term borrowings are sweep accounts, which are a demand account product that moves balances in excess of an agreed upon target amount from a demand deposit account into an interest-bearing account overnight. The sweep account is collateralized with a letter of credit issued by the FHLBB. The weighted average interest rate on short-term borrowings was 1.35% and 0.00% at June 30, 2014 and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Junior Subordinated Debentures Issued to Affiliated Trusts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NBN Capital Trust II and NBN Capital Trust III were created in December 2003. NBN Capital Trust IV was created in December 2004. Each such trust is a Delaware statutory trust (together, the "Private Trusts"). The exclusive purpose of the Private Trusts was (i) issuing and selling common securities and preferred securities in a private placement offering (the "Private Trust Securities"), (ii) using the proceeds of the sale of the Private Trust Securities to acquire Junior Subordinated Deferrable Interest Notes ("Junior Subordinated Debentures"); and (iii) engaging only in those other activities necessary, convenient or incidental thereto. Accordingly, the Junior Subordinated Debentures are the sole assets of each of the Private Trusts.</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summarizes the Junior Subordinated Debentures issued by the Company to each affiliated trust and the Private Trust Securities issued by each affiliated trust at June 30, 2014. Amounts include the junior subordinated debentures acquired by the affiliated trusts from the Company with the capital contributed by the Company in exchange for the common securities of such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Junior Subordinated Debentures Issued to Affiliated Trusts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trust, which were $93 thousand each for NBN Capital Trust II and III and $310 thousand for NBN Capital Trust IV. The trust preferred securities (the "Preferred Securities") were sold in two separate private placement offerings. The Company has the right to redeem the Junior Subordinated Debentures, in whole or in part, on or after March 30, 2009, for NBN Capital Trust II and III, and on or after February 23, 2010, for NBN Capital Trust IV, at the redemption price specified in the associated Indenture, plus accrued but unpaid interest to the redemption date.</w:t>
      </w:r>
    </w:p>
    <w:p>
      <w:pPr>
        <w:spacing w:after="0" w:line="38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140"/>
              <w:spacing w:after="0"/>
              <w:rPr>
                <w:sz w:val="20"/>
                <w:szCs w:val="20"/>
                <w:color w:val="auto"/>
              </w:rPr>
            </w:pPr>
            <w:r>
              <w:rPr>
                <w:rFonts w:ascii="Arial" w:cs="Arial" w:eastAsia="Arial" w:hAnsi="Arial"/>
                <w:sz w:val="14"/>
                <w:szCs w:val="14"/>
                <w:b w:val="1"/>
                <w:bCs w:val="1"/>
                <w:color w:val="auto"/>
              </w:rPr>
              <w:t>Unpaid Principal</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Balance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9"/>
              </w:rPr>
              <w:t>Carrying Amount(1)</w:t>
            </w:r>
          </w:p>
        </w:tc>
      </w:tr>
      <w:tr>
        <w:trPr>
          <w:trHeight w:val="142"/>
        </w:trPr>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Date</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(Dollars in</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NBN Capital Trust II</w:t>
            </w: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March 30, 2034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3,093</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1,775</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NBN Capital Trust III</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March 30, 2034</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1,775</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NBN Capital Trust IV</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February 23, 2035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10,310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10,310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4,718</w:t>
            </w:r>
          </w:p>
        </w:tc>
      </w:tr>
      <w:tr>
        <w:trPr>
          <w:trHeight w:val="210"/>
        </w:trPr>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16,496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16,496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8,268</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140" w:hanging="540"/>
        <w:spacing w:after="0" w:line="332" w:lineRule="auto"/>
        <w:tabs>
          <w:tab w:leader="none" w:pos="2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NBN Capital Trust II and III pay a variable rate based on three month LIBOR plus 2.80%, and NBN Capital Trust IV pays a variable rate based on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 LIBOR plus 1.89%. Accordingly, the Preferred Securities of the Private Trusts currently pay quarterly distributions at an annual rate of 3.26%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stated liquidation amount of $1,000 per Preferred Security for NBN Capital Trust II and III and an annual rate of 2.36% for the stated liquidation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per Preferred Security for NBN Capital Trust IV. The Company has fully and unconditionally guaranteed all of the obligations of each trust. The guaranty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covers the quarterly distributions and payments on liquidation or redemption of the Private Trust Securities, but only to the extent of funds held by the trusts.</w:t>
      </w:r>
    </w:p>
    <w:p>
      <w:pPr>
        <w:spacing w:after="0" w:line="242" w:lineRule="exact"/>
        <w:rPr>
          <w:sz w:val="20"/>
          <w:szCs w:val="20"/>
          <w:color w:val="auto"/>
        </w:rPr>
      </w:pPr>
    </w:p>
    <w:p>
      <w:pPr>
        <w:jc w:val="both"/>
        <w:ind w:right="280" w:firstLine="348"/>
        <w:spacing w:after="0" w:line="335" w:lineRule="auto"/>
        <w:rPr>
          <w:sz w:val="20"/>
          <w:szCs w:val="20"/>
          <w:color w:val="auto"/>
        </w:rPr>
      </w:pPr>
      <w:r>
        <w:rPr>
          <w:rFonts w:ascii="Arial" w:cs="Arial" w:eastAsia="Arial" w:hAnsi="Arial"/>
          <w:sz w:val="15"/>
          <w:szCs w:val="15"/>
          <w:color w:val="auto"/>
        </w:rPr>
        <w:t>The Junior Subordinated Debentures each have variable rates indexed to three-month LIBOR. During the fiscal year ended June 30, 2010, the Company purchased two interest rate caps and an interest rate swap to hedge the interest rate risk on notional amounts of $6 million and $10 million, respectively, of the Company's Junior Subordinated Debentures. Each was a cash flow hedge to manage the risk to net interest income in a period of rising rates.</w:t>
      </w:r>
    </w:p>
    <w:p>
      <w:pPr>
        <w:spacing w:after="0" w:line="14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interest rate caps hedge the junior subordinated debt resulting from the issuance of trust preferred securities by our affiliates NBN Capital Trust II and NBN Capital Trust III. The notional amount of $3 million for each interest rate cap represents the outstanding junior subordinated debt from each trust. The strike rate is 2.505%. The Company will recognize higher interest expense on the junior subordinated debt for the first 200 basis points increase in three-month LIBOR. Once the three-month LIBOR rate exceeds 2.505% on a quarterly reset date, there will be a payment by the counterparty to the Company at the following quarter end. The effective date of the purchased interest rate caps was September 30, 2009 and mature five years thereafter.</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interest rate swap hedges the junior subordinated debt resulting from the issuance of trust preferred stock by our affiliate NBN Capital Trust IV. The notional amount of $10 million represents the outstanding junior subordinated debt from this trust. Under the terms of the interest rate swap, the Company pays a fixed rate of 4.69% quarterly for a period of five years from the effective date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Junior Subordinated Debentures Issued to Affiliated Trusts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 The Company receives quarterly interest payments of three month LIBOR plus 1.89% over the same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and Regulatory Matters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Company's and the Bank's capital amounts and classification are also subject to qualitative judgments by the regulators about components, risk weightings and other factors.</w:t>
      </w:r>
    </w:p>
    <w:p>
      <w:pPr>
        <w:spacing w:after="0" w:line="174"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prompt corrective action regulations define specific capital categories based on an institution's capital ratios. The capital categories, in declining order, are "well capitalized," "adequately capitalized," "undercapitalized," "significantly undercapitalized" and "critically undercapitalized."</w:t>
      </w:r>
    </w:p>
    <w:p>
      <w:pPr>
        <w:spacing w:after="0" w:line="139" w:lineRule="exact"/>
        <w:rPr>
          <w:sz w:val="20"/>
          <w:szCs w:val="20"/>
          <w:color w:val="auto"/>
        </w:rPr>
      </w:pPr>
    </w:p>
    <w:p>
      <w:pPr>
        <w:ind w:right="100" w:firstLine="341"/>
        <w:spacing w:after="0" w:line="323" w:lineRule="auto"/>
        <w:rPr>
          <w:sz w:val="20"/>
          <w:szCs w:val="20"/>
          <w:color w:val="auto"/>
        </w:rPr>
      </w:pPr>
      <w:r>
        <w:rPr>
          <w:rFonts w:ascii="Arial" w:cs="Arial" w:eastAsia="Arial" w:hAnsi="Arial"/>
          <w:sz w:val="15"/>
          <w:szCs w:val="15"/>
          <w:color w:val="auto"/>
        </w:rPr>
        <w:t>As of June 30, 2014 and 2013, the most recent notification from the Company's and the Bank's regulator categorized the Company and the Bank as "well capitalized" under the regulatory framework for prompt corrective action. To be categorized as "well capitalized," the Company and the Bank must maintain minimum total risk-based, Tier 1 risk-based and Tier 1 leverage ratios as set forth in the table below. There are no conditions or events since that notification that management believes have changed the institution's regulatory designation as "well-capitalized" under the regulatory framework for prompt corrective action.</w:t>
      </w:r>
    </w:p>
    <w:p>
      <w:pPr>
        <w:spacing w:after="0" w:line="15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amounts and ratios as set forth in the table below. At June 30, 2014 and 2013, the Company's and the Bank's ratios exceeded the regulatory requirements. Management believes that the Company and the Bank met all capital adequacy requirements to which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and Regulatory Matters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they were subject as of June 30, 2014 and 2013. The Company's and the Bank's regulatory capital ratios are set forth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Minimum To Be</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Well Capitalized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Under Prompt</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Minimum Capital</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Correction Action</w:t>
            </w: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b w:val="1"/>
                <w:bCs w:val="1"/>
                <w:color w:val="auto"/>
                <w:w w:val="88"/>
              </w:rPr>
              <w:t>Actual</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5"/>
              </w:rPr>
              <w:t>Requirements</w:t>
            </w: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3"/>
              </w:rPr>
              <w:t>Provisions</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(Dollars in</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120,818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40,808</w:t>
            </w:r>
          </w:p>
        </w:tc>
        <w:tc>
          <w:tcPr>
            <w:tcW w:w="9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w w:val="90"/>
              </w:rPr>
              <w:t>³8.0%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Bank</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103,160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41,027</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³8.0%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51,284</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³10.0%</w:t>
            </w:r>
          </w:p>
        </w:tc>
      </w:tr>
      <w:tr>
        <w:trPr>
          <w:trHeight w:val="432"/>
        </w:trPr>
        <w:tc>
          <w:tcPr>
            <w:tcW w:w="20" w:type="dxa"/>
            <w:vAlign w:val="bottom"/>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Company</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119,421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20,404</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³6.0%</w:t>
            </w:r>
          </w:p>
        </w:tc>
      </w:tr>
      <w:tr>
        <w:trPr>
          <w:trHeight w:val="431"/>
        </w:trPr>
        <w:tc>
          <w:tcPr>
            <w:tcW w:w="3460" w:type="dxa"/>
            <w:vAlign w:val="bottom"/>
            <w:gridSpan w:val="2"/>
          </w:tcPr>
          <w:p>
            <w:pPr>
              <w:spacing w:after="0"/>
              <w:rPr>
                <w:sz w:val="20"/>
                <w:szCs w:val="20"/>
                <w:color w:val="auto"/>
              </w:rPr>
            </w:pPr>
            <w:r>
              <w:rPr>
                <w:rFonts w:ascii="Arial" w:cs="Arial" w:eastAsia="Arial" w:hAnsi="Arial"/>
                <w:sz w:val="18"/>
                <w:szCs w:val="18"/>
                <w:color w:val="auto"/>
              </w:rPr>
              <w:t>Tier 1 capital to average assets: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119,421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30,049</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Bank</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99,256</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30,028</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37,536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³5.0%</w:t>
            </w:r>
          </w:p>
        </w:tc>
      </w:tr>
      <w:tr>
        <w:trPr>
          <w:trHeight w:val="432"/>
        </w:trPr>
        <w:tc>
          <w:tcPr>
            <w:tcW w:w="20" w:type="dxa"/>
            <w:vAlign w:val="bottom"/>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122,291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9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w w:val="90"/>
              </w:rPr>
              <w:t>³8.0%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Bank</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99,527</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35,709</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³8.0%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44,637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³10.0%</w:t>
            </w:r>
          </w:p>
        </w:tc>
      </w:tr>
      <w:tr>
        <w:trPr>
          <w:trHeight w:val="432"/>
        </w:trPr>
        <w:tc>
          <w:tcPr>
            <w:tcW w:w="20" w:type="dxa"/>
            <w:vAlign w:val="bottom"/>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Company</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121,148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17,760</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17,855</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³6.0%</w:t>
            </w:r>
          </w:p>
        </w:tc>
      </w:tr>
      <w:tr>
        <w:trPr>
          <w:trHeight w:val="431"/>
        </w:trPr>
        <w:tc>
          <w:tcPr>
            <w:tcW w:w="3460" w:type="dxa"/>
            <w:vAlign w:val="bottom"/>
            <w:gridSpan w:val="2"/>
          </w:tcPr>
          <w:p>
            <w:pPr>
              <w:spacing w:after="0"/>
              <w:rPr>
                <w:sz w:val="20"/>
                <w:szCs w:val="20"/>
                <w:color w:val="auto"/>
              </w:rPr>
            </w:pPr>
            <w:r>
              <w:rPr>
                <w:rFonts w:ascii="Arial" w:cs="Arial" w:eastAsia="Arial" w:hAnsi="Arial"/>
                <w:sz w:val="18"/>
                <w:szCs w:val="18"/>
                <w:color w:val="auto"/>
              </w:rPr>
              <w:t>Tier 1 capital to average assets: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121,148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27,255</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22"/>
        </w:trPr>
        <w:tc>
          <w:tcPr>
            <w:tcW w:w="2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Bank</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95,485</w:t>
            </w: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14.08%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27,121</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33,902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³5.0%</w:t>
            </w:r>
          </w:p>
        </w:tc>
      </w:tr>
    </w:tbl>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Parent if the effect thereof would cause the capital of the Bank to be reduced below the capital requirements imposed by the regulatory authorities or if such amount exceeds the otherwise allowable amount under FRB rules.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and Regulatory Matters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Federal Reserve in connection with the merger remain unchanged. The Company and the Bank are currently in compliance with all commitments to the Federal Reserve.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99"/>
              </w:rPr>
              <w:t>(Dollars in</w:t>
            </w:r>
          </w:p>
        </w:tc>
        <w:tc>
          <w:tcPr>
            <w:tcW w:w="1180" w:type="dxa"/>
            <w:vAlign w:val="bottom"/>
            <w:gridSpan w:val="4"/>
          </w:tcPr>
          <w:p>
            <w:pPr>
              <w:jc w:val="right"/>
              <w:ind w:right="174"/>
              <w:spacing w:after="0" w:line="129" w:lineRule="exact"/>
              <w:rPr>
                <w:sz w:val="20"/>
                <w:szCs w:val="20"/>
                <w:color w:val="auto"/>
              </w:rPr>
            </w:pPr>
            <w:r>
              <w:rPr>
                <w:rFonts w:ascii="Arial" w:cs="Arial" w:eastAsia="Arial" w:hAnsi="Arial"/>
                <w:sz w:val="14"/>
                <w:szCs w:val="14"/>
                <w:b w:val="1"/>
                <w:bCs w:val="1"/>
                <w:color w:val="auto"/>
                <w:w w:val="73"/>
              </w:rPr>
              <w:t>thousands, except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6"/>
              </w:rPr>
              <w:t>share and per share data)</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Preferred stock dividends and accretion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1"/>
        </w:trPr>
        <w:tc>
          <w:tcPr>
            <w:tcW w:w="5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income from continuing operations available to common</w:t>
            </w: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shareholders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w w:val="96"/>
              </w:rPr>
              <w:t>Weighted average shares used in calculation of basic earnings per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0"/>
              </w:rPr>
              <w:t>10,404,784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w w:val="93"/>
              </w:rPr>
              <w:t>10,409,588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Incremental shares from assumed exercise of dilutive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640" w:type="dxa"/>
            <w:vAlign w:val="bottom"/>
          </w:tcPr>
          <w:p>
            <w:pPr>
              <w:ind w:left="360"/>
              <w:spacing w:after="0" w:line="201" w:lineRule="exact"/>
              <w:rPr>
                <w:sz w:val="20"/>
                <w:szCs w:val="20"/>
                <w:color w:val="auto"/>
              </w:rPr>
            </w:pPr>
            <w:r>
              <w:rPr>
                <w:rFonts w:ascii="Arial" w:cs="Arial" w:eastAsia="Arial" w:hAnsi="Arial"/>
                <w:sz w:val="18"/>
                <w:szCs w:val="18"/>
                <w:color w:val="auto"/>
                <w:w w:val="97"/>
              </w:rPr>
              <w:t>Weighted average shares used in calculation of diluted earnings per</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54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0"/>
              </w:rPr>
              <w:t>10,404,784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10,409,588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Earnings per common share: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8"/>
                <w:szCs w:val="18"/>
                <w:color w:val="auto"/>
              </w:rPr>
              <w:t>Earnings per common share</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Average anti-dilutive options and warrants excluded from the calculation of dilutive earnings per share follow: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58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1,149,131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963,549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Warrants</w:t>
            </w:r>
          </w:p>
        </w:tc>
        <w:tc>
          <w:tcPr>
            <w:tcW w:w="3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31,365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1,149,131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994,914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80" w:type="dxa"/>
            <w:vAlign w:val="bottom"/>
            <w:vMerge w:val="restart"/>
          </w:tcPr>
          <w:p>
            <w:pPr>
              <w:jc w:val="right"/>
              <w:ind w:right="1952"/>
              <w:spacing w:after="0"/>
              <w:rPr>
                <w:sz w:val="20"/>
                <w:szCs w:val="20"/>
                <w:color w:val="auto"/>
              </w:rPr>
            </w:pPr>
            <w:r>
              <w:rPr>
                <w:rFonts w:ascii="Arial" w:cs="Arial" w:eastAsia="Arial" w:hAnsi="Arial"/>
                <w:sz w:val="18"/>
                <w:szCs w:val="18"/>
                <w:color w:val="auto"/>
              </w:rPr>
              <w:t>98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current and deferred components of income tax expense from continuing operations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Year Ended June 30,</w:t>
            </w:r>
          </w:p>
        </w:tc>
      </w:tr>
      <w:tr>
        <w:trPr>
          <w:trHeight w:val="142"/>
        </w:trPr>
        <w:tc>
          <w:tcPr>
            <w:tcW w:w="4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(Dollars in thousands)</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3,518</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2,115</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r>
      <w:tr>
        <w:trPr>
          <w:trHeight w:val="210"/>
        </w:trPr>
        <w:tc>
          <w:tcPr>
            <w:tcW w:w="4040" w:type="dxa"/>
            <w:vAlign w:val="bottom"/>
          </w:tcPr>
          <w:p>
            <w:pPr>
              <w:ind w:left="360"/>
              <w:spacing w:after="0"/>
              <w:rPr>
                <w:sz w:val="20"/>
                <w:szCs w:val="20"/>
                <w:color w:val="auto"/>
              </w:rPr>
            </w:pPr>
            <w:r>
              <w:rPr>
                <w:rFonts w:ascii="Arial" w:cs="Arial" w:eastAsia="Arial" w:hAnsi="Arial"/>
                <w:sz w:val="18"/>
                <w:szCs w:val="18"/>
                <w:color w:val="auto"/>
              </w:rPr>
              <w:t>Total current provision</w:t>
            </w:r>
          </w:p>
        </w:tc>
        <w:tc>
          <w:tcPr>
            <w:tcW w:w="2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(2,482)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benefit</w:t>
            </w:r>
          </w:p>
        </w:tc>
        <w:tc>
          <w:tcPr>
            <w:tcW w:w="20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tax provision</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1,881</w:t>
            </w:r>
          </w:p>
        </w:tc>
      </w:tr>
      <w:tr>
        <w:trPr>
          <w:trHeight w:val="20"/>
        </w:trPr>
        <w:tc>
          <w:tcPr>
            <w:tcW w:w="4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reconciliation between the statutory federal income tax rate of 34% and the effective tax rate on income from continuing operations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2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3"/>
              </w:rPr>
              <w:t>Expected income tax expense at federal tax rate</w:t>
            </w:r>
          </w:p>
        </w:tc>
        <w:tc>
          <w:tcPr>
            <w:tcW w:w="26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Non-taxable BOLI income</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Low-income housing tax credit</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Total tax provision</w:t>
            </w:r>
          </w:p>
        </w:tc>
        <w:tc>
          <w:tcPr>
            <w:tcW w:w="25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00" w:type="dxa"/>
            <w:vAlign w:val="bottom"/>
            <w:vMerge w:val="restart"/>
          </w:tcPr>
          <w:p>
            <w:pPr>
              <w:jc w:val="right"/>
              <w:ind w:right="1952"/>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tax effect of temporary differences that give rise to significant portions of the deferred tax assets and deferred tax liabilities at June 30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(Dollars in thousands)</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501</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basis differential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Time deposit basis differential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basis differential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Capital lease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derivatives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Unrealized loss on available for sale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896</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nonperforming loans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r>
      <w:tr>
        <w:trPr>
          <w:trHeight w:val="210"/>
        </w:trPr>
        <w:tc>
          <w:tcPr>
            <w:tcW w:w="6120" w:type="dxa"/>
            <w:vAlign w:val="bottom"/>
          </w:tcPr>
          <w:p>
            <w:pPr>
              <w:ind w:left="360"/>
              <w:spacing w:after="0"/>
              <w:rPr>
                <w:sz w:val="20"/>
                <w:szCs w:val="20"/>
                <w:color w:val="auto"/>
              </w:rPr>
            </w:pPr>
            <w:r>
              <w:rPr>
                <w:rFonts w:ascii="Arial" w:cs="Arial" w:eastAsia="Arial" w:hAnsi="Arial"/>
                <w:sz w:val="18"/>
                <w:szCs w:val="18"/>
                <w:color w:val="auto"/>
              </w:rPr>
              <w:t>Total deferred tax asset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1,205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basis differential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2,479</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4,564</w:t>
            </w: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Net deferred tax asset (liability)</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deferred tax asset was included in other assets in the accompanying balance sheet as of June 30,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deferred tax liability was included in other liabilities in the accompanying balance sheet as of June 30, 2013.</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June 30, 2014, the Company has determined that a valuation allowance is not required for any of its deferred tax assets since it is more likely than not that these assets will be realized.</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federal tax purposes, the Company has a $2.0 million reserve for loan losses which remains subject to recapture. If any portion of the reserve is used for purposes other than to absorb the losses for which it was established, approximately 150% of the amount actually used (limited to the amount of the reserve) would be subject to taxation in the year in which used. As the Company intends to use the reserve only to absorb loan losses, no provision has been made for potential liability that would result if 100% of the reserve were recaptured.</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From time to time, the Internal Revenue Service (the "IRS") and state tax authorities may review or challenge specific tax positions taken by the Company in its ordinary course of business. The Company accounts for uncertainties in income taxes by reserving for tax positions that may not be upheld under examination. Increases to the Company's unrealized tax positions occur as a result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accruing for the unrecognized tax benefit as well the accrual of interest and penalties related to prior year positions. Decreases in the Company's unrealized tax positions occur as a result of the statute of limitation lapsing on prior year positions or settlements relating to outstanding positions. The Company reserves for uncertain tax positions, as well as related interest and penalties, as a component of income tax expense therefore affecting the effective tax rate. The following is a reconciliation of the beginning and ending amounts of the Company's uncertain tax positions: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Interest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Tax Position</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Penalties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is currently open to audit under the statute of limitations by the IRS and state taxing authorities for the fiscal 2011 tax return and forward.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401(k) Plan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offers a contributory 401(k) plan that is available to all full-time salaried and hourly-paid employees who have attained age 18, and completed 90 days of employment. Employees may contribute up to 100% of their base compensation, subject to IRS limitations. The Company will match 50% of each employee's contribution up to the first 6% contributed. For the years ended June 30, 2014 and 2013, the Company contributed $341 thousand and $350 thousand,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Company has individual deferred compensation agreements with five former senior officers. The Company recognized deferred compensation expense of $80 thousand and $160 thousand for the years ended June 30, 2014 and 2013, respectively. At June 30, 2014 and 2013, the Company's deferred compensation liability was $485 thousand and $405 thousand,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At the 2012 annual meeting of shareholders, the Company's shareholders approved the Northeast Bancorp Amended and Restated 2010 Stock Option and Incentive Plan (the "Restated Plan").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Restated Plan amends and restates the Northeast Bancorp 2010 Option and Incentive Plan (the "2010 Plan"). The key material differences between the 2010 Plan and the Restated Plan are:</w:t>
      </w:r>
    </w:p>
    <w:p>
      <w:pPr>
        <w:spacing w:after="0" w:line="199" w:lineRule="exact"/>
        <w:rPr>
          <w:sz w:val="20"/>
          <w:szCs w:val="20"/>
          <w:color w:val="auto"/>
        </w:rPr>
      </w:pPr>
    </w:p>
    <w:p>
      <w:pPr>
        <w:ind w:left="1080" w:right="3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Restated Plan is increased by 600,000 shares, from 810,054 shares to 1,410,054 shares;</w:t>
      </w:r>
    </w:p>
    <w:p>
      <w:pPr>
        <w:spacing w:after="0" w:line="212"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method by which shares subject to previously granted awards are added back to the Restated Plan has been revised so that the only shares added back to the Restated Plan are those subject to awards that are forfeited, canceled or otherwise terminated. The following shares shall not be added back to the Restated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Minimum vesting periods are required for grants of restricted stock, restricted stock units and performance share awards; and</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of the Restated Plan will now expire on November 28, 2022, while grants of incentive options under the Restated Plan may be made until September 21, 2022.</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June 30, 2014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4"/>
          </w:tcPr>
          <w:p>
            <w:pPr>
              <w:jc w:val="center"/>
              <w:ind w:right="20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1,173,667</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358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7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(50,472)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27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1,143,195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720"/>
              <w:spacing w:after="0"/>
              <w:rPr>
                <w:sz w:val="20"/>
                <w:szCs w:val="20"/>
                <w:color w:val="auto"/>
              </w:rPr>
            </w:pPr>
            <w:r>
              <w:rPr>
                <w:rFonts w:ascii="Arial" w:cs="Arial" w:eastAsia="Arial" w:hAnsi="Arial"/>
                <w:sz w:val="18"/>
                <w:szCs w:val="18"/>
                <w:color w:val="auto"/>
              </w:rPr>
              <w:t>Exercisable</w:t>
            </w:r>
          </w:p>
        </w:tc>
        <w:tc>
          <w:tcPr>
            <w:tcW w:w="3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13.92</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223,706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3"/>
            <w:vMerge w:val="restart"/>
          </w:tcPr>
          <w:p>
            <w:pPr>
              <w:jc w:val="center"/>
              <w:ind w:right="19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Exercisable, beginning of year</w:t>
            </w:r>
          </w:p>
        </w:tc>
        <w:tc>
          <w:tcPr>
            <w:tcW w:w="3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126,714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Vested</w:t>
            </w:r>
          </w:p>
        </w:tc>
        <w:tc>
          <w:tcPr>
            <w:tcW w:w="3760" w:type="dxa"/>
            <w:vAlign w:val="bottom"/>
            <w:gridSpan w:val="5"/>
          </w:tcPr>
          <w:p>
            <w:pPr>
              <w:jc w:val="right"/>
              <w:spacing w:after="0"/>
              <w:rPr>
                <w:sz w:val="20"/>
                <w:szCs w:val="20"/>
                <w:color w:val="auto"/>
              </w:rPr>
            </w:pPr>
            <w:r>
              <w:rPr>
                <w:rFonts w:ascii="Arial" w:cs="Arial" w:eastAsia="Arial" w:hAnsi="Arial"/>
                <w:sz w:val="18"/>
                <w:szCs w:val="18"/>
                <w:color w:val="auto"/>
              </w:rPr>
              <w:t>103,472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306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(6,480)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Exercisable, end of year</w:t>
            </w:r>
          </w:p>
        </w:tc>
        <w:tc>
          <w:tcPr>
            <w:tcW w:w="3060" w:type="dxa"/>
            <w:vAlign w:val="bottom"/>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223,706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740" w:type="dxa"/>
            <w:vAlign w:val="bottom"/>
            <w:vMerge w:val="restart"/>
          </w:tcPr>
          <w:p>
            <w:pPr>
              <w:jc w:val="right"/>
              <w:ind w:right="1612"/>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(Continued)</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fair values of options granted have been estimated on the date of grant using the Black-Scholes option-pricing model using the following weighted-average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7.0 years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6.5 years</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30.47%</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Weighted average fair value per option</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r>
    </w:tbl>
    <w:p>
      <w:pPr>
        <w:spacing w:after="0" w:line="20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expected volatility is based on historical volatility. The risk-free interest rate is for periods within the expected life of the awards, and is based on the U.S. Treasury yield curve in effect at the time of the grant. The expected life is based on expected exercise experience.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year ended June 30, 2013, certain provisions of outstanding stock options with market-based conditions were modified. The options, consisting of 237,616 shares, were granted to three executives of the Company in December of 2010 and were to vest in three equal tranches upon the Company's common stock reaching applicable hurdle prices over specified time periods. The applicable hurdle price varies depending on the number of years that have elapsed since the date of grant. With respect to the first tranche, the applicable hurdle price was $27.86 for the period from December 29, 2010 through December 29, 2015; $31.34 for the period from December 29, 2015 through December 29, 2016; and $34.83 for the period from December 29, 2016 through December 29, 2017. With respect to the second tranche, the hurdle price was $31.34 for the period from December 29, 2010 through December 29, 2016; and $34.83 for the period from December 29, 2016 through December 29, 2017. With respect to the third tranche, the hurdle price was $34.83 for the period from December 29, 2010 through December 29, 2017.</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Compensation Committee approved amending the hurdle prices as follows: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With respect to the first tranche, the applicable hurdle price is $16.43 for the period from December 29, 2010 through December 28, 2015; $18.58 for the period from December 29, 2015 through December 28, 2016; and $20.77 for the period from December 29, 2016 through December 28, 2017. With respect to the second tranche, the hurdle price is $18.58 for the period from December 29, 2010 through December 28, 2016; and $20.77 for the period from December 29, 2016 through December 28, 2017. With respect to the third tranche, the hurdle price is $20.77 for the period from December 29, 2010 through December 28, 2017.</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Except as modified by this amendment, all other terms and conditions of each of the outstanding performance-based stock options, including the option exercise price of $13.93 per share, remain in full force and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incremental expense resulting from the modification was calculated as the difference between the stock option's fair value immediately before and after the modification using the Hull-White option pricing model and the following weighted-average assumptions: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Assumptions: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6"/>
          </w:tcPr>
          <w:p>
            <w:pPr>
              <w:ind w:left="180"/>
              <w:spacing w:after="0"/>
              <w:rPr>
                <w:sz w:val="20"/>
                <w:szCs w:val="20"/>
                <w:color w:val="auto"/>
              </w:rPr>
            </w:pPr>
            <w:r>
              <w:rPr>
                <w:rFonts w:ascii="Arial" w:cs="Arial" w:eastAsia="Arial" w:hAnsi="Arial"/>
                <w:sz w:val="18"/>
                <w:szCs w:val="18"/>
                <w:color w:val="auto"/>
              </w:rPr>
              <w:t>Dividend yield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3.72%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7.8 years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6"/>
          </w:tcPr>
          <w:p>
            <w:pPr>
              <w:ind w:left="180"/>
              <w:spacing w:after="0"/>
              <w:rPr>
                <w:sz w:val="20"/>
                <w:szCs w:val="20"/>
                <w:color w:val="auto"/>
              </w:rPr>
            </w:pPr>
            <w:r>
              <w:rPr>
                <w:rFonts w:ascii="Arial" w:cs="Arial" w:eastAsia="Arial" w:hAnsi="Arial"/>
                <w:sz w:val="18"/>
                <w:szCs w:val="18"/>
                <w:color w:val="auto"/>
                <w:w w:val="91"/>
              </w:rPr>
              <w:t>Expected volatility</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11"/>
          </w:tcPr>
          <w:p>
            <w:pPr>
              <w:jc w:val="center"/>
              <w:ind w:left="192"/>
              <w:spacing w:after="0"/>
              <w:rPr>
                <w:sz w:val="20"/>
                <w:szCs w:val="20"/>
                <w:color w:val="auto"/>
              </w:rPr>
            </w:pPr>
            <w:r>
              <w:rPr>
                <w:rFonts w:ascii="Arial" w:cs="Arial" w:eastAsia="Arial" w:hAnsi="Arial"/>
                <w:sz w:val="18"/>
                <w:szCs w:val="18"/>
                <w:color w:val="auto"/>
                <w:w w:val="89"/>
              </w:rPr>
              <w:t>28.45% - 32.84%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10"/>
            <w:shd w:val="clear" w:color="auto" w:fill="CCEEFF"/>
          </w:tcPr>
          <w:p>
            <w:pPr>
              <w:jc w:val="center"/>
              <w:ind w:left="292"/>
              <w:spacing w:after="0"/>
              <w:rPr>
                <w:sz w:val="20"/>
                <w:szCs w:val="20"/>
                <w:color w:val="auto"/>
              </w:rPr>
            </w:pPr>
            <w:r>
              <w:rPr>
                <w:rFonts w:ascii="Arial" w:cs="Arial" w:eastAsia="Arial" w:hAnsi="Arial"/>
                <w:sz w:val="18"/>
                <w:szCs w:val="18"/>
                <w:color w:val="auto"/>
                <w:w w:val="88"/>
              </w:rPr>
              <w:t>0.07% - 1.54%</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gridSpan w:val="10"/>
          </w:tcPr>
          <w:p>
            <w:pPr>
              <w:spacing w:after="0"/>
              <w:rPr>
                <w:sz w:val="20"/>
                <w:szCs w:val="20"/>
                <w:color w:val="auto"/>
              </w:rPr>
            </w:pPr>
            <w:r>
              <w:rPr>
                <w:rFonts w:ascii="Arial" w:cs="Arial" w:eastAsia="Arial" w:hAnsi="Arial"/>
                <w:sz w:val="18"/>
                <w:szCs w:val="18"/>
                <w:color w:val="auto"/>
                <w:w w:val="89"/>
              </w:rPr>
              <w:t>Incremental weighted average fair value per option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$0.52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4"/>
        </w:trPr>
        <w:tc>
          <w:tcPr>
            <w:tcW w:w="7060" w:type="dxa"/>
            <w:vAlign w:val="bottom"/>
            <w:gridSpan w:val="19"/>
          </w:tcPr>
          <w:p>
            <w:pPr>
              <w:ind w:left="20"/>
              <w:spacing w:after="0"/>
              <w:rPr>
                <w:sz w:val="20"/>
                <w:szCs w:val="20"/>
                <w:color w:val="auto"/>
              </w:rPr>
            </w:pPr>
            <w:r>
              <w:rPr>
                <w:rFonts w:ascii="Arial" w:cs="Arial" w:eastAsia="Arial" w:hAnsi="Arial"/>
                <w:sz w:val="18"/>
                <w:szCs w:val="18"/>
                <w:color w:val="auto"/>
                <w:w w:val="93"/>
              </w:rPr>
              <w:t>The following table summarizes information about stock options outstanding at June 30, 2014.</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Options Outstanding</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except per share data)</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3"/>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Intrinsic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4"/>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Remaining Life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rPr>
              <w:t>Number</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Remaining Life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 years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w w:val="90"/>
              </w:rPr>
              <w:t>9.64 years</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356,248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572,437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168,491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12.48</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1,143,195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223,706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0"/>
        </w:trPr>
        <w:tc>
          <w:tcPr>
            <w:tcW w:w="2780" w:type="dxa"/>
            <w:vAlign w:val="bottom"/>
            <w:gridSpan w:val="7"/>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5740" w:type="dxa"/>
            <w:vAlign w:val="bottom"/>
            <w:gridSpan w:val="15"/>
          </w:tcPr>
          <w:p>
            <w:pPr>
              <w:spacing w:after="0"/>
              <w:rPr>
                <w:sz w:val="20"/>
                <w:szCs w:val="20"/>
                <w:color w:val="auto"/>
              </w:rPr>
            </w:pPr>
            <w:r>
              <w:rPr>
                <w:rFonts w:ascii="Arial" w:cs="Arial" w:eastAsia="Arial" w:hAnsi="Arial"/>
                <w:sz w:val="18"/>
                <w:szCs w:val="18"/>
                <w:color w:val="auto"/>
                <w:w w:val="90"/>
              </w:rPr>
              <w:t>A summary of restricted stock activity for the year ended June 30, 2014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Borders>
              <w:bottom w:val="single" w:sz="8" w:color="auto"/>
            </w:tcBorders>
            <w:gridSpan w:val="4"/>
          </w:tcPr>
          <w:p>
            <w:pPr>
              <w:jc w:val="right"/>
              <w:ind w:right="8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Unvested at beginning of period</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71,018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6"/>
          </w:tcPr>
          <w:p>
            <w:pPr>
              <w:ind w:left="180"/>
              <w:spacing w:after="0"/>
              <w:rPr>
                <w:sz w:val="20"/>
                <w:szCs w:val="20"/>
                <w:color w:val="auto"/>
              </w:rPr>
            </w:pPr>
            <w:r>
              <w:rPr>
                <w:rFonts w:ascii="Arial" w:cs="Arial" w:eastAsia="Arial" w:hAnsi="Arial"/>
                <w:sz w:val="18"/>
                <w:szCs w:val="18"/>
                <w:color w:val="auto"/>
              </w:rPr>
              <w:t>Granted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2"/>
              <w:spacing w:after="0"/>
              <w:rPr>
                <w:sz w:val="20"/>
                <w:szCs w:val="20"/>
                <w:color w:val="auto"/>
              </w:rPr>
            </w:pPr>
            <w:r>
              <w:rPr>
                <w:rFonts w:ascii="Arial" w:cs="Arial" w:eastAsia="Arial" w:hAnsi="Arial"/>
                <w:sz w:val="18"/>
                <w:szCs w:val="18"/>
                <w:color w:val="auto"/>
                <w:w w:val="87"/>
              </w:rPr>
              <w:t>(1,055)</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6"/>
          </w:tcPr>
          <w:p>
            <w:pPr>
              <w:ind w:left="180"/>
              <w:spacing w:after="0"/>
              <w:rPr>
                <w:sz w:val="20"/>
                <w:szCs w:val="20"/>
                <w:color w:val="auto"/>
              </w:rPr>
            </w:pPr>
            <w:r>
              <w:rPr>
                <w:rFonts w:ascii="Arial" w:cs="Arial" w:eastAsia="Arial" w:hAnsi="Arial"/>
                <w:sz w:val="18"/>
                <w:szCs w:val="18"/>
                <w:color w:val="auto"/>
              </w:rPr>
              <w:t>Forfeited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5"/>
          </w:tcPr>
          <w:p>
            <w:pPr>
              <w:jc w:val="right"/>
              <w:ind w:right="22"/>
              <w:spacing w:after="0"/>
              <w:rPr>
                <w:sz w:val="20"/>
                <w:szCs w:val="20"/>
                <w:color w:val="auto"/>
              </w:rPr>
            </w:pPr>
            <w:r>
              <w:rPr>
                <w:rFonts w:ascii="Arial" w:cs="Arial" w:eastAsia="Arial" w:hAnsi="Arial"/>
                <w:sz w:val="18"/>
                <w:szCs w:val="18"/>
                <w:color w:val="auto"/>
              </w:rPr>
              <w:t>(14,149)</w:t>
            </w: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55,814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At June 30, 2014 and 2013, the Company has accrued a liability of $48 thousand representing the maximum cash payment for performance-based stock appreciation rights ("SARs") granted in the fiscal year ended June 30, 2011. The SARs expire in December of 2020.</w:t>
      </w:r>
    </w:p>
    <w:p>
      <w:pPr>
        <w:spacing w:after="0" w:line="13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Stock-based compensation totaled $686 thousand for the year ended June 30, 2014 and $563 thousand for the year ended June 30, 2013. The tax benefit related to stock-based compensation expensed totaled $258 thousand for the year ended June 30, 2014 and $191 thousand for the year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2013. The estimated amount and timing of future pre-tax stock-based compensation expense to be recognized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88"/>
              </w:rPr>
              <w:t>Year Ending June 30,</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Restricted stock</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r>
      <w:tr>
        <w:trPr>
          <w:trHeight w:val="20"/>
        </w:trPr>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w:t>
            </w:r>
          </w:p>
        </w:tc>
      </w:tr>
      <w:tr>
        <w:trPr>
          <w:trHeight w:val="20"/>
        </w:trPr>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Contingent Liabilities and Other Off-Balance Sheet Risks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67"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instruments with contract amounts which represent credit risk are as follows as of June 30:</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tcBorders>
              <w:top w:val="single" w:sz="8" w:color="auto"/>
            </w:tcBorders>
          </w:tcPr>
          <w:p>
            <w:pPr>
              <w:jc w:val="right"/>
              <w:ind w:right="13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27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  14,282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13,349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Unused lines of credit</w:t>
            </w:r>
          </w:p>
        </w:tc>
        <w:tc>
          <w:tcPr>
            <w:tcW w:w="2780" w:type="dxa"/>
            <w:vAlign w:val="bottom"/>
            <w:gridSpan w:val="3"/>
          </w:tcPr>
          <w:p>
            <w:pPr>
              <w:jc w:val="right"/>
              <w:ind w:right="52"/>
              <w:spacing w:after="0"/>
              <w:rPr>
                <w:sz w:val="20"/>
                <w:szCs w:val="20"/>
                <w:color w:val="auto"/>
              </w:rPr>
            </w:pPr>
            <w:r>
              <w:rPr>
                <w:rFonts w:ascii="Arial" w:cs="Arial" w:eastAsia="Arial" w:hAnsi="Arial"/>
                <w:sz w:val="18"/>
                <w:szCs w:val="18"/>
                <w:color w:val="auto"/>
              </w:rPr>
              <w:t>34,657</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30,809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27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420</w:t>
            </w:r>
          </w:p>
        </w:tc>
      </w:tr>
    </w:tbl>
    <w:p>
      <w:pPr>
        <w:spacing w:after="0" w:line="20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$30 thousand and $10 thousand recorded in other liabilities at June 30, 2014 and 2013, respectively.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Contingent Liabilities and Other Off-Balance Sheet Risks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Those guarantees are issued to support private borrowing arrangements. The credit risk involved in issuing letters of credit is essentially the same as that involved in extending loan facilities to customers. As of June 30, 2014 and 2013, the maximum potential amount of the Company's obligation was $166 thousand and $420 thousand, respectively, for financial and standby letters of credit. The Company's outstanding letters of credit generally have a term of less than one year. If a letter of credit is drawn upon, the Company may seek recourse through the customer's underlying line of credit. If the customer's line of credit is also in default, the Company may take possession of the collateral, if any, securing the line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Obligations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 leases certain properties used in operations under terms of operating leases that include renewal options. The leases contain renewal options and escalation clauses which provide for increased rental expense as these leases expire. Rental expense under leases totaled $1.3 million for the year ended June 30, 2014 and $1.0 million for the year ended June 30, 2013.</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Approximate future minimum lease payments over the remaining terms of the Company's leases at June 30, 2014 are as follows for fiscal years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(dollars in thousands):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1,158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2016</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1,176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2018</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2020 and thereafter</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3,397</w:t>
            </w:r>
          </w:p>
        </w:tc>
      </w:tr>
      <w:tr>
        <w:trPr>
          <w:trHeight w:val="20"/>
        </w:trPr>
        <w:tc>
          <w:tcPr>
            <w:tcW w:w="4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8,648</w:t>
            </w:r>
          </w:p>
        </w:tc>
      </w:tr>
      <w:tr>
        <w:trPr>
          <w:trHeight w:val="20"/>
        </w:trPr>
        <w:tc>
          <w:tcPr>
            <w:tcW w:w="4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Comprehensive Income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comprehensive income (loss) income follow: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3"/>
              </w:rPr>
              <w:t>Year Ended June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2"/>
              </w:rPr>
              <w:t>Tax</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Tax</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Pre-tax</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Expense</w:t>
            </w:r>
          </w:p>
        </w:tc>
        <w:tc>
          <w:tcPr>
            <w:tcW w:w="60" w:type="dxa"/>
            <w:vAlign w:val="bottom"/>
          </w:tcPr>
          <w:p>
            <w:pPr>
              <w:spacing w:after="0"/>
              <w:rPr>
                <w:sz w:val="12"/>
                <w:szCs w:val="12"/>
                <w:color w:val="auto"/>
              </w:rPr>
            </w:pPr>
          </w:p>
        </w:tc>
        <w:tc>
          <w:tcPr>
            <w:tcW w:w="760" w:type="dxa"/>
            <w:vAlign w:val="bottom"/>
            <w:gridSpan w:val="3"/>
          </w:tcPr>
          <w:p>
            <w:pPr>
              <w:jc w:val="right"/>
              <w:ind w:right="112"/>
              <w:spacing w:after="0" w:line="149" w:lineRule="exact"/>
              <w:rPr>
                <w:sz w:val="20"/>
                <w:szCs w:val="20"/>
                <w:color w:val="auto"/>
              </w:rPr>
            </w:pPr>
            <w:r>
              <w:rPr>
                <w:rFonts w:ascii="Arial" w:cs="Arial" w:eastAsia="Arial" w:hAnsi="Arial"/>
                <w:sz w:val="14"/>
                <w:szCs w:val="14"/>
                <w:b w:val="1"/>
                <w:bCs w:val="1"/>
                <w:color w:val="auto"/>
                <w:w w:val="97"/>
              </w:rPr>
              <w:t>After-tax</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Pre-tax</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Expense</w:t>
            </w:r>
          </w:p>
        </w:tc>
        <w:tc>
          <w:tcPr>
            <w:tcW w:w="6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(Benefit)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(Benefit)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thousands)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2"/>
              </w:rPr>
              <w:t>Change in net unrealized gain or loss on available-for-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securities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w w:val="92"/>
              </w:rPr>
              <w:t>Reclassification adjustment for net gains included 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01"/>
        </w:trPr>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w w:val="99"/>
              </w:rPr>
              <w:t>Change in accumulated loss on effective cash flow</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hedges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Reclassification adjustment for net gains included in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8"/>
                <w:szCs w:val="18"/>
                <w:color w:val="auto"/>
              </w:rPr>
              <w:t>Total derivatives and hedging activities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is comprised of the following components: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2014</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June 30, 2013</w:t>
            </w:r>
          </w:p>
        </w:tc>
        <w:tc>
          <w:tcPr>
            <w:tcW w:w="1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896</w:t>
            </w: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Net-of-tax amount</w:t>
            </w: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0"/>
        </w:trPr>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 (Continued)</w:t>
      </w:r>
    </w:p>
    <w:p>
      <w:pPr>
        <w:spacing w:after="0" w:line="231"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1" w:lineRule="exact"/>
        <w:rPr>
          <w:sz w:val="20"/>
          <w:szCs w:val="20"/>
          <w:color w:val="auto"/>
        </w:rPr>
      </w:pPr>
    </w:p>
    <w:p>
      <w:pPr>
        <w:ind w:left="540" w:right="120" w:firstLine="351"/>
        <w:spacing w:after="0" w:line="268"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reporting entity has the ability to access at the measurement date.</w:t>
      </w:r>
    </w:p>
    <w:p>
      <w:pPr>
        <w:spacing w:after="0" w:line="186" w:lineRule="exact"/>
        <w:rPr>
          <w:sz w:val="20"/>
          <w:szCs w:val="20"/>
          <w:color w:val="auto"/>
        </w:rPr>
      </w:pPr>
    </w:p>
    <w:p>
      <w:pPr>
        <w:ind w:left="540" w:right="400" w:firstLine="351"/>
        <w:spacing w:after="0" w:line="332" w:lineRule="auto"/>
        <w:rPr>
          <w:sz w:val="20"/>
          <w:szCs w:val="20"/>
          <w:color w:val="auto"/>
        </w:rPr>
      </w:pPr>
      <w:r>
        <w:rPr>
          <w:rFonts w:ascii="Arial" w:cs="Arial" w:eastAsia="Arial" w:hAnsi="Arial"/>
          <w:sz w:val="16"/>
          <w:szCs w:val="16"/>
          <w:color w:val="auto"/>
        </w:rPr>
        <w:t>Level 2—Valuations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 and unobservable.</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s—There have been no changes in the valuation techniques used during the current period.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Transfers</w:t>
      </w:r>
      <w:r>
        <w:rPr>
          <w:rFonts w:ascii="Arial" w:cs="Arial" w:eastAsia="Arial" w:hAnsi="Arial"/>
          <w:sz w:val="16"/>
          <w:szCs w:val="16"/>
          <w:color w:val="auto"/>
        </w:rPr>
        <w:t>—There were no transfers of assets and liabilities measured at fair value on a recurring or nonrecurring basis during the current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40" w:firstLine="348"/>
        <w:spacing w:after="0" w:line="254"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8" w:lineRule="exact"/>
        <w:rPr>
          <w:sz w:val="20"/>
          <w:szCs w:val="20"/>
          <w:color w:val="auto"/>
        </w:rPr>
      </w:pPr>
    </w:p>
    <w:p>
      <w:pPr>
        <w:ind w:left="540" w:right="20" w:firstLine="351"/>
        <w:spacing w:after="0" w:line="294"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0" w:lineRule="exact"/>
        <w:rPr>
          <w:sz w:val="20"/>
          <w:szCs w:val="20"/>
          <w:color w:val="auto"/>
        </w:rPr>
      </w:pPr>
    </w:p>
    <w:p>
      <w:pPr>
        <w:ind w:left="540" w:right="220" w:firstLine="348"/>
        <w:spacing w:after="0" w:line="268"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These commitments and agreements are categorized as Level 2. The fair value of such instruments was nominal at each date presented.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540" w:right="640" w:firstLine="351"/>
        <w:spacing w:after="0" w:line="332" w:lineRule="auto"/>
        <w:rPr>
          <w:sz w:val="20"/>
          <w:szCs w:val="20"/>
          <w:color w:val="auto"/>
        </w:rPr>
      </w:pPr>
      <w:r>
        <w:rPr>
          <w:rFonts w:ascii="Arial" w:cs="Arial" w:eastAsia="Arial" w:hAnsi="Arial"/>
          <w:sz w:val="16"/>
          <w:szCs w:val="16"/>
          <w:i w:val="1"/>
          <w:iCs w:val="1"/>
          <w:color w:val="auto"/>
        </w:rPr>
        <w:t xml:space="preserve">Impaired Loans— </w:t>
      </w:r>
      <w:r>
        <w:rPr>
          <w:rFonts w:ascii="Arial" w:cs="Arial" w:eastAsia="Arial" w:hAnsi="Arial"/>
          <w:sz w:val="16"/>
          <w:szCs w:val="16"/>
          <w:color w:val="auto"/>
        </w:rPr>
        <w:t>Valuations of impaired loans measured at fair value are determined by a review of collateral values. Certain inputs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appraisals are not always observable, and therefore impaired loans are generally categorized as Level 3 within the fair value hierarchy.</w:t>
      </w:r>
    </w:p>
    <w:p>
      <w:pPr>
        <w:spacing w:after="0" w:line="139" w:lineRule="exact"/>
        <w:rPr>
          <w:sz w:val="20"/>
          <w:szCs w:val="20"/>
          <w:color w:val="auto"/>
        </w:rPr>
      </w:pPr>
    </w:p>
    <w:p>
      <w:pPr>
        <w:ind w:left="540" w:firstLine="351"/>
        <w:spacing w:after="0" w:line="306" w:lineRule="auto"/>
        <w:rPr>
          <w:sz w:val="20"/>
          <w:szCs w:val="20"/>
          <w:color w:val="auto"/>
        </w:rPr>
      </w:pPr>
      <w:r>
        <w:rPr>
          <w:rFonts w:ascii="Arial" w:cs="Arial" w:eastAsia="Arial" w:hAnsi="Arial"/>
          <w:sz w:val="16"/>
          <w:szCs w:val="16"/>
          <w:i w:val="1"/>
          <w:iCs w:val="1"/>
          <w:color w:val="auto"/>
        </w:rPr>
        <w:t xml:space="preserve">Real Estate Owned and Other Repossessed collateral— </w:t>
      </w:r>
      <w:r>
        <w:rPr>
          <w:rFonts w:ascii="Arial" w:cs="Arial" w:eastAsia="Arial" w:hAnsi="Arial"/>
          <w:sz w:val="16"/>
          <w:szCs w:val="16"/>
          <w:color w:val="auto"/>
        </w:rPr>
        <w:t>The fair values of real estate owned and other repossessed collateral are estimated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40" w:right="460" w:firstLine="351"/>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fair value of cash, due from banks, interest bearing deposits and FHLB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86" w:lineRule="exact"/>
        <w:rPr>
          <w:sz w:val="20"/>
          <w:szCs w:val="20"/>
          <w:color w:val="auto"/>
        </w:rPr>
      </w:pPr>
    </w:p>
    <w:p>
      <w:pPr>
        <w:ind w:left="540" w:right="440" w:firstLine="351"/>
        <w:spacing w:after="0" w:line="268" w:lineRule="auto"/>
        <w:rPr>
          <w:sz w:val="20"/>
          <w:szCs w:val="20"/>
          <w:color w:val="auto"/>
        </w:rPr>
      </w:pPr>
      <w:r>
        <w:rPr>
          <w:rFonts w:ascii="Arial" w:cs="Arial" w:eastAsia="Arial" w:hAnsi="Arial"/>
          <w:sz w:val="18"/>
          <w:szCs w:val="18"/>
          <w:i w:val="1"/>
          <w:iCs w:val="1"/>
          <w:color w:val="auto"/>
        </w:rPr>
        <w:t xml:space="preserve">FHLB and Federal Reserve stock— </w:t>
      </w:r>
      <w:r>
        <w:rPr>
          <w:rFonts w:ascii="Arial" w:cs="Arial" w:eastAsia="Arial" w:hAnsi="Arial"/>
          <w:sz w:val="18"/>
          <w:szCs w:val="18"/>
          <w:color w:val="auto"/>
        </w:rPr>
        <w:t>The carrying value of FHLB stock and Federal Reserve stock approximates fair value based on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FHLB and the Federal Reserve.</w:t>
      </w:r>
    </w:p>
    <w:p>
      <w:pPr>
        <w:spacing w:after="0" w:line="186" w:lineRule="exact"/>
        <w:rPr>
          <w:sz w:val="20"/>
          <w:szCs w:val="20"/>
          <w:color w:val="auto"/>
        </w:rPr>
      </w:pPr>
    </w:p>
    <w:p>
      <w:pPr>
        <w:ind w:left="540" w:right="40" w:firstLine="351"/>
        <w:spacing w:after="0" w:line="298"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The fair value of loans held-for-sale is estimated based on bid quotations received from loan dealers.</w:t>
      </w:r>
    </w:p>
    <w:p>
      <w:pPr>
        <w:spacing w:after="0" w:line="225" w:lineRule="exact"/>
        <w:rPr>
          <w:sz w:val="20"/>
          <w:szCs w:val="20"/>
          <w:color w:val="auto"/>
        </w:rPr>
      </w:pPr>
    </w:p>
    <w:p>
      <w:pPr>
        <w:ind w:left="540" w:right="60" w:firstLine="351"/>
        <w:spacing w:after="0" w:line="259"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94" w:lineRule="exact"/>
        <w:rPr>
          <w:sz w:val="20"/>
          <w:szCs w:val="20"/>
          <w:color w:val="auto"/>
        </w:rPr>
      </w:pPr>
    </w:p>
    <w:p>
      <w:pPr>
        <w:ind w:left="540" w:right="100" w:firstLine="351"/>
        <w:spacing w:after="0" w:line="294"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The fair value of deposits with no stated maturity, such as noninterest-bearing demand deposits, savings, NOW accounts and money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 (Continued)</w:t>
      </w:r>
    </w:p>
    <w:p>
      <w:pPr>
        <w:spacing w:after="0" w:line="231" w:lineRule="exact"/>
        <w:rPr>
          <w:sz w:val="20"/>
          <w:szCs w:val="20"/>
          <w:color w:val="auto"/>
        </w:rPr>
      </w:pPr>
    </w:p>
    <w:p>
      <w:pPr>
        <w:ind w:left="540" w:right="20" w:firstLine="351"/>
        <w:spacing w:after="0" w:line="256"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97"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87"/>
              </w:rPr>
              <w:t>June 30, 2014</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80" w:type="dxa"/>
            <w:vAlign w:val="bottom"/>
            <w:gridSpan w:val="2"/>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10"/>
          </w:tcPr>
          <w:p>
            <w:pPr>
              <w:jc w:val="right"/>
              <w:ind w:right="2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48,418</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48,418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Agency mortgage-backed securities</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65,463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65,463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assets—interest rate caps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851"/>
        </w:trPr>
        <w:tc>
          <w:tcPr>
            <w:tcW w:w="1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87"/>
              </w:rPr>
              <w:t>June 30, 2013</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80" w:type="dxa"/>
            <w:vAlign w:val="bottom"/>
            <w:gridSpan w:val="2"/>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10"/>
          </w:tcPr>
          <w:p>
            <w:pPr>
              <w:jc w:val="right"/>
              <w:ind w:right="2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45,333</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45,333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Agency mortgage-backed securities</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76,264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76,264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assets—interest rate caps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30"/>
        </w:trPr>
        <w:tc>
          <w:tcPr>
            <w:tcW w:w="6500" w:type="dxa"/>
            <w:vAlign w:val="bottom"/>
            <w:gridSpan w:val="2"/>
          </w:tcPr>
          <w:p>
            <w:pPr>
              <w:jc w:val="right"/>
              <w:ind w:right="652"/>
              <w:spacing w:after="0"/>
              <w:rPr>
                <w:sz w:val="20"/>
                <w:szCs w:val="20"/>
                <w:color w:val="auto"/>
              </w:rPr>
            </w:pPr>
            <w:r>
              <w:rPr>
                <w:rFonts w:ascii="Arial" w:cs="Arial" w:eastAsia="Arial" w:hAnsi="Arial"/>
                <w:sz w:val="18"/>
                <w:szCs w:val="18"/>
                <w:color w:val="auto"/>
                <w:w w:val="92"/>
              </w:rPr>
              <w:t>Assets measured at fair value on a nonrecurring basis are summarized below.</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21"/>
        </w:trPr>
        <w:tc>
          <w:tcPr>
            <w:tcW w:w="1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6"/>
              </w:rPr>
              <w:t>June 30, 2014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80" w:type="dxa"/>
            <w:vAlign w:val="bottom"/>
            <w:gridSpan w:val="2"/>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9"/>
          </w:tcPr>
          <w:p>
            <w:pPr>
              <w:ind w:left="2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1,467</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1,467</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1,991</w:t>
            </w:r>
          </w:p>
        </w:tc>
        <w:tc>
          <w:tcPr>
            <w:tcW w:w="1720" w:type="dxa"/>
            <w:vAlign w:val="bottom"/>
          </w:tcPr>
          <w:p>
            <w:pPr>
              <w:spacing w:after="0"/>
              <w:rPr>
                <w:sz w:val="19"/>
                <w:szCs w:val="19"/>
                <w:color w:val="auto"/>
              </w:rPr>
            </w:pPr>
          </w:p>
        </w:tc>
      </w:tr>
      <w:tr>
        <w:trPr>
          <w:trHeight w:val="424"/>
        </w:trPr>
        <w:tc>
          <w:tcPr>
            <w:tcW w:w="6500" w:type="dxa"/>
            <w:vAlign w:val="bottom"/>
            <w:gridSpan w:val="2"/>
          </w:tcPr>
          <w:p>
            <w:pPr>
              <w:jc w:val="right"/>
              <w:ind w:right="57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 2013</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2,134</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4840" w:type="dxa"/>
            <w:vAlign w:val="bottom"/>
            <w:gridSpan w:val="11"/>
          </w:tcPr>
          <w:p>
            <w:pPr>
              <w:ind w:left="540"/>
              <w:spacing w:after="0"/>
              <w:rPr>
                <w:sz w:val="20"/>
                <w:szCs w:val="20"/>
                <w:color w:val="auto"/>
              </w:rPr>
            </w:pPr>
            <w:r>
              <w:rPr>
                <w:rFonts w:ascii="Arial" w:cs="Arial" w:eastAsia="Arial" w:hAnsi="Arial"/>
                <w:sz w:val="14"/>
                <w:szCs w:val="14"/>
                <w:b w:val="1"/>
                <w:bCs w:val="1"/>
                <w:color w:val="auto"/>
              </w:rPr>
              <w:t>Fair Value Measurements at June 30, 2014</w:t>
            </w:r>
          </w:p>
        </w:tc>
      </w:tr>
      <w:tr>
        <w:trPr>
          <w:trHeight w:val="142"/>
        </w:trPr>
        <w:tc>
          <w:tcPr>
            <w:tcW w:w="11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8"/>
              </w:rPr>
              <w:t>Level 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3</w:t>
            </w:r>
          </w:p>
        </w:tc>
        <w:tc>
          <w:tcPr>
            <w:tcW w:w="130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assets:</w:t>
            </w: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82,259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82,259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82,259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Regulatory stock</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4,102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Loans, net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515,049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522,154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522,154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rate caps</w:t>
            </w:r>
          </w:p>
        </w:tc>
        <w:tc>
          <w:tcPr>
            <w:tcW w:w="1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liabilities:</w:t>
            </w:r>
          </w:p>
        </w:tc>
        <w:tc>
          <w:tcPr>
            <w:tcW w:w="10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Deposits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574,329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574,868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574,868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43,843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Wholesale repurchase agreements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10,199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10,484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rate swaps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gridSpan w:val="2"/>
          </w:tcPr>
          <w:p>
            <w:pPr>
              <w:jc w:val="right"/>
              <w:ind w:right="506"/>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3700" w:type="dxa"/>
            <w:vAlign w:val="bottom"/>
            <w:gridSpan w:val="10"/>
          </w:tcPr>
          <w:p>
            <w:pPr>
              <w:ind w:left="540"/>
              <w:spacing w:after="0"/>
              <w:rPr>
                <w:sz w:val="20"/>
                <w:szCs w:val="20"/>
                <w:color w:val="auto"/>
              </w:rPr>
            </w:pPr>
            <w:r>
              <w:rPr>
                <w:rFonts w:ascii="Arial" w:cs="Arial" w:eastAsia="Arial" w:hAnsi="Arial"/>
                <w:sz w:val="14"/>
                <w:szCs w:val="14"/>
                <w:b w:val="1"/>
                <w:bCs w:val="1"/>
                <w:color w:val="auto"/>
              </w:rPr>
              <w:t>Fair Value Measurements at June 30, 2013</w:t>
            </w: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8"/>
              </w:rPr>
              <w:t>Level 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assets:</w:t>
            </w: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65,934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65,934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65,934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121,597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Regulatory stock</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5,721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5,721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Loans, net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434,233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444,988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444,988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rate caps</w:t>
            </w: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liabilities:</w:t>
            </w:r>
          </w:p>
        </w:tc>
        <w:tc>
          <w:tcPr>
            <w:tcW w:w="1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484,623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449,857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449,857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Wholesale repurchase agreements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25,397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26,092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1,926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72"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June 30, 2014, the Company had posted cash collateral totaling $1.3 million with dealer banks related to derivative instruments in a net liability position.</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June 30, 2014</w:t>
      </w:r>
    </w:p>
    <w:tbl>
      <w:tblPr>
        <w:tblLayout w:type="fixed"/>
        <w:tblInd w:w="1140" w:type="dxa"/>
        <w:tblCellMar>
          <w:top w:w="0" w:type="dxa"/>
          <w:left w:w="0" w:type="dxa"/>
          <w:bottom w:w="0" w:type="dxa"/>
          <w:right w:w="0" w:type="dxa"/>
        </w:tblCellMar>
      </w:tblPr>
      <w:tr>
        <w:trPr>
          <w:trHeight w:val="129"/>
        </w:trPr>
        <w:tc>
          <w:tcPr>
            <w:tcW w:w="100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Inception</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Termination</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Receive</w:t>
            </w:r>
          </w:p>
        </w:tc>
        <w:tc>
          <w:tcPr>
            <w:tcW w:w="62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Pay</w:t>
            </w:r>
          </w:p>
        </w:tc>
        <w:tc>
          <w:tcPr>
            <w:tcW w:w="60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Strike</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321"/>
              <w:spacing w:after="0" w:line="129" w:lineRule="exact"/>
              <w:rPr>
                <w:sz w:val="20"/>
                <w:szCs w:val="20"/>
                <w:color w:val="auto"/>
              </w:rPr>
            </w:pPr>
            <w:r>
              <w:rPr>
                <w:rFonts w:ascii="Arial" w:cs="Arial" w:eastAsia="Arial" w:hAnsi="Arial"/>
                <w:sz w:val="14"/>
                <w:szCs w:val="14"/>
                <w:b w:val="1"/>
                <w:bCs w:val="1"/>
                <w:color w:val="auto"/>
              </w:rPr>
              <w:t>Fair</w:t>
            </w: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 Sheet</w:t>
            </w:r>
          </w:p>
        </w:tc>
        <w:tc>
          <w:tcPr>
            <w:tcW w:w="0" w:type="dxa"/>
            <w:vAlign w:val="bottom"/>
          </w:tcPr>
          <w:p>
            <w:pPr>
              <w:spacing w:after="0"/>
              <w:rPr>
                <w:sz w:val="1"/>
                <w:szCs w:val="1"/>
                <w:color w:val="auto"/>
              </w:rPr>
            </w:pPr>
          </w:p>
        </w:tc>
      </w:tr>
      <w:tr>
        <w:trPr>
          <w:trHeight w:val="161"/>
        </w:trPr>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Index</w:t>
            </w:r>
          </w:p>
        </w:tc>
        <w:tc>
          <w:tcPr>
            <w:tcW w:w="2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Rate</w:t>
            </w: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Rate</w:t>
            </w: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4"/>
                <w:szCs w:val="14"/>
                <w:color w:val="auto"/>
              </w:rPr>
            </w:pPr>
          </w:p>
        </w:tc>
        <w:tc>
          <w:tcPr>
            <w:tcW w:w="70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820" w:type="dxa"/>
            <w:vAlign w:val="bottom"/>
            <w:gridSpan w:val="4"/>
          </w:tcPr>
          <w:p>
            <w:pPr>
              <w:jc w:val="center"/>
              <w:ind w:left="292"/>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i w:val="1"/>
                <w:iCs w:val="1"/>
                <w:color w:val="auto"/>
              </w:rPr>
              <w:t>Interest rate swaps: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w:t>
            </w:r>
          </w:p>
        </w:tc>
        <w:tc>
          <w:tcPr>
            <w:tcW w:w="2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February 2010</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February 2015</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3 Mo. LIBOR</w:t>
            </w: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2.12%</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4.69%</w:t>
            </w: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n/a</w:t>
            </w:r>
          </w:p>
        </w:tc>
        <w:tc>
          <w:tcPr>
            <w:tcW w:w="24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(165)</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2013</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2033</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 Mo. LIBOR</w:t>
            </w:r>
          </w:p>
        </w:tc>
        <w:tc>
          <w:tcPr>
            <w:tcW w:w="10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3.38%</w:t>
            </w: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(216)</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2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July 2013</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July 2028</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3 Mo. LIBOR</w:t>
            </w: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3.23%</w:t>
            </w: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(200)</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2013</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2023</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 Mo. LIBOR</w:t>
            </w:r>
          </w:p>
        </w:tc>
        <w:tc>
          <w:tcPr>
            <w:tcW w:w="10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2.77%</w:t>
            </w: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(133)</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Interest rate caps:</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September 2009</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September 2014</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 Mo. LIBOR</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1"/>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31,000</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(714</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4"/>
            <w:vMerge w:val="restart"/>
          </w:tcPr>
          <w:p>
            <w:pPr>
              <w:jc w:val="center"/>
              <w:ind w:left="292"/>
              <w:spacing w:after="0"/>
              <w:rPr>
                <w:sz w:val="20"/>
                <w:szCs w:val="20"/>
                <w:color w:val="auto"/>
              </w:rPr>
            </w:pPr>
            <w:r>
              <w:rPr>
                <w:rFonts w:ascii="Arial" w:cs="Arial" w:eastAsia="Arial" w:hAnsi="Arial"/>
                <w:sz w:val="14"/>
                <w:szCs w:val="14"/>
                <w:b w:val="1"/>
                <w:bCs w:val="1"/>
                <w:color w:val="auto"/>
                <w:w w:val="85"/>
              </w:rPr>
              <w:t>June 30, 2013</w:t>
            </w: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Inception</w:t>
            </w:r>
          </w:p>
        </w:tc>
        <w:tc>
          <w:tcPr>
            <w:tcW w:w="28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Termination</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Receive</w:t>
            </w:r>
          </w:p>
        </w:tc>
        <w:tc>
          <w:tcPr>
            <w:tcW w:w="6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Pay</w:t>
            </w:r>
          </w:p>
        </w:tc>
        <w:tc>
          <w:tcPr>
            <w:tcW w:w="6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Strike</w:t>
            </w:r>
          </w:p>
        </w:tc>
        <w:tc>
          <w:tcPr>
            <w:tcW w:w="100" w:type="dxa"/>
            <w:vAlign w:val="bottom"/>
          </w:tcPr>
          <w:p>
            <w:pPr>
              <w:spacing w:after="0"/>
              <w:rPr>
                <w:sz w:val="11"/>
                <w:szCs w:val="11"/>
                <w:color w:val="auto"/>
              </w:rPr>
            </w:pPr>
          </w:p>
        </w:tc>
        <w:tc>
          <w:tcPr>
            <w:tcW w:w="84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321"/>
              <w:spacing w:after="0" w:line="129" w:lineRule="exact"/>
              <w:rPr>
                <w:sz w:val="20"/>
                <w:szCs w:val="20"/>
                <w:color w:val="auto"/>
              </w:rPr>
            </w:pPr>
            <w:r>
              <w:rPr>
                <w:rFonts w:ascii="Arial" w:cs="Arial" w:eastAsia="Arial" w:hAnsi="Arial"/>
                <w:sz w:val="14"/>
                <w:szCs w:val="14"/>
                <w:b w:val="1"/>
                <w:bCs w:val="1"/>
                <w:color w:val="auto"/>
              </w:rPr>
              <w:t>Fair</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Balance Sheet</w:t>
            </w:r>
          </w:p>
        </w:tc>
        <w:tc>
          <w:tcPr>
            <w:tcW w:w="0" w:type="dxa"/>
            <w:vAlign w:val="bottom"/>
          </w:tcPr>
          <w:p>
            <w:pPr>
              <w:spacing w:after="0"/>
              <w:rPr>
                <w:sz w:val="1"/>
                <w:szCs w:val="1"/>
                <w:color w:val="auto"/>
              </w:rPr>
            </w:pPr>
          </w:p>
        </w:tc>
      </w:tr>
      <w:tr>
        <w:trPr>
          <w:trHeight w:val="161"/>
        </w:trPr>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Index</w:t>
            </w:r>
          </w:p>
        </w:tc>
        <w:tc>
          <w:tcPr>
            <w:tcW w:w="2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Rate</w:t>
            </w: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Rate</w:t>
            </w: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4"/>
                <w:szCs w:val="14"/>
                <w:color w:val="auto"/>
              </w:rPr>
            </w:pPr>
          </w:p>
        </w:tc>
        <w:tc>
          <w:tcPr>
            <w:tcW w:w="70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4"/>
          </w:tcPr>
          <w:p>
            <w:pPr>
              <w:jc w:val="center"/>
              <w:ind w:left="292"/>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i w:val="1"/>
                <w:iCs w:val="1"/>
                <w:color w:val="auto"/>
              </w:rPr>
              <w:t>Interest rate swaps: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w:t>
            </w:r>
          </w:p>
        </w:tc>
        <w:tc>
          <w:tcPr>
            <w:tcW w:w="2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February 2010</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February 2015</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3 Mo. LIBOR</w:t>
            </w: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2.16%</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4.69%</w:t>
            </w: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n/a</w:t>
            </w:r>
          </w:p>
        </w:tc>
        <w:tc>
          <w:tcPr>
            <w:tcW w:w="24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(389)</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i w:val="1"/>
                <w:iCs w:val="1"/>
                <w:color w:val="auto"/>
              </w:rPr>
              <w:t>Interest rate caps: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6,000</w:t>
            </w:r>
          </w:p>
        </w:tc>
        <w:tc>
          <w:tcPr>
            <w:tcW w:w="2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w w:val="94"/>
              </w:rPr>
              <w:t>September 2009</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w w:val="92"/>
              </w:rPr>
              <w:t>September 2014</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3 Mo. LIBOR</w:t>
            </w:r>
          </w:p>
        </w:tc>
        <w:tc>
          <w:tcPr>
            <w:tcW w:w="26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1"/>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16,000</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(263)</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1"/>
              <w:spacing w:after="0" w:line="142" w:lineRule="exact"/>
              <w:rPr>
                <w:sz w:val="20"/>
                <w:szCs w:val="20"/>
                <w:color w:val="auto"/>
              </w:rPr>
            </w:pPr>
            <w:r>
              <w:rPr>
                <w:rFonts w:ascii="Arial" w:cs="Arial" w:eastAsia="Arial" w:hAnsi="Arial"/>
                <w:sz w:val="14"/>
                <w:szCs w:val="14"/>
                <w:color w:val="auto"/>
              </w:rPr>
              <w:t>(389)</w:t>
            </w: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the years ended June 30, 2014 and 2013,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years ended June 30, 2104 and 2013 related to the balance sheet hedging of variable rate debt indicates that the hedges were effective.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the periods presented, amounts recognized in income related to hedge ineffectiveness resulted from amortization of the non-zero fair value associated with the Company's single interest rate swap held at the time of the merger with FHB Formation LLC in December 2010. During the periods presented, amounts recognized in income related to amounts excluded from effectiveness testing resulted from amortization of the acquisition price of interest rate caps. The table below presents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income related to both hedge ineffectiveness and amounts excluded from effectiveness testing.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r>
      <w:tr>
        <w:trPr>
          <w:trHeight w:val="129"/>
        </w:trPr>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7"/>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(Dollars in</w:t>
            </w:r>
          </w:p>
        </w:tc>
      </w:t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4"/>
              </w:rPr>
              <w:t>thousands)</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Interest rate caps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Company expects to record interest income of $65 thousand related to interest rate swap ineffectiveness in the next twelve months. The Company expects to record interest expense of $16 thousand related to its purchased interest rate caps in the next twelve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Parent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Condensed financial information for Northeast Bancorp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2014</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June 30, 2013</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gridSpan w:val="6"/>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Investment in subsidiary</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96,294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common securities of affiliated trusts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1720"/>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debentures issued to affiliated trusts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112,066</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113,802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jc w:val="right"/>
              <w:ind w:right="1512"/>
              <w:spacing w:after="0"/>
              <w:rPr>
                <w:sz w:val="20"/>
                <w:szCs w:val="20"/>
                <w:color w:val="auto"/>
              </w:rPr>
            </w:pPr>
            <w:r>
              <w:rPr>
                <w:rFonts w:ascii="Arial" w:cs="Arial" w:eastAsia="Arial" w:hAnsi="Arial"/>
                <w:sz w:val="18"/>
                <w:szCs w:val="18"/>
                <w:color w:val="auto"/>
              </w:rPr>
              <w:t>114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Parent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6"/>
          </w:tcPr>
          <w:p>
            <w:pPr>
              <w:jc w:val="center"/>
              <w:ind w:right="2000"/>
              <w:spacing w:after="0"/>
              <w:rPr>
                <w:sz w:val="20"/>
                <w:szCs w:val="20"/>
                <w:color w:val="auto"/>
              </w:rPr>
            </w:pPr>
            <w:r>
              <w:rPr>
                <w:rFonts w:ascii="Arial" w:cs="Arial" w:eastAsia="Arial" w:hAnsi="Arial"/>
                <w:sz w:val="14"/>
                <w:szCs w:val="14"/>
                <w:b w:val="1"/>
                <w:bCs w:val="1"/>
                <w:color w:val="auto"/>
                <w:w w:val="86"/>
              </w:rPr>
              <w:t>Year Ended June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gridSpan w:val="6"/>
          </w:tcPr>
          <w:p>
            <w:pPr>
              <w:jc w:val="center"/>
              <w:ind w:right="19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Statements of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Dividends from banking subsidiary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6280" w:type="dxa"/>
            <w:vAlign w:val="bottom"/>
          </w:tcPr>
          <w:p>
            <w:pPr>
              <w:ind w:left="360"/>
              <w:spacing w:after="0" w:line="201" w:lineRule="exact"/>
              <w:rPr>
                <w:sz w:val="20"/>
                <w:szCs w:val="20"/>
                <w:color w:val="auto"/>
              </w:rPr>
            </w:pPr>
            <w:r>
              <w:rPr>
                <w:rFonts w:ascii="Arial" w:cs="Arial" w:eastAsia="Arial" w:hAnsi="Arial"/>
                <w:sz w:val="18"/>
                <w:szCs w:val="18"/>
                <w:color w:val="auto"/>
              </w:rPr>
              <w:t>Loss before income tax benefit and equity in undistributed net income of</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280" w:type="dxa"/>
            <w:vAlign w:val="bottom"/>
          </w:tcPr>
          <w:p>
            <w:pPr>
              <w:ind w:left="54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(1,819)</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(Loss) income before equity in undistributed net income of subsidiary</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(1,429)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(1,177)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in undistributed net income of subsidiary</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62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income available to common shareholders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2,692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4,065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right"/>
              <w:ind w:right="2072"/>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Parent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6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(Dollars</w:t>
            </w:r>
          </w:p>
        </w:tc>
        <w:tc>
          <w:tcPr>
            <w:tcW w:w="160" w:type="dxa"/>
            <w:vAlign w:val="bottom"/>
          </w:tcPr>
          <w:p>
            <w:pPr>
              <w:jc w:val="right"/>
              <w:ind w:right="35"/>
              <w:spacing w:after="0"/>
              <w:rPr>
                <w:sz w:val="20"/>
                <w:szCs w:val="20"/>
                <w:color w:val="auto"/>
              </w:rPr>
            </w:pPr>
            <w:r>
              <w:rPr>
                <w:rFonts w:ascii="Arial" w:cs="Arial" w:eastAsia="Arial" w:hAnsi="Arial"/>
                <w:sz w:val="9"/>
                <w:szCs w:val="9"/>
                <w:b w:val="1"/>
                <w:bCs w:val="1"/>
                <w:color w:val="auto"/>
                <w:w w:val="74"/>
              </w:rPr>
              <w:t>in</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thousands)</w:t>
            </w:r>
          </w:p>
        </w:tc>
        <w:tc>
          <w:tcPr>
            <w:tcW w:w="16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Statements of Cash Flows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fair value adjustment for borrowings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of subsidiary</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(4,121)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Increase in other assets and liabilities</w:t>
            </w:r>
          </w:p>
        </w:tc>
        <w:tc>
          <w:tcPr>
            <w:tcW w:w="140" w:type="dxa"/>
            <w:vAlign w:val="bottom"/>
          </w:tcPr>
          <w:p>
            <w:pPr>
              <w:spacing w:after="0"/>
              <w:rPr>
                <w:sz w:val="18"/>
                <w:szCs w:val="18"/>
                <w:color w:val="auto"/>
              </w:rPr>
            </w:pPr>
          </w:p>
        </w:tc>
        <w:tc>
          <w:tcPr>
            <w:tcW w:w="740" w:type="dxa"/>
            <w:vAlign w:val="bottom"/>
            <w:gridSpan w:val="2"/>
          </w:tcPr>
          <w:p>
            <w:pPr>
              <w:jc w:val="right"/>
              <w:ind w:right="75"/>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0"/>
        </w:trPr>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r>
      <w:tr>
        <w:trPr>
          <w:trHeight w:val="208"/>
        </w:trPr>
        <w:tc>
          <w:tcPr>
            <w:tcW w:w="618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investment of bank subsidiary</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(20,000)</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(20,000)</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74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preferred stock and warrants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740" w:type="dxa"/>
            <w:vAlign w:val="bottom"/>
            <w:gridSpan w:val="2"/>
          </w:tcPr>
          <w:p>
            <w:pPr>
              <w:jc w:val="right"/>
              <w:ind w:right="75"/>
              <w:spacing w:after="0"/>
              <w:rPr>
                <w:sz w:val="20"/>
                <w:szCs w:val="20"/>
                <w:color w:val="auto"/>
              </w:rPr>
            </w:pPr>
            <w:r>
              <w:rPr>
                <w:rFonts w:ascii="Arial" w:cs="Arial" w:eastAsia="Arial" w:hAnsi="Arial"/>
                <w:sz w:val="18"/>
                <w:szCs w:val="18"/>
                <w:color w:val="auto"/>
              </w:rPr>
              <w:t>(2,823)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(2,922)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(5,745)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(8,248)</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(6,819)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(28,630)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Cash, beginning of year</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54,996</w:t>
            </w:r>
          </w:p>
        </w:tc>
      </w:tr>
      <w:tr>
        <w:trPr>
          <w:trHeight w:val="20"/>
        </w:trPr>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26,366</w:t>
            </w:r>
          </w:p>
        </w:tc>
      </w:tr>
      <w:tr>
        <w:trPr>
          <w:trHeight w:val="20"/>
        </w:trPr>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Troubled Asset Relief Capital Purchase Program</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fiscal 2013, the Company paid $4.2 million to redeem, at par value, all shares of preferred stock issued to the U.S. Department of the Treasury (the "UST") under the Troubled Asset Relief Program ("TARP"). The Company also repurchased the warrant for 67,958 shares of common stock issued to the UST in connection with TARP for $95 thousand during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Discontinued Operations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concluded all investment brokerage activities in the second quarter of fiscal 2014. Accordingly, operations associated with these activities have been classified as discontinued operations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Discontinued Operations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 the accompanying consolidated statements of income. The following summarizes the operations of the Company's investment brokerage division.</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r>
      <w:tr>
        <w:trPr>
          <w:trHeight w:val="129"/>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7"/>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(Dollars in</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4"/>
              </w:rPr>
              <w:t>thousands)</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2,919</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540" w:type="dxa"/>
            <w:vAlign w:val="bottom"/>
          </w:tcPr>
          <w:p>
            <w:pPr>
              <w:ind w:left="360"/>
              <w:spacing w:after="0"/>
              <w:rPr>
                <w:sz w:val="20"/>
                <w:szCs w:val="20"/>
                <w:color w:val="auto"/>
              </w:rPr>
            </w:pPr>
            <w:r>
              <w:rPr>
                <w:rFonts w:ascii="Arial" w:cs="Arial" w:eastAsia="Arial" w:hAnsi="Arial"/>
                <w:sz w:val="18"/>
                <w:szCs w:val="18"/>
                <w:color w:val="auto"/>
              </w:rPr>
              <w:t>Total noninterest income</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60" w:type="dxa"/>
            <w:vAlign w:val="bottom"/>
          </w:tcPr>
          <w:p>
            <w:pPr>
              <w:spacing w:after="0"/>
              <w:rPr>
                <w:sz w:val="18"/>
                <w:szCs w:val="18"/>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2,182</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Data processing fees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Other noninterest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noninterest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(Loss) income before tax</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evaluated the impact of events that have occurred subsequent to June 30, 2014 through the date the consolidated financial statements were filed with the United States Securities and Exchange Commission. Based on this evaluation, the Company has determined none of these events were required to be recognized or disclosed in the consolidated financial statements and related notes.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its disclosure controls and procedures, as defined in Exchange Act Rules 13a-15(e) and 15d-15(e). Based upon the evaluation, the Company's Chief Executive Officer and Chief Financial Officer concluded that as of June 30, 2014, the Company's disclosure controls and procedures are effective. Disclosure controls and procedures are controls and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In addition, no change in our internal control over financial reporting (as defined in Rule 13a-15(f) under the Securities Exchange Act of 1934) occurred during the fourth quarter of our fiscal year ended June 30, 2014 that has materially affected, or is reasonably likely to materially affect, our internal control over financial reporting.</w:t>
      </w:r>
    </w:p>
    <w:p>
      <w:pPr>
        <w:spacing w:after="0" w:line="172"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its Chief Executive Officer and Chief Financial Officer, of the effectiveness of the design and operation of our internal controls and procedures over financial reporting (as defined in Rule 13a-15(e) of the Exchange Act) as of the end of the period covered by this annual report.</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controls over financial reporting. The standard measures adopted by management in making its evaluation are the measures in </w:t>
      </w:r>
      <w:r>
        <w:rPr>
          <w:rFonts w:ascii="Arial" w:cs="Arial" w:eastAsia="Arial" w:hAnsi="Arial"/>
          <w:sz w:val="16"/>
          <w:szCs w:val="16"/>
          <w:i w:val="1"/>
          <w:iCs w:val="1"/>
          <w:color w:val="auto"/>
        </w:rPr>
        <w:t>Interest Control—Integrated Framework</w:t>
      </w:r>
      <w:r>
        <w:rPr>
          <w:rFonts w:ascii="Arial" w:cs="Arial" w:eastAsia="Arial" w:hAnsi="Arial"/>
          <w:sz w:val="16"/>
          <w:szCs w:val="16"/>
          <w:color w:val="auto"/>
        </w:rPr>
        <w:t xml:space="preserve"> (1992) published by the Committee of Sponsoring Organizations of the Treadway Commission. We do not expect that our disclosure controls and procedures will prevent all error and all fraud. A control system, no matter how well designed and operated, can provide only reasonable, not absolute, assurance that the control system's objective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errors, and instances of fraud, if any, within the Company have been or will be detected. The inherent limitations include, among other things, the realities that judgments in decision-making can be faulty, and that breakdowns can occur because of simple error or mistake. Controls and procedures also can be circumvented by the individual acts of some persons, by collusion of two or more people, or by management or employee override of the controls and procedures. The design of any system of controls and procedures is based in part upon certain assumptions about the likelihood of future events, and there can be no assurance that any design will succeed in achieving its stated goals under all potential future conditions. Over time, controls and procedures may become inadequate because of changes in conditions or deterioration in the degree of compliance with its policies or procedures. Because of the inherent limitation in a cost-effective control system, misstatements due to error or fraud may occur and not be detected.</w:t>
      </w:r>
    </w:p>
    <w:p>
      <w:pPr>
        <w:spacing w:after="0" w:line="17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Based on their evaluation of disclosure controls and procedures, our Chief Executive Officer and Chief Financial Officer concluded, subject to the limitations described above, that our internal controls and procedures over financial reporting as of the end of the period covered by this report were effective and that there were no material weaknesses.</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that could significantly affect our internal controls, subsequent to the date the Chief Executive Officer and Chief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completed their evaluation, including any corrective actions with regard to significant deficiencies or material weaknesses.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rules of the Securities Exchange Commission that permit the Company to provide only management's report in this annual report.</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10 is included in the Proxy Statement relating to our 2014 Annual Meeting of Shareholders and is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11 is included in the Proxy Statement relating to our 2014 Annual Meeting of Shareholders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12 is included in the Proxy Statement relating to our 2014 Annual Meeting of Shareholders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13 is included in the Proxy Statement relating to our 2014 Annual Meeting of Shareholders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14 is included in the Proxy Statement relating to our 2014 Annual Meeting of Shareholders and is incorporated herein by reference.</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Balance Sheets as of June 30, 2014 and 2013</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Income for the years ended June 30, 2014 and 2013</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Comprehensive Income for the years ended June 30, 2014 and 2013</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Changes in Shareholders' Equity for the years ended June 30, 2014 and 2013</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Cash Flows for the years ended June 30, 2014 and 2013</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financial statement schedules for the Company have been included in the consolidated financial statements or the related footnotes, or are either inapplicable or not required.</w:t>
      </w:r>
    </w:p>
    <w:p>
      <w:pPr>
        <w:spacing w:after="0" w:line="199"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2160" w:right="680" w:hanging="421"/>
        <w:spacing w:after="0" w:line="259" w:lineRule="auto"/>
        <w:tabs>
          <w:tab w:leader="none" w:pos="2140" w:val="left"/>
        </w:tabs>
        <w:rPr>
          <w:sz w:val="20"/>
          <w:szCs w:val="20"/>
          <w:color w:val="auto"/>
        </w:rPr>
      </w:pPr>
      <w:r>
        <w:rPr>
          <w:rFonts w:ascii="Arial" w:cs="Arial" w:eastAsia="Arial" w:hAnsi="Arial"/>
          <w:sz w:val="18"/>
          <w:szCs w:val="18"/>
          <w:color w:val="auto"/>
        </w:rPr>
        <w:t>2.1</w:t>
        <w:tab/>
        <w:t>Agreement and Plan of Merger, dated as of March 30, 2010, by and between Northeast Bancorp and FHB Formation LLC (incorporated by reference to Exhibit 2.1 of Northeast Bancorp's Form 8-K filed with Securities and Exchange Commission on March 31, 2010).</w:t>
      </w:r>
    </w:p>
    <w:p>
      <w:pPr>
        <w:spacing w:after="0" w:line="221" w:lineRule="exact"/>
        <w:rPr>
          <w:sz w:val="20"/>
          <w:szCs w:val="20"/>
          <w:color w:val="auto"/>
        </w:rPr>
      </w:pPr>
    </w:p>
    <w:p>
      <w:pPr>
        <w:ind w:left="2160" w:right="480" w:hanging="421"/>
        <w:spacing w:after="0" w:line="268" w:lineRule="auto"/>
        <w:tabs>
          <w:tab w:leader="none" w:pos="2140" w:val="left"/>
        </w:tabs>
        <w:rPr>
          <w:sz w:val="20"/>
          <w:szCs w:val="20"/>
          <w:color w:val="auto"/>
        </w:rPr>
      </w:pPr>
      <w:r>
        <w:rPr>
          <w:rFonts w:ascii="Arial" w:cs="Arial" w:eastAsia="Arial" w:hAnsi="Arial"/>
          <w:sz w:val="18"/>
          <w:szCs w:val="18"/>
          <w:color w:val="auto"/>
        </w:rPr>
        <w:t>3.1</w:t>
        <w:tab/>
        <w:t>Amended and Restated Articles of Incorporation of Northeast Bancorp (incorporated by reference to Exhibit 3.1 of Northeast Bancorp's Current Report on Form 8-K filed on January 5, 2011).</w:t>
      </w:r>
    </w:p>
    <w:p>
      <w:pPr>
        <w:spacing w:after="0" w:line="213" w:lineRule="exact"/>
        <w:rPr>
          <w:sz w:val="20"/>
          <w:szCs w:val="20"/>
          <w:color w:val="auto"/>
        </w:rPr>
      </w:pPr>
    </w:p>
    <w:p>
      <w:pPr>
        <w:ind w:left="2160" w:right="460" w:hanging="421"/>
        <w:spacing w:after="0" w:line="332" w:lineRule="auto"/>
        <w:tabs>
          <w:tab w:leader="none" w:pos="2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Articles of Amendment to the Amended and Restated Articles of Incorporation of Northeast Bancorp (incorporated by reference to Exhibit 3.1 of Northeast Bancorp's Current Report on Form 8-K filed on March 22, 2011).</w:t>
      </w:r>
    </w:p>
    <w:p>
      <w:pPr>
        <w:spacing w:after="0" w:line="166" w:lineRule="exact"/>
        <w:rPr>
          <w:sz w:val="20"/>
          <w:szCs w:val="20"/>
          <w:color w:val="auto"/>
        </w:rPr>
      </w:pPr>
    </w:p>
    <w:p>
      <w:pPr>
        <w:ind w:left="2160" w:right="460" w:hanging="421"/>
        <w:spacing w:after="0" w:line="332" w:lineRule="auto"/>
        <w:tabs>
          <w:tab w:leader="none" w:pos="2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Articles of Amendment to the Amended and Restated Articles of Incorporation of Northeast Bancorp (incorporated by reference to Exhibit 3.1 of Northeast Bancorp's Current Report on Form 8-K filed on November 29, 2012).</w:t>
      </w:r>
    </w:p>
    <w:p>
      <w:pPr>
        <w:spacing w:after="0" w:line="166" w:lineRule="exact"/>
        <w:rPr>
          <w:sz w:val="20"/>
          <w:szCs w:val="20"/>
          <w:color w:val="auto"/>
        </w:rPr>
      </w:pPr>
    </w:p>
    <w:p>
      <w:pPr>
        <w:ind w:left="2160" w:right="980" w:hanging="421"/>
        <w:spacing w:after="0" w:line="268" w:lineRule="auto"/>
        <w:tabs>
          <w:tab w:leader="none" w:pos="2140" w:val="left"/>
        </w:tabs>
        <w:rPr>
          <w:sz w:val="20"/>
          <w:szCs w:val="20"/>
          <w:color w:val="auto"/>
        </w:rPr>
      </w:pPr>
      <w:r>
        <w:rPr>
          <w:rFonts w:ascii="Arial" w:cs="Arial" w:eastAsia="Arial" w:hAnsi="Arial"/>
          <w:sz w:val="18"/>
          <w:szCs w:val="18"/>
          <w:color w:val="auto"/>
        </w:rPr>
        <w:t>3.4</w:t>
        <w:tab/>
        <w:t>Amended and Restated Bylaws of Northeast Bancorp (incorporated by reference to Exhibit 3.2 of Northeast Bancorp's Current Report on Form 8-K filed on January 5, 2011).</w:t>
      </w:r>
    </w:p>
    <w:p>
      <w:pPr>
        <w:spacing w:after="0" w:line="213" w:lineRule="exact"/>
        <w:rPr>
          <w:sz w:val="20"/>
          <w:szCs w:val="20"/>
          <w:color w:val="auto"/>
        </w:rPr>
      </w:pPr>
    </w:p>
    <w:p>
      <w:pPr>
        <w:ind w:left="2160" w:right="560" w:hanging="421"/>
        <w:spacing w:after="0" w:line="259" w:lineRule="auto"/>
        <w:tabs>
          <w:tab w:leader="none" w:pos="2140" w:val="left"/>
        </w:tabs>
        <w:rPr>
          <w:sz w:val="20"/>
          <w:szCs w:val="20"/>
          <w:color w:val="auto"/>
        </w:rPr>
      </w:pPr>
      <w:r>
        <w:rPr>
          <w:rFonts w:ascii="Arial" w:cs="Arial" w:eastAsia="Arial" w:hAnsi="Arial"/>
          <w:sz w:val="18"/>
          <w:szCs w:val="18"/>
          <w:color w:val="auto"/>
        </w:rPr>
        <w:t>4.1</w:t>
        <w:tab/>
        <w:t>Registration Rights Schedule to the Agreement and Plan of Merger, dated as of March 30, 2010, by and between Northeast Bancorp and FHB Formation LLC (incorporated by reference to Amendment No. 1 on Form 10-K/A of Northeast Bancorp filed on March 19, 2012).</w:t>
      </w:r>
    </w:p>
    <w:p>
      <w:pPr>
        <w:spacing w:after="0" w:line="194" w:lineRule="exact"/>
        <w:rPr>
          <w:sz w:val="20"/>
          <w:szCs w:val="20"/>
          <w:color w:val="auto"/>
        </w:rPr>
      </w:pPr>
    </w:p>
    <w:p>
      <w:pPr>
        <w:jc w:val="both"/>
        <w:ind w:left="2160" w:right="500" w:hanging="509"/>
        <w:spacing w:after="0" w:line="275" w:lineRule="auto"/>
        <w:rPr>
          <w:sz w:val="20"/>
          <w:szCs w:val="20"/>
          <w:color w:val="auto"/>
        </w:rPr>
      </w:pPr>
      <w:r>
        <w:rPr>
          <w:rFonts w:ascii="Arial" w:cs="Arial" w:eastAsia="Arial" w:hAnsi="Arial"/>
          <w:sz w:val="18"/>
          <w:szCs w:val="18"/>
          <w:color w:val="auto"/>
        </w:rPr>
        <w:t>10.1+ Form of Indemnification Agreement, dated as of December 29, 2010, by and between Northeast Bancorp and each of the members of the Board (incorporated by reference to Exhibit 10.1 of Northeast Bancorp's Current Report on Form 8-K filed on January 5, 2011).</w:t>
      </w:r>
    </w:p>
    <w:p>
      <w:pPr>
        <w:spacing w:after="0" w:line="180" w:lineRule="exact"/>
        <w:rPr>
          <w:sz w:val="20"/>
          <w:szCs w:val="20"/>
          <w:color w:val="auto"/>
        </w:rPr>
      </w:pPr>
    </w:p>
    <w:p>
      <w:pPr>
        <w:ind w:left="2160" w:right="540" w:hanging="509"/>
        <w:spacing w:after="0" w:line="275" w:lineRule="auto"/>
        <w:rPr>
          <w:sz w:val="20"/>
          <w:szCs w:val="20"/>
          <w:color w:val="auto"/>
        </w:rPr>
      </w:pPr>
      <w:r>
        <w:rPr>
          <w:rFonts w:ascii="Arial" w:cs="Arial" w:eastAsia="Arial" w:hAnsi="Arial"/>
          <w:sz w:val="18"/>
          <w:szCs w:val="18"/>
          <w:color w:val="auto"/>
        </w:rPr>
        <w:t>10.2+ Employment Agreement, dated December 30, 2010, by and between Northeast Bancorp and Richard Wayne (incorporated by reference to Exhibit 10.2 of Northeast Bancorp's Current Report on Form 8-K filed on January 5, 2011).</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131" w:right="9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160" w:right="80" w:hanging="509"/>
        <w:spacing w:after="0" w:line="259" w:lineRule="auto"/>
        <w:rPr>
          <w:sz w:val="20"/>
          <w:szCs w:val="20"/>
          <w:color w:val="auto"/>
        </w:rPr>
      </w:pPr>
      <w:r>
        <w:rPr>
          <w:rFonts w:ascii="Arial" w:cs="Arial" w:eastAsia="Arial" w:hAnsi="Arial"/>
          <w:sz w:val="18"/>
          <w:szCs w:val="18"/>
          <w:color w:val="auto"/>
        </w:rPr>
        <w:t>10.3+ Employment Agreement, dated December 30, 2010, by and between Northeast Bancorp and Claire Bean (incorporated by reference to Exhibit 10.3 of Northeast Bancorp's Current Report on Form 8-K filed on January 5, 2011).</w:t>
      </w:r>
    </w:p>
    <w:p>
      <w:pPr>
        <w:spacing w:after="0" w:line="194" w:lineRule="exact"/>
        <w:rPr>
          <w:sz w:val="20"/>
          <w:szCs w:val="20"/>
          <w:color w:val="auto"/>
        </w:rPr>
      </w:pPr>
    </w:p>
    <w:p>
      <w:pPr>
        <w:ind w:left="2160" w:right="80" w:hanging="509"/>
        <w:spacing w:after="0" w:line="275" w:lineRule="auto"/>
        <w:rPr>
          <w:sz w:val="20"/>
          <w:szCs w:val="20"/>
          <w:color w:val="auto"/>
        </w:rPr>
      </w:pPr>
      <w:r>
        <w:rPr>
          <w:rFonts w:ascii="Arial" w:cs="Arial" w:eastAsia="Arial" w:hAnsi="Arial"/>
          <w:sz w:val="18"/>
          <w:szCs w:val="18"/>
          <w:color w:val="auto"/>
        </w:rPr>
        <w:t>10.4+ Employment Agreement, dated December 30, 2010, by and between Northeast Bancorp and Heather Campion (incorporated by reference to Exhibit 10.4 of Northeast Bancorp's Current Report on Form 8-K filed on January 5, 2011).</w:t>
      </w:r>
    </w:p>
    <w:p>
      <w:pPr>
        <w:spacing w:after="0" w:line="180" w:lineRule="exact"/>
        <w:rPr>
          <w:sz w:val="20"/>
          <w:szCs w:val="20"/>
          <w:color w:val="auto"/>
        </w:rPr>
      </w:pPr>
    </w:p>
    <w:p>
      <w:pPr>
        <w:ind w:left="2160" w:right="20" w:hanging="509"/>
        <w:spacing w:after="0" w:line="275" w:lineRule="auto"/>
        <w:rPr>
          <w:sz w:val="20"/>
          <w:szCs w:val="20"/>
          <w:color w:val="auto"/>
        </w:rPr>
      </w:pPr>
      <w:r>
        <w:rPr>
          <w:rFonts w:ascii="Arial" w:cs="Arial" w:eastAsia="Arial" w:hAnsi="Arial"/>
          <w:sz w:val="18"/>
          <w:szCs w:val="18"/>
          <w:color w:val="auto"/>
        </w:rPr>
        <w:t>10.5+ Separation Agreement &amp; General Release, dated August 15, 2013, by and between Northeast Bancorp and Heather Campion (incorporated by reference to Exhibit 10.1 of Northeast Bancorp's Current Report on Form 8-K filed on August 15, 2013).</w:t>
      </w:r>
    </w:p>
    <w:p>
      <w:pPr>
        <w:spacing w:after="0" w:line="180" w:lineRule="exact"/>
        <w:rPr>
          <w:sz w:val="20"/>
          <w:szCs w:val="20"/>
          <w:color w:val="auto"/>
        </w:rPr>
      </w:pPr>
    </w:p>
    <w:p>
      <w:pPr>
        <w:ind w:left="2160" w:right="100" w:hanging="509"/>
        <w:spacing w:after="0" w:line="275" w:lineRule="auto"/>
        <w:rPr>
          <w:sz w:val="20"/>
          <w:szCs w:val="20"/>
          <w:color w:val="auto"/>
        </w:rPr>
      </w:pPr>
      <w:r>
        <w:rPr>
          <w:rFonts w:ascii="Arial" w:cs="Arial" w:eastAsia="Arial" w:hAnsi="Arial"/>
          <w:sz w:val="18"/>
          <w:szCs w:val="18"/>
          <w:color w:val="auto"/>
        </w:rPr>
        <w:t>10.6+ Non-Qualified Time-Based Stock Option Agreement, dated December 29, 2010, by and between Northeast Bancorp and Richard Wayne (incorporated by reference to Exhibit 10.5 of Northeast Bancorp's Current Report on Form 8-K filed on January 5, 2011).</w:t>
      </w:r>
    </w:p>
    <w:p>
      <w:pPr>
        <w:spacing w:after="0" w:line="180" w:lineRule="exact"/>
        <w:rPr>
          <w:sz w:val="20"/>
          <w:szCs w:val="20"/>
          <w:color w:val="auto"/>
        </w:rPr>
      </w:pPr>
    </w:p>
    <w:p>
      <w:pPr>
        <w:ind w:left="2160" w:right="100" w:hanging="509"/>
        <w:spacing w:after="0" w:line="275" w:lineRule="auto"/>
        <w:rPr>
          <w:sz w:val="20"/>
          <w:szCs w:val="20"/>
          <w:color w:val="auto"/>
        </w:rPr>
      </w:pPr>
      <w:r>
        <w:rPr>
          <w:rFonts w:ascii="Arial" w:cs="Arial" w:eastAsia="Arial" w:hAnsi="Arial"/>
          <w:sz w:val="18"/>
          <w:szCs w:val="18"/>
          <w:color w:val="auto"/>
        </w:rPr>
        <w:t>10.7+ Non-Qualified Performance-Based Stock Option Agreement, dated March 22, 2013, by and between Northeast Bancorp and Richard Wayne (incorporated by reference to Exhibit 10.1 of Northeast Bancorp's Current Report on Form 8-K filed on March 26, 2013).</w:t>
      </w:r>
    </w:p>
    <w:p>
      <w:pPr>
        <w:spacing w:after="0" w:line="180" w:lineRule="exact"/>
        <w:rPr>
          <w:sz w:val="20"/>
          <w:szCs w:val="20"/>
          <w:color w:val="auto"/>
        </w:rPr>
      </w:pPr>
    </w:p>
    <w:p>
      <w:pPr>
        <w:ind w:left="2160" w:right="360" w:hanging="509"/>
        <w:spacing w:after="0" w:line="275" w:lineRule="auto"/>
        <w:rPr>
          <w:sz w:val="20"/>
          <w:szCs w:val="20"/>
          <w:color w:val="auto"/>
        </w:rPr>
      </w:pPr>
      <w:r>
        <w:rPr>
          <w:rFonts w:ascii="Arial" w:cs="Arial" w:eastAsia="Arial" w:hAnsi="Arial"/>
          <w:sz w:val="18"/>
          <w:szCs w:val="18"/>
          <w:color w:val="auto"/>
        </w:rPr>
        <w:t>10.8+ Non-Qualified Time-Based Stock Option Agreement, dated December 29, 2010, by and between Northeast Bancorp and Claire Bean (incorporated by reference to Exhibit 10.7 of Northeast Bancorp's Current Report on Form 8-K filed on January 5, 2011).</w:t>
      </w:r>
    </w:p>
    <w:p>
      <w:pPr>
        <w:spacing w:after="0" w:line="180" w:lineRule="exact"/>
        <w:rPr>
          <w:sz w:val="20"/>
          <w:szCs w:val="20"/>
          <w:color w:val="auto"/>
        </w:rPr>
      </w:pPr>
    </w:p>
    <w:p>
      <w:pPr>
        <w:jc w:val="both"/>
        <w:ind w:left="2160" w:right="300" w:hanging="509"/>
        <w:spacing w:after="0" w:line="275" w:lineRule="auto"/>
        <w:rPr>
          <w:sz w:val="20"/>
          <w:szCs w:val="20"/>
          <w:color w:val="auto"/>
        </w:rPr>
      </w:pPr>
      <w:r>
        <w:rPr>
          <w:rFonts w:ascii="Arial" w:cs="Arial" w:eastAsia="Arial" w:hAnsi="Arial"/>
          <w:sz w:val="18"/>
          <w:szCs w:val="18"/>
          <w:color w:val="auto"/>
        </w:rPr>
        <w:t>10.9+ Non-Qualified Performance-Based Stock Option Agreement, dated March 22, 2013, by and between Northeast Bancorp and Claire Bean (incorporated by reference to Exhibit 10.2 of Northeast Bancorp's Current Report on Form 8-K filed on March 26, 2013).</w:t>
      </w:r>
    </w:p>
    <w:p>
      <w:pPr>
        <w:spacing w:after="0" w:line="180" w:lineRule="exact"/>
        <w:rPr>
          <w:sz w:val="20"/>
          <w:szCs w:val="20"/>
          <w:color w:val="auto"/>
        </w:rPr>
      </w:pPr>
    </w:p>
    <w:p>
      <w:pPr>
        <w:ind w:left="2160" w:right="160" w:hanging="597"/>
        <w:spacing w:after="0" w:line="275" w:lineRule="auto"/>
        <w:rPr>
          <w:sz w:val="20"/>
          <w:szCs w:val="20"/>
          <w:color w:val="auto"/>
        </w:rPr>
      </w:pPr>
      <w:r>
        <w:rPr>
          <w:rFonts w:ascii="Arial" w:cs="Arial" w:eastAsia="Arial" w:hAnsi="Arial"/>
          <w:sz w:val="18"/>
          <w:szCs w:val="18"/>
          <w:color w:val="auto"/>
        </w:rPr>
        <w:t>10.10+ Non-Qualified Time-Based Stock Option Agreement, dated December 29, 2010, by and between Northeast Bancorp and Heather Campion (incorporated by reference to Exhibit 10.8 of Northeast Bancorp's Current Report on Form 8-K filed on January 5, 2011).</w:t>
      </w:r>
    </w:p>
    <w:p>
      <w:pPr>
        <w:spacing w:after="0" w:line="180" w:lineRule="exact"/>
        <w:rPr>
          <w:sz w:val="20"/>
          <w:szCs w:val="20"/>
          <w:color w:val="auto"/>
        </w:rPr>
      </w:pPr>
    </w:p>
    <w:p>
      <w:pPr>
        <w:ind w:left="2160" w:right="160" w:hanging="590"/>
        <w:spacing w:after="0" w:line="275" w:lineRule="auto"/>
        <w:rPr>
          <w:sz w:val="20"/>
          <w:szCs w:val="20"/>
          <w:color w:val="auto"/>
        </w:rPr>
      </w:pPr>
      <w:r>
        <w:rPr>
          <w:rFonts w:ascii="Arial" w:cs="Arial" w:eastAsia="Arial" w:hAnsi="Arial"/>
          <w:sz w:val="18"/>
          <w:szCs w:val="18"/>
          <w:color w:val="auto"/>
        </w:rPr>
        <w:t>10.11+ Non-Qualified Performance-Based Stock Option Agreement, dated March 22, 2013, by and between Northeast Bancorp and Heather Campion (incorporated by reference to Exhibit 10.3 of Northeast Bancorp's Current Report on Form 8-K filed on March 26, 2013).</w:t>
      </w:r>
    </w:p>
    <w:p>
      <w:pPr>
        <w:spacing w:after="0" w:line="180" w:lineRule="exact"/>
        <w:rPr>
          <w:sz w:val="20"/>
          <w:szCs w:val="20"/>
          <w:color w:val="auto"/>
        </w:rPr>
      </w:pPr>
    </w:p>
    <w:p>
      <w:pPr>
        <w:ind w:left="2160" w:hanging="597"/>
        <w:spacing w:after="0" w:line="275" w:lineRule="auto"/>
        <w:rPr>
          <w:sz w:val="20"/>
          <w:szCs w:val="20"/>
          <w:color w:val="auto"/>
        </w:rPr>
      </w:pPr>
      <w:r>
        <w:rPr>
          <w:rFonts w:ascii="Arial" w:cs="Arial" w:eastAsia="Arial" w:hAnsi="Arial"/>
          <w:sz w:val="18"/>
          <w:szCs w:val="18"/>
          <w:color w:val="auto"/>
        </w:rPr>
        <w:t>10.12+ Non-Qualified Stock Option Agreement, dated December 30, 2010, by and between Northeast Bancorp and Robert Glauber (incorporated by reference to Exhibit 10.11 of Northeast Bancorp's Current Report on Form 8-K filed on January 5, 2011).</w:t>
      </w:r>
    </w:p>
    <w:p>
      <w:pPr>
        <w:spacing w:after="0" w:line="180" w:lineRule="exact"/>
        <w:rPr>
          <w:sz w:val="20"/>
          <w:szCs w:val="20"/>
          <w:color w:val="auto"/>
        </w:rPr>
      </w:pPr>
    </w:p>
    <w:p>
      <w:pPr>
        <w:ind w:left="2160" w:right="20" w:hanging="597"/>
        <w:spacing w:after="0" w:line="275" w:lineRule="auto"/>
        <w:rPr>
          <w:sz w:val="20"/>
          <w:szCs w:val="20"/>
          <w:color w:val="auto"/>
        </w:rPr>
      </w:pPr>
      <w:r>
        <w:rPr>
          <w:rFonts w:ascii="Arial" w:cs="Arial" w:eastAsia="Arial" w:hAnsi="Arial"/>
          <w:sz w:val="18"/>
          <w:szCs w:val="18"/>
          <w:color w:val="auto"/>
        </w:rPr>
        <w:t>10.13+ Amended and Restated Performance-Based Stock Appreciation Rights Agreement, dated March 24, 2011, by and between Northeast Bancorp and Matthew Botein (incorporated by reference to Exhibit 10.1 of Northeast Bancorp's Current Report on Form 8-K filed on March 30, 2011).</w:t>
      </w:r>
    </w:p>
    <w:p>
      <w:pPr>
        <w:spacing w:after="0" w:line="180" w:lineRule="exact"/>
        <w:rPr>
          <w:sz w:val="20"/>
          <w:szCs w:val="20"/>
          <w:color w:val="auto"/>
        </w:rPr>
      </w:pPr>
    </w:p>
    <w:p>
      <w:pPr>
        <w:ind w:left="2160" w:right="80" w:hanging="597"/>
        <w:spacing w:after="0" w:line="275" w:lineRule="auto"/>
        <w:rPr>
          <w:sz w:val="20"/>
          <w:szCs w:val="20"/>
          <w:color w:val="auto"/>
        </w:rPr>
      </w:pPr>
      <w:r>
        <w:rPr>
          <w:rFonts w:ascii="Arial" w:cs="Arial" w:eastAsia="Arial" w:hAnsi="Arial"/>
          <w:sz w:val="18"/>
          <w:szCs w:val="18"/>
          <w:color w:val="auto"/>
        </w:rPr>
        <w:t>10.14+ Non-Qualified Time-Based Stock Option Agreement, dated March 24, 2011, by and between Northeast Bancorp and Matthew Botein (incorporated by reference to Exhibit 10.2 of Northeast Bancorp's Current Report on Form 8-K filed on March 30, 2011).</w:t>
      </w:r>
    </w:p>
    <w:p>
      <w:pPr>
        <w:spacing w:after="0" w:line="180" w:lineRule="exact"/>
        <w:rPr>
          <w:sz w:val="20"/>
          <w:szCs w:val="20"/>
          <w:color w:val="auto"/>
        </w:rPr>
      </w:pPr>
    </w:p>
    <w:p>
      <w:pPr>
        <w:ind w:left="2160" w:right="60" w:hanging="597"/>
        <w:spacing w:after="0" w:line="275" w:lineRule="auto"/>
        <w:rPr>
          <w:sz w:val="20"/>
          <w:szCs w:val="20"/>
          <w:color w:val="auto"/>
        </w:rPr>
      </w:pPr>
      <w:r>
        <w:rPr>
          <w:rFonts w:ascii="Arial" w:cs="Arial" w:eastAsia="Arial" w:hAnsi="Arial"/>
          <w:sz w:val="18"/>
          <w:szCs w:val="18"/>
          <w:color w:val="auto"/>
        </w:rPr>
        <w:t>10.15+ Non-Qualified Performance-Based Stock Option Agreement, dated March 24, 2011, by and between Northeast Bancorp and Matthew Botein (incorporated by reference to Exhibit 10.3 of Northeast Bancorp's Current Report on Form 8-K filed on March 30, 2011).</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21*  Subsidiaries of Northeast Bancorp</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23.1*  Consent of Ernst &amp; Young LLP</w:t>
      </w:r>
    </w:p>
    <w:p>
      <w:pPr>
        <w:spacing w:after="0" w:line="252" w:lineRule="exact"/>
        <w:rPr>
          <w:sz w:val="20"/>
          <w:szCs w:val="20"/>
          <w:color w:val="auto"/>
        </w:rPr>
      </w:pPr>
    </w:p>
    <w:p>
      <w:pPr>
        <w:ind w:left="2160" w:right="259" w:hanging="509"/>
        <w:spacing w:after="0" w:line="299" w:lineRule="auto"/>
        <w:rPr>
          <w:sz w:val="20"/>
          <w:szCs w:val="20"/>
          <w:color w:val="auto"/>
        </w:rPr>
      </w:pPr>
      <w:r>
        <w:rPr>
          <w:rFonts w:ascii="Arial" w:cs="Arial" w:eastAsia="Arial" w:hAnsi="Arial"/>
          <w:sz w:val="18"/>
          <w:szCs w:val="18"/>
          <w:color w:val="auto"/>
        </w:rPr>
        <w:t>31.1* Rule 13a-14(a)/15d-14(a) Certification of the Chief Executive Officer pursuant to Section 302 of the Sarbanes-Oxley Act of 2002.</w:t>
      </w:r>
    </w:p>
    <w:p>
      <w:pPr>
        <w:spacing w:after="0" w:line="160" w:lineRule="exact"/>
        <w:rPr>
          <w:sz w:val="20"/>
          <w:szCs w:val="20"/>
          <w:color w:val="auto"/>
        </w:rPr>
      </w:pPr>
    </w:p>
    <w:p>
      <w:pPr>
        <w:ind w:left="2160" w:right="299" w:hanging="509"/>
        <w:spacing w:after="0" w:line="299" w:lineRule="auto"/>
        <w:rPr>
          <w:sz w:val="20"/>
          <w:szCs w:val="20"/>
          <w:color w:val="auto"/>
        </w:rPr>
      </w:pPr>
      <w:r>
        <w:rPr>
          <w:rFonts w:ascii="Arial" w:cs="Arial" w:eastAsia="Arial" w:hAnsi="Arial"/>
          <w:sz w:val="18"/>
          <w:szCs w:val="18"/>
          <w:color w:val="auto"/>
        </w:rPr>
        <w:t>31.2* Rule 13a-14(a)/15d-14(a) Certification of the Chief Financial Officer pursuant to Section 302 of the Sarbanes-Oxley Act of 2002.</w:t>
      </w:r>
    </w:p>
    <w:p>
      <w:pPr>
        <w:spacing w:after="0" w:line="16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32.1** Rule 13a-14(b) Certifications of the Chief Executive Officer and Chief Financial Officer Pursuant to Section 906</w:t>
      </w:r>
    </w:p>
    <w:p>
      <w:pPr>
        <w:spacing w:after="0" w:line="42"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53"/>
        </w:trPr>
        <w:tc>
          <w:tcPr>
            <w:tcW w:w="900" w:type="dxa"/>
            <w:vAlign w:val="bottom"/>
          </w:tcPr>
          <w:p>
            <w:pPr>
              <w:jc w:val="right"/>
              <w:ind w:right="12"/>
              <w:spacing w:after="0"/>
              <w:rPr>
                <w:sz w:val="20"/>
                <w:szCs w:val="20"/>
                <w:color w:val="auto"/>
              </w:rPr>
            </w:pPr>
            <w:r>
              <w:rPr>
                <w:rFonts w:ascii="Arial" w:cs="Arial" w:eastAsia="Arial" w:hAnsi="Arial"/>
                <w:sz w:val="18"/>
                <w:szCs w:val="18"/>
                <w:color w:val="auto"/>
              </w:rPr>
              <w:t>101.INS</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59"/>
        </w:trPr>
        <w:tc>
          <w:tcPr>
            <w:tcW w:w="900" w:type="dxa"/>
            <w:vAlign w:val="bottom"/>
          </w:tcPr>
          <w:p>
            <w:pPr>
              <w:jc w:val="right"/>
              <w:ind w:right="12"/>
              <w:spacing w:after="0"/>
              <w:rPr>
                <w:sz w:val="20"/>
                <w:szCs w:val="20"/>
                <w:color w:val="auto"/>
              </w:rPr>
            </w:pPr>
            <w:r>
              <w:rPr>
                <w:rFonts w:ascii="Arial" w:cs="Arial" w:eastAsia="Arial" w:hAnsi="Arial"/>
                <w:sz w:val="18"/>
                <w:szCs w:val="18"/>
                <w:color w:val="auto"/>
              </w:rPr>
              <w:t>101.SCH</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900" w:type="dxa"/>
            <w:vAlign w:val="bottom"/>
          </w:tcPr>
          <w:p>
            <w:pPr>
              <w:jc w:val="right"/>
              <w:ind w:right="12"/>
              <w:spacing w:after="0"/>
              <w:rPr>
                <w:sz w:val="20"/>
                <w:szCs w:val="20"/>
                <w:color w:val="auto"/>
              </w:rPr>
            </w:pPr>
            <w:r>
              <w:rPr>
                <w:rFonts w:ascii="Arial" w:cs="Arial" w:eastAsia="Arial" w:hAnsi="Arial"/>
                <w:sz w:val="18"/>
                <w:szCs w:val="18"/>
                <w:color w:val="auto"/>
              </w:rPr>
              <w:t>101.CAL</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459"/>
        </w:trPr>
        <w:tc>
          <w:tcPr>
            <w:tcW w:w="900" w:type="dxa"/>
            <w:vAlign w:val="bottom"/>
          </w:tcPr>
          <w:p>
            <w:pPr>
              <w:jc w:val="right"/>
              <w:ind w:right="12"/>
              <w:spacing w:after="0"/>
              <w:rPr>
                <w:sz w:val="20"/>
                <w:szCs w:val="20"/>
                <w:color w:val="auto"/>
              </w:rPr>
            </w:pPr>
            <w:r>
              <w:rPr>
                <w:rFonts w:ascii="Arial" w:cs="Arial" w:eastAsia="Arial" w:hAnsi="Arial"/>
                <w:sz w:val="18"/>
                <w:szCs w:val="18"/>
                <w:color w:val="auto"/>
              </w:rPr>
              <w:t>101.DEF</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459"/>
        </w:trPr>
        <w:tc>
          <w:tcPr>
            <w:tcW w:w="900" w:type="dxa"/>
            <w:vAlign w:val="bottom"/>
          </w:tcPr>
          <w:p>
            <w:pPr>
              <w:jc w:val="right"/>
              <w:ind w:right="12"/>
              <w:spacing w:after="0"/>
              <w:rPr>
                <w:sz w:val="20"/>
                <w:szCs w:val="20"/>
                <w:color w:val="auto"/>
              </w:rPr>
            </w:pPr>
            <w:r>
              <w:rPr>
                <w:rFonts w:ascii="Arial" w:cs="Arial" w:eastAsia="Arial" w:hAnsi="Arial"/>
                <w:sz w:val="18"/>
                <w:szCs w:val="18"/>
                <w:color w:val="auto"/>
              </w:rPr>
              <w:t>101.LAB</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900" w:type="dxa"/>
            <w:vAlign w:val="bottom"/>
          </w:tcPr>
          <w:p>
            <w:pPr>
              <w:jc w:val="right"/>
              <w:ind w:right="12"/>
              <w:spacing w:after="0"/>
              <w:rPr>
                <w:sz w:val="20"/>
                <w:szCs w:val="20"/>
                <w:color w:val="auto"/>
              </w:rPr>
            </w:pPr>
            <w:r>
              <w:rPr>
                <w:rFonts w:ascii="Arial" w:cs="Arial" w:eastAsia="Arial" w:hAnsi="Arial"/>
                <w:sz w:val="18"/>
                <w:szCs w:val="18"/>
                <w:color w:val="auto"/>
              </w:rPr>
              <w:t>101.PRE</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110"/>
        </w:trPr>
        <w:tc>
          <w:tcPr>
            <w:tcW w:w="9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9" w:lineRule="exact"/>
        <w:rPr>
          <w:sz w:val="20"/>
          <w:szCs w:val="20"/>
          <w:color w:val="auto"/>
        </w:rPr>
      </w:pPr>
    </w:p>
    <w:p>
      <w:pPr>
        <w:ind w:left="5580" w:right="4379" w:hanging="4431"/>
        <w:spacing w:after="0" w:line="670" w:lineRule="auto"/>
        <w:tabs>
          <w:tab w:leader="none" w:pos="1687"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Management contract or compensatory plan or agreement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NORTHEAST BANCORP</w:t>
      </w:r>
    </w:p>
    <w:p>
      <w:pPr>
        <w:spacing w:after="0" w:line="252" w:lineRule="exact"/>
        <w:rPr>
          <w:sz w:val="20"/>
          <w:szCs w:val="20"/>
          <w:color w:val="auto"/>
        </w:rPr>
      </w:pPr>
    </w:p>
    <w:p>
      <w:pPr>
        <w:ind w:left="1140"/>
        <w:spacing w:after="0"/>
        <w:tabs>
          <w:tab w:leader="none" w:pos="5680" w:val="left"/>
          <w:tab w:leader="none" w:pos="7340" w:val="left"/>
        </w:tabs>
        <w:rPr>
          <w:sz w:val="20"/>
          <w:szCs w:val="20"/>
          <w:color w:val="auto"/>
        </w:rPr>
      </w:pPr>
      <w:r>
        <w:rPr>
          <w:rFonts w:ascii="Arial" w:cs="Arial" w:eastAsia="Arial" w:hAnsi="Arial"/>
          <w:sz w:val="18"/>
          <w:szCs w:val="18"/>
          <w:color w:val="auto"/>
        </w:rPr>
        <w:t>Date: September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Richard Wayne</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RICHARD WAYNE</w:t>
            </w:r>
          </w:p>
        </w:tc>
        <w:tc>
          <w:tcPr>
            <w:tcW w:w="3780" w:type="dxa"/>
            <w:vAlign w:val="bottom"/>
          </w:tcPr>
          <w:p>
            <w:pPr>
              <w:ind w:left="160"/>
              <w:spacing w:after="0"/>
              <w:rPr>
                <w:sz w:val="20"/>
                <w:szCs w:val="20"/>
                <w:color w:val="auto"/>
              </w:rPr>
            </w:pPr>
            <w:r>
              <w:rPr>
                <w:rFonts w:ascii="Arial" w:cs="Arial" w:eastAsia="Arial" w:hAnsi="Arial"/>
                <w:sz w:val="18"/>
                <w:szCs w:val="18"/>
                <w:color w:val="auto"/>
                <w:w w:val="98"/>
              </w:rPr>
              <w:t>Chief Executive Officer and Director (Principal</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29,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Executive Officer)</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Richard Wayne</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4"/>
              </w:rPr>
              <w:t>/s/ CLAIRE S. BEAN</w:t>
            </w:r>
          </w:p>
        </w:tc>
        <w:tc>
          <w:tcPr>
            <w:tcW w:w="3780" w:type="dxa"/>
            <w:vAlign w:val="bottom"/>
          </w:tcPr>
          <w:p>
            <w:pPr>
              <w:ind w:left="160"/>
              <w:spacing w:after="0"/>
              <w:rPr>
                <w:sz w:val="20"/>
                <w:szCs w:val="20"/>
                <w:color w:val="auto"/>
              </w:rPr>
            </w:pPr>
            <w:r>
              <w:rPr>
                <w:rFonts w:ascii="Arial" w:cs="Arial" w:eastAsia="Arial" w:hAnsi="Arial"/>
                <w:sz w:val="18"/>
                <w:szCs w:val="18"/>
                <w:color w:val="auto"/>
              </w:rPr>
              <w:t>Chief Financial Officer and Chief Operating</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29,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Officer (Principal Financial Officer and</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Claire S. Bean</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Principal Accounting Officer)</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ROBERT GLAUBER</w:t>
            </w:r>
          </w:p>
        </w:tc>
        <w:tc>
          <w:tcPr>
            <w:tcW w:w="3780" w:type="dxa"/>
            <w:vAlign w:val="bottom"/>
          </w:tcPr>
          <w:p>
            <w:pPr>
              <w:ind w:left="160"/>
              <w:spacing w:after="0"/>
              <w:rPr>
                <w:sz w:val="20"/>
                <w:szCs w:val="20"/>
                <w:color w:val="auto"/>
              </w:rPr>
            </w:pPr>
            <w:r>
              <w:rPr>
                <w:rFonts w:ascii="Arial" w:cs="Arial" w:eastAsia="Arial" w:hAnsi="Arial"/>
                <w:sz w:val="18"/>
                <w:szCs w:val="18"/>
                <w:color w:val="auto"/>
              </w:rPr>
              <w:t>Chairman of the Board</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29,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Robert Glauber</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/s/ MATTHEW BOTEIN</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29,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Matthew Botein</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CHERYL DORSEY</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29,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Cheryl Dorsey</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PETER MCCLEAN</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29,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Peter McClean</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/s/ JOHN C. ORESTIS</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29,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John C. Orestis</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80" w:type="dxa"/>
            <w:vAlign w:val="bottom"/>
          </w:tcPr>
          <w:p>
            <w:pPr>
              <w:ind w:left="1020"/>
              <w:spacing w:after="0"/>
              <w:rPr>
                <w:sz w:val="20"/>
                <w:szCs w:val="20"/>
                <w:color w:val="auto"/>
              </w:rPr>
            </w:pPr>
            <w:r>
              <w:rPr>
                <w:rFonts w:ascii="Arial" w:cs="Arial" w:eastAsia="Arial" w:hAnsi="Arial"/>
                <w:sz w:val="18"/>
                <w:szCs w:val="18"/>
                <w:color w:val="auto"/>
              </w:rPr>
              <w:t>124</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ADAM SHAPIRO</w:t>
            </w:r>
          </w:p>
        </w:tc>
        <w:tc>
          <w:tcPr>
            <w:tcW w:w="88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59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Adam Shapiro</w:t>
            </w:r>
          </w:p>
        </w:tc>
        <w:tc>
          <w:tcPr>
            <w:tcW w:w="8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5980" w:type="dxa"/>
            <w:vAlign w:val="bottom"/>
          </w:tcPr>
          <w:p>
            <w:pPr>
              <w:ind w:left="3140"/>
              <w:spacing w:after="0"/>
              <w:rPr>
                <w:sz w:val="20"/>
                <w:szCs w:val="20"/>
                <w:color w:val="auto"/>
              </w:rPr>
            </w:pPr>
            <w:r>
              <w:rPr>
                <w:rFonts w:ascii="Arial" w:cs="Arial" w:eastAsia="Arial" w:hAnsi="Arial"/>
                <w:sz w:val="18"/>
                <w:szCs w:val="18"/>
                <w:color w:val="auto"/>
              </w:rPr>
              <w:t>September 29, 2014</w:t>
            </w: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DAVID TANNER</w:t>
            </w:r>
          </w:p>
        </w:tc>
        <w:tc>
          <w:tcPr>
            <w:tcW w:w="88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59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8"/>
              </w:rPr>
              <w:t>David Tanner</w:t>
            </w:r>
          </w:p>
        </w:tc>
        <w:tc>
          <w:tcPr>
            <w:tcW w:w="8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5980" w:type="dxa"/>
            <w:vAlign w:val="bottom"/>
          </w:tcPr>
          <w:p>
            <w:pPr>
              <w:ind w:left="3140"/>
              <w:spacing w:after="0"/>
              <w:rPr>
                <w:sz w:val="20"/>
                <w:szCs w:val="20"/>
                <w:color w:val="auto"/>
              </w:rPr>
            </w:pPr>
            <w:r>
              <w:rPr>
                <w:rFonts w:ascii="Arial" w:cs="Arial" w:eastAsia="Arial" w:hAnsi="Arial"/>
                <w:sz w:val="18"/>
                <w:szCs w:val="18"/>
                <w:color w:val="auto"/>
              </w:rPr>
              <w:t>September 29, 2014</w:t>
            </w: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JUDITH E. WALLINGFORD</w:t>
            </w:r>
          </w:p>
        </w:tc>
        <w:tc>
          <w:tcPr>
            <w:tcW w:w="88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59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Judith E. Wallingford</w:t>
            </w:r>
          </w:p>
        </w:tc>
        <w:tc>
          <w:tcPr>
            <w:tcW w:w="8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5980" w:type="dxa"/>
            <w:vAlign w:val="bottom"/>
          </w:tcPr>
          <w:p>
            <w:pPr>
              <w:ind w:left="3140"/>
              <w:spacing w:after="0"/>
              <w:rPr>
                <w:sz w:val="20"/>
                <w:szCs w:val="20"/>
                <w:color w:val="auto"/>
              </w:rPr>
            </w:pPr>
            <w:r>
              <w:rPr>
                <w:rFonts w:ascii="Arial" w:cs="Arial" w:eastAsia="Arial" w:hAnsi="Arial"/>
                <w:sz w:val="18"/>
                <w:szCs w:val="18"/>
                <w:color w:val="auto"/>
              </w:rPr>
              <w:t>September 29, 2014</w:t>
            </w: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80" w:type="dxa"/>
            <w:vAlign w:val="bottom"/>
          </w:tcPr>
          <w:p>
            <w:pPr>
              <w:jc w:val="right"/>
              <w:ind w:right="5492"/>
              <w:spacing w:after="0"/>
              <w:rPr>
                <w:sz w:val="20"/>
                <w:szCs w:val="20"/>
                <w:color w:val="auto"/>
              </w:rPr>
            </w:pPr>
            <w:r>
              <w:rPr>
                <w:rFonts w:ascii="Arial" w:cs="Arial" w:eastAsia="Arial" w:hAnsi="Arial"/>
                <w:sz w:val="18"/>
                <w:szCs w:val="18"/>
                <w:color w:val="auto"/>
              </w:rPr>
              <w:t>125</w:t>
            </w: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Registrant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2"/>
                <w:szCs w:val="12"/>
                <w:color w:val="auto"/>
              </w:rPr>
            </w:pPr>
          </w:p>
        </w:tc>
        <w:tc>
          <w:tcPr>
            <w:tcW w:w="20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of Voting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89"/>
              </w:rPr>
              <w:t>Jurisdiction of</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160" w:type="dxa"/>
            <w:vAlign w:val="bottom"/>
          </w:tcPr>
          <w:p>
            <w:pPr>
              <w:spacing w:after="0"/>
              <w:rPr>
                <w:sz w:val="12"/>
                <w:szCs w:val="12"/>
                <w:color w:val="auto"/>
              </w:rPr>
            </w:pPr>
          </w:p>
        </w:tc>
        <w:tc>
          <w:tcPr>
            <w:tcW w:w="20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61"/>
        </w:trPr>
        <w:tc>
          <w:tcPr>
            <w:tcW w:w="73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of Subsidiary</w:t>
            </w: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w w:val="93"/>
              </w:rPr>
              <w:t>Incorporation</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or Formed</w:t>
            </w:r>
          </w:p>
        </w:tc>
        <w:tc>
          <w:tcPr>
            <w:tcW w:w="160" w:type="dxa"/>
            <w:vAlign w:val="bottom"/>
          </w:tcPr>
          <w:p>
            <w:pPr>
              <w:spacing w:after="0"/>
              <w:rPr>
                <w:sz w:val="14"/>
                <w:szCs w:val="14"/>
                <w:color w:val="auto"/>
              </w:rPr>
            </w:pPr>
          </w:p>
        </w:tc>
        <w:tc>
          <w:tcPr>
            <w:tcW w:w="20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 Data Services, Inc.</w:t>
            </w:r>
          </w:p>
        </w:tc>
        <w:tc>
          <w:tcPr>
            <w:tcW w:w="9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5"/>
              </w:rPr>
              <w:t>Maine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9"/>
              </w:rPr>
              <w:t>Northeast Bank (and its 100% owned subsidiaries: Northeast Bank Insurance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Group, Inc.; 200 Elm Realty, LLC; 500 Pine Realty, LLC; 17 Dogwood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Realty, LLC)</w:t>
            </w:r>
          </w:p>
        </w:tc>
        <w:tc>
          <w:tcPr>
            <w:tcW w:w="920" w:type="dxa"/>
            <w:vAlign w:val="bottom"/>
          </w:tcPr>
          <w:p>
            <w:pPr>
              <w:ind w:left="480"/>
              <w:spacing w:after="0"/>
              <w:rPr>
                <w:sz w:val="20"/>
                <w:szCs w:val="20"/>
                <w:color w:val="auto"/>
              </w:rPr>
            </w:pPr>
            <w:r>
              <w:rPr>
                <w:rFonts w:ascii="Arial" w:cs="Arial" w:eastAsia="Arial" w:hAnsi="Arial"/>
                <w:sz w:val="18"/>
                <w:szCs w:val="18"/>
                <w:color w:val="auto"/>
                <w:w w:val="85"/>
              </w:rPr>
              <w:t>Maine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1987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center"/>
        <w:ind w:right="8379"/>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 21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28">
        <w:r>
          <w:rPr>
            <w:rFonts w:ascii="Arial" w:cs="Arial" w:eastAsia="Arial" w:hAnsi="Arial"/>
            <w:sz w:val="15"/>
            <w:szCs w:val="15"/>
            <w:u w:val="single" w:color="auto"/>
            <w:color w:val="0000EE"/>
          </w:rPr>
          <w:t>Subsidiaries of Registrant</w:t>
        </w:r>
      </w:hyperlink>
    </w:p>
    <w:p>
      <w:pPr>
        <w:sectPr>
          <w:pgSz w:w="11900" w:h="16838" w:orient="portrait"/>
          <w:cols w:equalWidth="0" w:num="1">
            <w:col w:w="10219"/>
          </w:cols>
          <w:pgMar w:left="240" w:top="820" w:right="1440" w:bottom="1440" w:gutter="0" w:footer="0" w:header="0"/>
        </w:sectPr>
      </w:pPr>
    </w:p>
    <w:bookmarkStart w:id="129" w:name="page130"/>
    <w:bookmarkEnd w:id="129"/>
    <w:p>
      <w:pPr>
        <w:spacing w:after="0"/>
        <w:rPr>
          <w:rFonts w:ascii="Arial" w:cs="Arial" w:eastAsia="Arial" w:hAnsi="Arial"/>
          <w:sz w:val="22"/>
          <w:szCs w:val="22"/>
          <w:color w:val="0000EE"/>
        </w:rPr>
      </w:pPr>
      <w:hyperlink w:anchor="page1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Nos. 333-135452, 333-171466 and 333-186356) of Northeast Bancorp of our report dated September 29, 2014, with respect to the consolidated financial statements of Northeast Bancorp and subsidiary, included in this Annual Report (Form 10-K) for the year ended June 30, 2014.</w:t>
      </w:r>
    </w:p>
    <w:p>
      <w:pPr>
        <w:spacing w:after="0" w:line="19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31" w:name="page132"/>
    <w:bookmarkEnd w:id="131"/>
    <w:p>
      <w:pPr>
        <w:spacing w:after="0"/>
        <w:rPr>
          <w:rFonts w:ascii="Arial" w:cs="Arial" w:eastAsia="Arial" w:hAnsi="Arial"/>
          <w:sz w:val="22"/>
          <w:szCs w:val="22"/>
          <w:color w:val="0000EE"/>
        </w:rPr>
      </w:pPr>
      <w:hyperlink w:anchor="page1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39"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5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207" w:lineRule="exact"/>
        <w:rPr>
          <w:rFonts w:ascii="Arial" w:cs="Arial" w:eastAsia="Arial" w:hAnsi="Arial"/>
          <w:sz w:val="18"/>
          <w:szCs w:val="18"/>
          <w:color w:val="auto"/>
        </w:rPr>
      </w:pPr>
    </w:p>
    <w:p>
      <w:pPr>
        <w:ind w:left="540" w:right="580" w:hanging="532"/>
        <w:spacing w:after="0" w:line="33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September 29, 2014</w:t>
      </w:r>
      <w:r>
        <w:rPr>
          <w:sz w:val="20"/>
          <w:szCs w:val="20"/>
          <w:color w:val="auto"/>
        </w:rPr>
        <w:tab/>
      </w:r>
      <w:r>
        <w:rPr>
          <w:rFonts w:ascii="Arial" w:cs="Arial" w:eastAsia="Arial" w:hAnsi="Arial"/>
          <w:sz w:val="16"/>
          <w:szCs w:val="16"/>
          <w:color w:val="auto"/>
        </w:rPr>
        <w:t>/s/ 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Richard Wayne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32">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33" w:name="page134"/>
    <w:bookmarkEnd w:id="133"/>
    <w:p>
      <w:pPr>
        <w:spacing w:after="0"/>
        <w:rPr>
          <w:rFonts w:ascii="Arial" w:cs="Arial" w:eastAsia="Arial" w:hAnsi="Arial"/>
          <w:sz w:val="22"/>
          <w:szCs w:val="22"/>
          <w:color w:val="0000EE"/>
        </w:rPr>
      </w:pPr>
      <w:hyperlink w:anchor="page1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Claire Bean, certify that:</w:t>
      </w:r>
    </w:p>
    <w:p>
      <w:pPr>
        <w:spacing w:after="0" w:line="239"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5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207" w:lineRule="exact"/>
        <w:rPr>
          <w:rFonts w:ascii="Arial" w:cs="Arial" w:eastAsia="Arial" w:hAnsi="Arial"/>
          <w:sz w:val="18"/>
          <w:szCs w:val="18"/>
          <w:color w:val="auto"/>
        </w:rPr>
      </w:pPr>
    </w:p>
    <w:p>
      <w:pPr>
        <w:ind w:left="540" w:right="580" w:hanging="532"/>
        <w:spacing w:after="0" w:line="33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September 29, 2014</w:t>
      </w:r>
      <w:r>
        <w:rPr>
          <w:sz w:val="20"/>
          <w:szCs w:val="20"/>
          <w:color w:val="auto"/>
        </w:rPr>
        <w:tab/>
      </w:r>
      <w:r>
        <w:rPr>
          <w:rFonts w:ascii="Arial" w:cs="Arial" w:eastAsia="Arial" w:hAnsi="Arial"/>
          <w:sz w:val="16"/>
          <w:szCs w:val="16"/>
          <w:color w:val="auto"/>
        </w:rPr>
        <w:t>/s/ CLAIRE S.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62230</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Claire Bean</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34">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35" w:name="page136"/>
    <w:bookmarkEnd w:id="135"/>
    <w:p>
      <w:pPr>
        <w:spacing w:after="0"/>
        <w:rPr>
          <w:rFonts w:ascii="Arial" w:cs="Arial" w:eastAsia="Arial" w:hAnsi="Arial"/>
          <w:sz w:val="22"/>
          <w:szCs w:val="22"/>
          <w:color w:val="0000EE"/>
        </w:rPr>
      </w:pPr>
      <w:hyperlink w:anchor="page1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13a-14(b) and 18 U.S.C. Section 1350</w:t>
      </w:r>
    </w:p>
    <w:p>
      <w:pPr>
        <w:spacing w:after="0" w:line="21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connection with the report of Northeast Bancorp (the "Company") on Form 10-K for the annual period ending June 30, 2014 as filed with the Securities and Exchange Commission on the date hereof (the "Report"), each of the undersigned officers of the Company hereby certify, pursuant to Exchange Act Rule 13a-14(b) and 18 U.S.C. 1350, that to the best of such officer's knowledge:</w:t>
      </w:r>
    </w:p>
    <w:p>
      <w:pPr>
        <w:spacing w:after="0" w:line="194" w:lineRule="exact"/>
        <w:rPr>
          <w:sz w:val="20"/>
          <w:szCs w:val="20"/>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firstLine="359"/>
        <w:spacing w:after="0" w:line="268" w:lineRule="auto"/>
        <w:tabs>
          <w:tab w:leader="none" w:pos="12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86"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September 29, 2014</w:t>
      </w:r>
      <w:r>
        <w:rPr>
          <w:sz w:val="20"/>
          <w:szCs w:val="20"/>
          <w:color w:val="auto"/>
        </w:rPr>
        <w:tab/>
      </w:r>
      <w:r>
        <w:rPr>
          <w:rFonts w:ascii="Arial" w:cs="Arial" w:eastAsia="Arial" w:hAnsi="Arial"/>
          <w:sz w:val="16"/>
          <w:szCs w:val="16"/>
          <w:color w:val="auto"/>
        </w:rPr>
        <w:t>/s/ 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71120</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Wayne</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24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CLAIRE S.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71120</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Claire Bean</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6">
        <w:r>
          <w:rPr>
            <w:rFonts w:ascii="Arial" w:cs="Arial" w:eastAsia="Arial" w:hAnsi="Arial"/>
            <w:sz w:val="16"/>
            <w:szCs w:val="16"/>
            <w:u w:val="single" w:color="auto"/>
            <w:color w:val="0000EE"/>
          </w:rPr>
          <w:t>Certification Pursuant to Exchange Act Rule 13a-14(b) and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Roman"/>
      <w:start w:val="1"/>
    </w:lvl>
  </w:abstractNum>
  <w:abstractNum w:abstractNumId="11">
    <w:nsid w:val="2CA88611"/>
    <w:multiLevelType w:val="hybridMultilevel"/>
    <w:lvl w:ilvl="0">
      <w:lvlJc w:val="left"/>
      <w:lvlText w:val="(%1)"/>
      <w:numFmt w:val="lowerRoman"/>
      <w:start w:val="4"/>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2"/>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2)"/>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lvl w:ilvl="1">
      <w:lvlJc w:val="left"/>
      <w:lvlText w:val="(%2)"/>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lowerLetter"/>
      <w:start w:val="3"/>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2019-12-06T00:10:35Z</dcterms:created>
  <dcterms:modified xsi:type="dcterms:W3CDTF">2019-12-06T00:10:35Z</dcterms:modified>
</cp:coreProperties>
</file>