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 (d)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1-14588</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Northeast Bancorp</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7"/>
              </w:rPr>
              <w:t>Maine</w:t>
            </w:r>
          </w:p>
        </w:tc>
        <w:tc>
          <w:tcPr>
            <w:tcW w:w="38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01-0425066</w:t>
            </w:r>
          </w:p>
        </w:tc>
      </w:tr>
      <w:tr>
        <w:trPr>
          <w:trHeight w:val="234"/>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8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548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500 Canal Street, Lewiston, Maine</w:t>
            </w:r>
          </w:p>
        </w:tc>
        <w:tc>
          <w:tcPr>
            <w:tcW w:w="38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04240</w:t>
            </w:r>
          </w:p>
        </w:tc>
      </w:tr>
      <w:tr>
        <w:trPr>
          <w:trHeight w:val="234"/>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8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(207) 786-3245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subjected to such filing requirements for the past 90 days. Yes x No 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76"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420"/>
          </w:cols>
          <w:pgMar w:left="240" w:top="229" w:right="239" w:bottom="0" w:gutter="0" w:footer="0" w:header="0"/>
        </w:sectPr>
      </w:pPr>
    </w:p>
    <w:p>
      <w:pPr>
        <w:spacing w:after="0" w:line="162"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color w:val="auto"/>
        </w:rPr>
        <w:t>Large accelerated filer 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200" w:lineRule="exact"/>
        <w:rPr>
          <w:sz w:val="24"/>
          <w:szCs w:val="24"/>
          <w:color w:val="auto"/>
        </w:rPr>
      </w:pPr>
    </w:p>
    <w:p>
      <w:pPr>
        <w:sectPr>
          <w:pgSz w:w="11900" w:h="16838" w:orient="portrait"/>
          <w:cols w:equalWidth="0" w:num="2">
            <w:col w:w="7220" w:space="720"/>
            <w:col w:w="3480"/>
          </w:cols>
          <w:pgMar w:left="240" w:top="229" w:right="239" w:bottom="0" w:gutter="0" w:footer="0" w:header="0"/>
          <w:type w:val="continuous"/>
        </w:sectPr>
      </w:pPr>
    </w:p>
    <w:p>
      <w:pPr>
        <w:spacing w:after="0" w:line="25"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 x</w:t>
      </w:r>
    </w:p>
    <w:p>
      <w:pPr>
        <w:spacing w:after="0" w:line="200" w:lineRule="exact"/>
        <w:rPr>
          <w:sz w:val="24"/>
          <w:szCs w:val="24"/>
          <w:color w:val="auto"/>
        </w:rPr>
      </w:pPr>
    </w:p>
    <w:p>
      <w:pPr>
        <w:sectPr>
          <w:pgSz w:w="11900" w:h="16838" w:orient="portrait"/>
          <w:cols w:equalWidth="0" w:num="2">
            <w:col w:w="6780" w:space="720"/>
            <w:col w:w="3920"/>
          </w:cols>
          <w:pgMar w:left="240" w:top="229" w:right="239" w:bottom="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by Rule 12b-2 of the Exchange Act). Yes o No x</w:t>
      </w:r>
    </w:p>
    <w:p>
      <w:pPr>
        <w:spacing w:after="0" w:line="225"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As of October 31, 2014, the registrant had outstanding 9,349,587 shares of voting common stock, $1.00 par value per share and 880,963 shares of non-voting common stock, $1.00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404495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4"/>
          <w:szCs w:val="24"/>
          <w:color w:val="auto"/>
        </w:rPr>
      </w:pPr>
    </w:p>
    <w:p>
      <w:pPr>
        <w:spacing w:after="0"/>
        <w:tabs>
          <w:tab w:leader="none" w:pos="1140" w:val="left"/>
        </w:tabs>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Part I.</w:t>
        </w:r>
      </w:hyperlink>
      <w:r>
        <w:rPr>
          <w:rFonts w:ascii="Times New Roman" w:cs="Times New Roman" w:eastAsia="Times New Roman" w:hAnsi="Times New Roman"/>
          <w:sz w:val="18"/>
          <w:szCs w:val="18"/>
          <w:b w:val="1"/>
          <w:bCs w:val="1"/>
          <w:u w:val="single" w:color="auto"/>
          <w:color w:val="0000EE"/>
        </w:rPr>
        <w:tab/>
      </w:r>
      <w:hyperlink w:anchor="page2">
        <w:r>
          <w:rPr>
            <w:rFonts w:ascii="Times New Roman" w:cs="Times New Roman" w:eastAsia="Times New Roman" w:hAnsi="Times New Roman"/>
            <w:sz w:val="18"/>
            <w:szCs w:val="18"/>
            <w:b w:val="1"/>
            <w:bCs w:val="1"/>
            <w:u w:val="single" w:color="auto"/>
            <w:color w:val="0000EE"/>
          </w:rPr>
          <w:t>Financial Information</w:t>
        </w:r>
      </w:hyperlink>
    </w:p>
    <w:p>
      <w:pPr>
        <w:spacing w:after="0" w:line="31" w:lineRule="exact"/>
        <w:rPr>
          <w:sz w:val="20"/>
          <w:szCs w:val="20"/>
          <w:color w:val="auto"/>
        </w:rPr>
      </w:pPr>
    </w:p>
    <w:p>
      <w:pPr>
        <w:ind w:left="1160"/>
        <w:spacing w:after="0"/>
        <w:tabs>
          <w:tab w:leader="none" w:pos="2400" w:val="left"/>
        </w:tabs>
        <w:rPr>
          <w:rFonts w:ascii="Times New Roman" w:cs="Times New Roman" w:eastAsia="Times New Roman" w:hAnsi="Times New Roman"/>
          <w:sz w:val="17"/>
          <w:szCs w:val="17"/>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Item 1.</w:t>
        </w:r>
      </w:hyperlink>
      <w:r>
        <w:rPr>
          <w:rFonts w:ascii="Times New Roman" w:cs="Times New Roman" w:eastAsia="Times New Roman" w:hAnsi="Times New Roman"/>
          <w:sz w:val="18"/>
          <w:szCs w:val="18"/>
          <w:b w:val="1"/>
          <w:bCs w:val="1"/>
          <w:u w:val="single" w:color="auto"/>
          <w:color w:val="0000EE"/>
        </w:rPr>
        <w:tab/>
      </w:r>
      <w:hyperlink w:anchor="page2">
        <w:r>
          <w:rPr>
            <w:rFonts w:ascii="Times New Roman" w:cs="Times New Roman" w:eastAsia="Times New Roman" w:hAnsi="Times New Roman"/>
            <w:sz w:val="17"/>
            <w:szCs w:val="17"/>
            <w:b w:val="1"/>
            <w:bCs w:val="1"/>
            <w:u w:val="single" w:color="auto"/>
            <w:color w:val="0000EE"/>
          </w:rPr>
          <w:t>Financial Statements (unaudited)</w:t>
        </w:r>
      </w:hyperlink>
    </w:p>
    <w:p>
      <w:pPr>
        <w:spacing w:after="0" w:line="9" w:lineRule="exact"/>
        <w:rPr>
          <w:sz w:val="20"/>
          <w:szCs w:val="20"/>
          <w:color w:val="auto"/>
        </w:rPr>
      </w:pPr>
    </w:p>
    <w:p>
      <w:pPr>
        <w:ind w:left="2420"/>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Consolidated Balance Sheets</w:t>
        </w:r>
      </w:hyperlink>
    </w:p>
    <w:p>
      <w:pPr>
        <w:spacing w:after="0" w:line="9" w:lineRule="exact"/>
        <w:rPr>
          <w:sz w:val="20"/>
          <w:szCs w:val="20"/>
          <w:color w:val="auto"/>
        </w:rPr>
      </w:pPr>
    </w:p>
    <w:p>
      <w:pPr>
        <w:ind w:left="2600"/>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September 30, 2014 and June 30, 2014</w:t>
        </w:r>
      </w:hyperlink>
    </w:p>
    <w:p>
      <w:pPr>
        <w:spacing w:after="0" w:line="203" w:lineRule="exact"/>
        <w:rPr>
          <w:sz w:val="20"/>
          <w:szCs w:val="20"/>
          <w:color w:val="auto"/>
        </w:rPr>
      </w:pPr>
    </w:p>
    <w:p>
      <w:pPr>
        <w:ind w:left="2420"/>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Consolidated Statements of Income</w:t>
        </w:r>
      </w:hyperlink>
    </w:p>
    <w:p>
      <w:pPr>
        <w:spacing w:after="0" w:line="31" w:lineRule="exact"/>
        <w:rPr>
          <w:sz w:val="20"/>
          <w:szCs w:val="20"/>
          <w:color w:val="auto"/>
        </w:rPr>
      </w:pPr>
    </w:p>
    <w:p>
      <w:pPr>
        <w:ind w:left="2600"/>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Three Months Ended September 30, 2014 and 2013</w:t>
        </w:r>
      </w:hyperlink>
    </w:p>
    <w:p>
      <w:pPr>
        <w:spacing w:after="0" w:line="203" w:lineRule="exact"/>
        <w:rPr>
          <w:sz w:val="20"/>
          <w:szCs w:val="20"/>
          <w:color w:val="auto"/>
        </w:rPr>
      </w:pPr>
    </w:p>
    <w:p>
      <w:pPr>
        <w:ind w:left="2420"/>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Consolidated Statements of Comprehensive Income</w:t>
        </w:r>
      </w:hyperlink>
    </w:p>
    <w:p>
      <w:pPr>
        <w:spacing w:after="0" w:line="31" w:lineRule="exact"/>
        <w:rPr>
          <w:sz w:val="20"/>
          <w:szCs w:val="20"/>
          <w:color w:val="auto"/>
        </w:rPr>
      </w:pPr>
    </w:p>
    <w:p>
      <w:pPr>
        <w:ind w:left="2600"/>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Three Months Ended September 30, 2014 and 2013</w:t>
        </w:r>
      </w:hyperlink>
    </w:p>
    <w:p>
      <w:pPr>
        <w:spacing w:after="0" w:line="203" w:lineRule="exact"/>
        <w:rPr>
          <w:sz w:val="20"/>
          <w:szCs w:val="20"/>
          <w:color w:val="auto"/>
        </w:rPr>
      </w:pPr>
    </w:p>
    <w:p>
      <w:pPr>
        <w:ind w:left="2420"/>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Consolidated Statements of Changes in Shareholders’ Equity</w:t>
        </w:r>
      </w:hyperlink>
    </w:p>
    <w:p>
      <w:pPr>
        <w:spacing w:after="0" w:line="31" w:lineRule="exact"/>
        <w:rPr>
          <w:sz w:val="20"/>
          <w:szCs w:val="20"/>
          <w:color w:val="auto"/>
        </w:rPr>
      </w:pPr>
    </w:p>
    <w:p>
      <w:pPr>
        <w:ind w:left="2600"/>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Three Months Ended September 30, 2014 and 2013</w:t>
        </w:r>
      </w:hyperlink>
    </w:p>
    <w:p>
      <w:pPr>
        <w:spacing w:after="0" w:line="203" w:lineRule="exact"/>
        <w:rPr>
          <w:sz w:val="20"/>
          <w:szCs w:val="20"/>
          <w:color w:val="auto"/>
        </w:rPr>
      </w:pPr>
    </w:p>
    <w:p>
      <w:pPr>
        <w:ind w:left="2420"/>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Consolidated Statements of Cash Flows</w:t>
        </w:r>
      </w:hyperlink>
    </w:p>
    <w:p>
      <w:pPr>
        <w:spacing w:after="0" w:line="31" w:lineRule="exact"/>
        <w:rPr>
          <w:sz w:val="20"/>
          <w:szCs w:val="20"/>
          <w:color w:val="auto"/>
        </w:rPr>
      </w:pPr>
    </w:p>
    <w:p>
      <w:pPr>
        <w:ind w:left="2600"/>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Three Months Ended September 30, 2014 and 2013</w:t>
        </w:r>
      </w:hyperlink>
    </w:p>
    <w:p>
      <w:pPr>
        <w:spacing w:after="0" w:line="203" w:lineRule="exact"/>
        <w:rPr>
          <w:sz w:val="20"/>
          <w:szCs w:val="20"/>
          <w:color w:val="auto"/>
        </w:rPr>
      </w:pPr>
    </w:p>
    <w:p>
      <w:pPr>
        <w:ind w:left="2420"/>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Notes to Consolidated Financial Statements</w:t>
        </w:r>
      </w:hyperlink>
    </w:p>
    <w:p>
      <w:pPr>
        <w:sectPr>
          <w:pgSz w:w="11900" w:h="16838" w:orient="portrait"/>
          <w:cols w:equalWidth="0" w:num="1">
            <w:col w:w="11420"/>
          </w:cols>
          <w:pgMar w:left="240" w:top="229" w:right="239" w:bottom="0" w:gutter="0" w:footer="0" w:header="0"/>
          <w:type w:val="continuous"/>
        </w:sectPr>
      </w:pPr>
    </w:p>
    <w:bookmarkStart w:id="1" w:name="page2"/>
    <w:bookmarkEnd w:id="1"/>
    <w:p>
      <w:pPr>
        <w:spacing w:after="0" w:line="62" w:lineRule="exact"/>
        <w:rPr>
          <w:sz w:val="20"/>
          <w:szCs w:val="20"/>
          <w:color w:val="auto"/>
        </w:rPr>
      </w:pPr>
    </w:p>
    <w:p>
      <w:pPr>
        <w:ind w:left="1160"/>
        <w:spacing w:after="0"/>
        <w:tabs>
          <w:tab w:leader="none" w:pos="2400" w:val="left"/>
        </w:tabs>
        <w:rPr>
          <w:rFonts w:ascii="Times New Roman" w:cs="Times New Roman" w:eastAsia="Times New Roman" w:hAnsi="Times New Roman"/>
          <w:sz w:val="17"/>
          <w:szCs w:val="17"/>
          <w:b w:val="1"/>
          <w:bCs w:val="1"/>
          <w:u w:val="single" w:color="auto"/>
          <w:color w:val="0000EE"/>
        </w:rPr>
      </w:pPr>
      <w:hyperlink w:anchor="page18">
        <w:r>
          <w:rPr>
            <w:rFonts w:ascii="Times New Roman" w:cs="Times New Roman" w:eastAsia="Times New Roman" w:hAnsi="Times New Roman"/>
            <w:sz w:val="18"/>
            <w:szCs w:val="18"/>
            <w:b w:val="1"/>
            <w:bCs w:val="1"/>
            <w:u w:val="single" w:color="auto"/>
            <w:color w:val="0000EE"/>
          </w:rPr>
          <w:t>Item 2.</w:t>
        </w:r>
      </w:hyperlink>
      <w:r>
        <w:rPr>
          <w:rFonts w:ascii="Times New Roman" w:cs="Times New Roman" w:eastAsia="Times New Roman" w:hAnsi="Times New Roman"/>
          <w:sz w:val="18"/>
          <w:szCs w:val="18"/>
          <w:b w:val="1"/>
          <w:bCs w:val="1"/>
          <w:u w:val="single" w:color="auto"/>
          <w:color w:val="0000EE"/>
        </w:rPr>
        <w:tab/>
      </w:r>
      <w:hyperlink w:anchor="page18">
        <w:r>
          <w:rPr>
            <w:rFonts w:ascii="Times New Roman" w:cs="Times New Roman" w:eastAsia="Times New Roman" w:hAnsi="Times New Roman"/>
            <w:sz w:val="17"/>
            <w:szCs w:val="17"/>
            <w:b w:val="1"/>
            <w:bCs w:val="1"/>
            <w:u w:val="single" w:color="auto"/>
            <w:color w:val="0000EE"/>
          </w:rPr>
          <w:t>Management’s Discussion and Analysis of Financial Condition and Results of Operations</w:t>
        </w:r>
      </w:hyperlink>
    </w:p>
    <w:p>
      <w:pPr>
        <w:spacing w:after="0" w:line="225" w:lineRule="exact"/>
        <w:rPr>
          <w:sz w:val="20"/>
          <w:szCs w:val="20"/>
          <w:color w:val="auto"/>
        </w:rPr>
      </w:pPr>
    </w:p>
    <w:p>
      <w:pPr>
        <w:ind w:left="1160"/>
        <w:spacing w:after="0"/>
        <w:tabs>
          <w:tab w:leader="none" w:pos="2400" w:val="left"/>
        </w:tabs>
        <w:rPr>
          <w:rFonts w:ascii="Times New Roman" w:cs="Times New Roman" w:eastAsia="Times New Roman" w:hAnsi="Times New Roman"/>
          <w:sz w:val="17"/>
          <w:szCs w:val="17"/>
          <w:b w:val="1"/>
          <w:bCs w:val="1"/>
          <w:u w:val="single" w:color="auto"/>
          <w:color w:val="0000EE"/>
        </w:rPr>
      </w:pPr>
      <w:hyperlink w:anchor="page28">
        <w:r>
          <w:rPr>
            <w:rFonts w:ascii="Times New Roman" w:cs="Times New Roman" w:eastAsia="Times New Roman" w:hAnsi="Times New Roman"/>
            <w:sz w:val="18"/>
            <w:szCs w:val="18"/>
            <w:b w:val="1"/>
            <w:bCs w:val="1"/>
            <w:u w:val="single" w:color="auto"/>
            <w:color w:val="0000EE"/>
          </w:rPr>
          <w:t>Item 3.</w:t>
        </w:r>
      </w:hyperlink>
      <w:r>
        <w:rPr>
          <w:rFonts w:ascii="Times New Roman" w:cs="Times New Roman" w:eastAsia="Times New Roman" w:hAnsi="Times New Roman"/>
          <w:sz w:val="18"/>
          <w:szCs w:val="18"/>
          <w:b w:val="1"/>
          <w:bCs w:val="1"/>
          <w:u w:val="single" w:color="auto"/>
          <w:color w:val="0000EE"/>
        </w:rPr>
        <w:tab/>
      </w:r>
      <w:hyperlink w:anchor="page28">
        <w:r>
          <w:rPr>
            <w:rFonts w:ascii="Times New Roman" w:cs="Times New Roman" w:eastAsia="Times New Roman" w:hAnsi="Times New Roman"/>
            <w:sz w:val="17"/>
            <w:szCs w:val="17"/>
            <w:b w:val="1"/>
            <w:bCs w:val="1"/>
            <w:u w:val="single" w:color="auto"/>
            <w:color w:val="0000EE"/>
          </w:rPr>
          <w:t>Quantitative and Qualitative Disclosure about Market Risk</w:t>
        </w:r>
      </w:hyperlink>
    </w:p>
    <w:p>
      <w:pPr>
        <w:spacing w:after="0" w:line="225" w:lineRule="exact"/>
        <w:rPr>
          <w:sz w:val="20"/>
          <w:szCs w:val="20"/>
          <w:color w:val="auto"/>
        </w:rPr>
      </w:pPr>
    </w:p>
    <w:p>
      <w:pPr>
        <w:ind w:left="1160"/>
        <w:spacing w:after="0"/>
        <w:tabs>
          <w:tab w:leader="none" w:pos="2400" w:val="left"/>
        </w:tabs>
        <w:rPr>
          <w:rFonts w:ascii="Times New Roman" w:cs="Times New Roman" w:eastAsia="Times New Roman" w:hAnsi="Times New Roman"/>
          <w:sz w:val="17"/>
          <w:szCs w:val="17"/>
          <w:b w:val="1"/>
          <w:bCs w:val="1"/>
          <w:u w:val="single" w:color="auto"/>
          <w:color w:val="0000EE"/>
        </w:rPr>
      </w:pPr>
      <w:hyperlink w:anchor="page28">
        <w:r>
          <w:rPr>
            <w:rFonts w:ascii="Times New Roman" w:cs="Times New Roman" w:eastAsia="Times New Roman" w:hAnsi="Times New Roman"/>
            <w:sz w:val="18"/>
            <w:szCs w:val="18"/>
            <w:b w:val="1"/>
            <w:bCs w:val="1"/>
            <w:u w:val="single" w:color="auto"/>
            <w:color w:val="0000EE"/>
          </w:rPr>
          <w:t>Item 4.</w:t>
        </w:r>
      </w:hyperlink>
      <w:r>
        <w:rPr>
          <w:rFonts w:ascii="Times New Roman" w:cs="Times New Roman" w:eastAsia="Times New Roman" w:hAnsi="Times New Roman"/>
          <w:sz w:val="18"/>
          <w:szCs w:val="18"/>
          <w:b w:val="1"/>
          <w:bCs w:val="1"/>
          <w:u w:val="single" w:color="auto"/>
          <w:color w:val="0000EE"/>
        </w:rPr>
        <w:tab/>
      </w:r>
      <w:hyperlink w:anchor="page28">
        <w:r>
          <w:rPr>
            <w:rFonts w:ascii="Times New Roman" w:cs="Times New Roman" w:eastAsia="Times New Roman" w:hAnsi="Times New Roman"/>
            <w:sz w:val="17"/>
            <w:szCs w:val="17"/>
            <w:b w:val="1"/>
            <w:bCs w:val="1"/>
            <w:u w:val="single" w:color="auto"/>
            <w:color w:val="0000EE"/>
          </w:rPr>
          <w:t>Controls and Procedures</w:t>
        </w:r>
      </w:hyperlink>
    </w:p>
    <w:p>
      <w:pPr>
        <w:spacing w:after="0" w:line="225" w:lineRule="exact"/>
        <w:rPr>
          <w:sz w:val="20"/>
          <w:szCs w:val="20"/>
          <w:color w:val="auto"/>
        </w:rPr>
      </w:pPr>
    </w:p>
    <w:p>
      <w:pPr>
        <w:spacing w:after="0"/>
        <w:tabs>
          <w:tab w:leader="none" w:pos="1140" w:val="left"/>
        </w:tabs>
        <w:rPr>
          <w:rFonts w:ascii="Times New Roman" w:cs="Times New Roman" w:eastAsia="Times New Roman" w:hAnsi="Times New Roman"/>
          <w:sz w:val="18"/>
          <w:szCs w:val="18"/>
          <w:b w:val="1"/>
          <w:bCs w:val="1"/>
          <w:u w:val="single" w:color="auto"/>
          <w:color w:val="0000EE"/>
        </w:rPr>
      </w:pPr>
      <w:hyperlink w:anchor="page29">
        <w:r>
          <w:rPr>
            <w:rFonts w:ascii="Times New Roman" w:cs="Times New Roman" w:eastAsia="Times New Roman" w:hAnsi="Times New Roman"/>
            <w:sz w:val="18"/>
            <w:szCs w:val="18"/>
            <w:b w:val="1"/>
            <w:bCs w:val="1"/>
            <w:u w:val="single" w:color="auto"/>
            <w:color w:val="0000EE"/>
          </w:rPr>
          <w:t>Part II.</w:t>
        </w:r>
      </w:hyperlink>
      <w:r>
        <w:rPr>
          <w:rFonts w:ascii="Times New Roman" w:cs="Times New Roman" w:eastAsia="Times New Roman" w:hAnsi="Times New Roman"/>
          <w:sz w:val="18"/>
          <w:szCs w:val="18"/>
          <w:b w:val="1"/>
          <w:bCs w:val="1"/>
          <w:u w:val="single" w:color="auto"/>
          <w:color w:val="0000EE"/>
        </w:rPr>
        <w:tab/>
      </w:r>
      <w:hyperlink w:anchor="page29">
        <w:r>
          <w:rPr>
            <w:rFonts w:ascii="Times New Roman" w:cs="Times New Roman" w:eastAsia="Times New Roman" w:hAnsi="Times New Roman"/>
            <w:sz w:val="18"/>
            <w:szCs w:val="18"/>
            <w:b w:val="1"/>
            <w:bCs w:val="1"/>
            <w:u w:val="single" w:color="auto"/>
            <w:color w:val="0000EE"/>
          </w:rPr>
          <w:t>Other Information</w:t>
        </w:r>
      </w:hyperlink>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gridSpan w:val="4"/>
          </w:tcPr>
          <w:p>
            <w:pPr>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Item 1.</w:t>
              </w:r>
            </w:hyperlink>
          </w:p>
        </w:tc>
        <w:tc>
          <w:tcPr>
            <w:tcW w:w="5680" w:type="dxa"/>
            <w:vAlign w:val="bottom"/>
            <w:gridSpan w:val="10"/>
          </w:tcPr>
          <w:p>
            <w:pPr>
              <w:ind w:left="60"/>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Legal Proceedings</w:t>
              </w:r>
            </w:hyperlink>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gridSpan w:val="3"/>
          </w:tcPr>
          <w:p>
            <w:pPr>
              <w:spacing w:after="0"/>
              <w:rPr>
                <w:rFonts w:ascii="Times New Roman" w:cs="Times New Roman" w:eastAsia="Times New Roman" w:hAnsi="Times New Roman"/>
                <w:sz w:val="18"/>
                <w:szCs w:val="18"/>
                <w:b w:val="1"/>
                <w:bCs w:val="1"/>
                <w:color w:val="0000EE"/>
                <w:w w:val="98"/>
              </w:rPr>
            </w:pPr>
            <w:hyperlink w:anchor="page29">
              <w:r>
                <w:rPr>
                  <w:rFonts w:ascii="Times New Roman" w:cs="Times New Roman" w:eastAsia="Times New Roman" w:hAnsi="Times New Roman"/>
                  <w:sz w:val="18"/>
                  <w:szCs w:val="18"/>
                  <w:b w:val="1"/>
                  <w:bCs w:val="1"/>
                  <w:color w:val="0000EE"/>
                  <w:w w:val="98"/>
                </w:rPr>
                <w:t>Item 1A.</w:t>
              </w:r>
            </w:hyperlink>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20" w:type="dxa"/>
            <w:vAlign w:val="bottom"/>
            <w:gridSpan w:val="9"/>
          </w:tcPr>
          <w:p>
            <w:pPr>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Risk Factors</w:t>
              </w:r>
            </w:hyperlink>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gridSpan w:val="3"/>
          </w:tcPr>
          <w:p>
            <w:pPr>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Item 2.</w:t>
              </w:r>
            </w:hyperlink>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20" w:type="dxa"/>
            <w:vAlign w:val="bottom"/>
            <w:gridSpan w:val="9"/>
          </w:tcPr>
          <w:p>
            <w:pPr>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Unregistered Sales of Equity Securities and Use of Proceeds</w:t>
              </w:r>
            </w:hyperlink>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gridSpan w:val="4"/>
          </w:tcPr>
          <w:p>
            <w:pPr>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Item 3.</w:t>
              </w:r>
            </w:hyperlink>
          </w:p>
        </w:tc>
        <w:tc>
          <w:tcPr>
            <w:tcW w:w="5680" w:type="dxa"/>
            <w:vAlign w:val="bottom"/>
            <w:gridSpan w:val="10"/>
          </w:tcPr>
          <w:p>
            <w:pPr>
              <w:ind w:left="60"/>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Defaults Upon Senior Securities</w:t>
              </w:r>
            </w:hyperlink>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gridSpan w:val="4"/>
          </w:tcPr>
          <w:p>
            <w:pPr>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Item 4.</w:t>
              </w:r>
            </w:hyperlink>
          </w:p>
        </w:tc>
        <w:tc>
          <w:tcPr>
            <w:tcW w:w="5680" w:type="dxa"/>
            <w:vAlign w:val="bottom"/>
            <w:gridSpan w:val="10"/>
          </w:tcPr>
          <w:p>
            <w:pPr>
              <w:ind w:left="60"/>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Mine Safety Disclosures</w:t>
              </w:r>
            </w:hyperlink>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gridSpan w:val="4"/>
          </w:tcPr>
          <w:p>
            <w:pPr>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Item 5.</w:t>
              </w:r>
            </w:hyperlink>
          </w:p>
        </w:tc>
        <w:tc>
          <w:tcPr>
            <w:tcW w:w="5680" w:type="dxa"/>
            <w:vAlign w:val="bottom"/>
            <w:gridSpan w:val="10"/>
          </w:tcPr>
          <w:p>
            <w:pPr>
              <w:ind w:left="60"/>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Other Information</w:t>
              </w:r>
            </w:hyperlink>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gridSpan w:val="4"/>
          </w:tcPr>
          <w:p>
            <w:pPr>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Item 6.</w:t>
              </w:r>
            </w:hyperlink>
          </w:p>
        </w:tc>
        <w:tc>
          <w:tcPr>
            <w:tcW w:w="5680" w:type="dxa"/>
            <w:vAlign w:val="bottom"/>
            <w:gridSpan w:val="10"/>
          </w:tcPr>
          <w:p>
            <w:pPr>
              <w:ind w:left="60"/>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Exhibits</w:t>
              </w:r>
            </w:hyperlink>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940" w:type="dxa"/>
            <w:vAlign w:val="bottom"/>
            <w:gridSpan w:val="6"/>
          </w:tcPr>
          <w:p>
            <w:pPr>
              <w:jc w:val="right"/>
              <w:ind w:right="124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360" w:type="dxa"/>
            <w:vAlign w:val="bottom"/>
            <w:gridSpan w:val="6"/>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60" w:type="dxa"/>
            <w:vAlign w:val="bottom"/>
            <w:gridSpan w:val="5"/>
          </w:tcPr>
          <w:p>
            <w:pPr>
              <w:jc w:val="center"/>
              <w:ind w:right="390"/>
              <w:spacing w:after="0"/>
              <w:rPr>
                <w:sz w:val="20"/>
                <w:szCs w:val="20"/>
                <w:color w:val="auto"/>
              </w:rPr>
            </w:pPr>
            <w:r>
              <w:rPr>
                <w:rFonts w:ascii="Times New Roman" w:cs="Times New Roman" w:eastAsia="Times New Roman" w:hAnsi="Times New Roman"/>
                <w:sz w:val="18"/>
                <w:szCs w:val="18"/>
                <w:color w:val="auto"/>
                <w:w w:val="98"/>
              </w:rPr>
              <w:t>PART 1- FINANCIAL INFORMATION</w:t>
            </w: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Item 1. Financial Statements (Unaudited)</w:t>
            </w: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NORTHEAST BANCORP AND SUBSIDIARY</w:t>
            </w: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(Unaudited)</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(Dollars in thousands, except share data)</w:t>
            </w: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8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40" w:type="dxa"/>
            <w:vAlign w:val="bottom"/>
            <w:tcBorders>
              <w:top w:val="single" w:sz="8" w:color="CCEEFF"/>
            </w:tcBorders>
            <w:gridSpan w:val="6"/>
            <w:shd w:val="clear" w:color="auto" w:fill="CCEEFF"/>
          </w:tcPr>
          <w:p>
            <w:pPr>
              <w:jc w:val="center"/>
              <w:ind w:right="3680"/>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5680" w:type="dxa"/>
            <w:vAlign w:val="bottom"/>
            <w:gridSpan w:val="1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81,217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gridSpan w:val="14"/>
          </w:tcPr>
          <w:p>
            <w:pPr>
              <w:ind w:left="5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83,530</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Available-for-sale securities, at fair value</w:t>
            </w: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110,347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9,069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Loans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541,799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1,539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Loans, net</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540,260</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515,049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8,780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owned and other repossessed collateral, net</w:t>
            </w: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2,115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Federal Home Loan Bank stock, at cost</w:t>
            </w: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4,102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2,632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Bank owned life insurance</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14,945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6,511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40" w:type="dxa"/>
            <w:vAlign w:val="bottom"/>
            <w:tcBorders>
              <w:bottom w:val="single" w:sz="8" w:color="CCEEFF"/>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21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782,291</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761,931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20" w:type="dxa"/>
            <w:vAlign w:val="bottom"/>
            <w:gridSpan w:val="9"/>
          </w:tcPr>
          <w:p>
            <w:pPr>
              <w:jc w:val="center"/>
              <w:ind w:right="2810"/>
              <w:spacing w:after="0"/>
              <w:rPr>
                <w:sz w:val="20"/>
                <w:szCs w:val="20"/>
                <w:color w:val="auto"/>
              </w:rPr>
            </w:pPr>
            <w:r>
              <w:rPr>
                <w:rFonts w:ascii="Times New Roman" w:cs="Times New Roman" w:eastAsia="Times New Roman" w:hAnsi="Times New Roman"/>
                <w:sz w:val="18"/>
                <w:szCs w:val="18"/>
                <w:color w:val="auto"/>
                <w:w w:val="99"/>
              </w:rPr>
              <w:t>Liabilities and Shareholders’ Equity</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Demand</w:t>
            </w:r>
          </w:p>
        </w:tc>
        <w:tc>
          <w:tcPr>
            <w:tcW w:w="5680" w:type="dxa"/>
            <w:vAlign w:val="bottom"/>
            <w:gridSpan w:val="10"/>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52,698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5"/>
          </w:tcPr>
          <w:p>
            <w:pPr>
              <w:ind w:left="340"/>
              <w:spacing w:after="0"/>
              <w:rPr>
                <w:sz w:val="20"/>
                <w:szCs w:val="20"/>
                <w:color w:val="auto"/>
              </w:rPr>
            </w:pPr>
            <w:r>
              <w:rPr>
                <w:rFonts w:ascii="Times New Roman" w:cs="Times New Roman" w:eastAsia="Times New Roman" w:hAnsi="Times New Roman"/>
                <w:sz w:val="18"/>
                <w:szCs w:val="18"/>
                <w:color w:val="auto"/>
              </w:rPr>
              <w:t>Savings and interest checking</w:t>
            </w: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96,814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103,054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Time</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341,229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tcBorders>
              <w:top w:val="single" w:sz="8" w:color="CCEEFF"/>
            </w:tcBorders>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deposits</w:t>
            </w: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593,795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574,329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42,773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5"/>
          </w:tcPr>
          <w:p>
            <w:pPr>
              <w:ind w:left="160"/>
              <w:spacing w:after="0"/>
              <w:rPr>
                <w:sz w:val="20"/>
                <w:szCs w:val="20"/>
                <w:color w:val="auto"/>
              </w:rPr>
            </w:pPr>
            <w:r>
              <w:rPr>
                <w:rFonts w:ascii="Times New Roman" w:cs="Times New Roman" w:eastAsia="Times New Roman" w:hAnsi="Times New Roman"/>
                <w:sz w:val="18"/>
                <w:szCs w:val="18"/>
                <w:color w:val="auto"/>
              </w:rPr>
              <w:t>Wholesale repurchase agreements</w:t>
            </w: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10,158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3,804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Junior subordinated debentures issued to affiliated trusts</w:t>
            </w: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8,485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Capital lease obligation</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1,511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8,523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40" w:type="dxa"/>
            <w:vAlign w:val="bottom"/>
            <w:tcBorders>
              <w:bottom w:val="single" w:sz="8" w:color="CCEEFF"/>
            </w:tcBorders>
            <w:gridSpan w:val="5"/>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669,049</w:t>
            </w:r>
          </w:p>
        </w:tc>
        <w:tc>
          <w:tcPr>
            <w:tcW w:w="2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649,865</w:t>
            </w:r>
          </w:p>
        </w:tc>
        <w:tc>
          <w:tcPr>
            <w:tcW w:w="10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-7155180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-7155180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33"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$1.00 par value, 1,000,000 shares authorized; no shares issued and outstanding at</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30, 2014 and June 30, 2014</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Voting common stock, $1.00 par value, 25,000,000 shares authorized; 9,367,071 and 9,260,331</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at September 30, 2014 and June 30, 2014, respectively</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9,367</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Non-voting common stock, $1.00 par value, 3,000,000 shares authorized; 880,963 shares issued and</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at September 30, 2014 and June 30, 2014</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881</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90,809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90,914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13,836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782,291</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761,931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consolidated financial statements.</w:t>
            </w: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3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62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NORTHEAST BANCORP AND SUBSIDIARY</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and dividend income:</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on loans</w:t>
            </w:r>
          </w:p>
        </w:tc>
        <w:tc>
          <w:tcPr>
            <w:tcW w:w="9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10,922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on available-for-sale securities</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interest and dividend income</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and dividend income</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Wholesale repurchase agreements</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Junior subordinated debentures issued to affiliated trusts</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Obligation under capital lease agreements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expense</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and dividend income before provision for loan losses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interest income after provision for loan losses</w:t>
            </w: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Noninterest income:</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Fees for other services to customers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sales of loans held for sale</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 on sales of portfolio loans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recognized on real estate owned and other repossessed collateral, net</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Bank-owned life insurance income</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noninterest income</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Noninterest expense:</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4,533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Occupancy and equipment expense</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Data processing fees</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Marketing expense</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 acquisition and collection expense</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FDIC insurance premiums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Legal settlement recovery</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 expense</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 before income tax expense</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8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0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6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1,644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-7727950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-7727950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10,180,038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10,440,513</w:t>
            </w:r>
          </w:p>
        </w:tc>
        <w:tc>
          <w:tcPr>
            <w:tcW w:w="0" w:type="dxa"/>
            <w:vAlign w:val="bottom"/>
          </w:tcPr>
          <w:p>
            <w:pPr>
              <w:spacing w:after="0"/>
              <w:rPr>
                <w:sz w:val="1"/>
                <w:szCs w:val="1"/>
                <w:color w:val="auto"/>
              </w:rPr>
            </w:pPr>
          </w:p>
        </w:tc>
      </w:tr>
      <w:tr>
        <w:trPr>
          <w:trHeight w:val="216"/>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10,180,038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10,440,513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5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Income</w:t>
            </w:r>
          </w:p>
        </w:tc>
        <w:tc>
          <w:tcPr>
            <w:tcW w:w="25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80" w:type="dxa"/>
            <w:vAlign w:val="bottom"/>
            <w:vMerge w:val="continue"/>
          </w:tcPr>
          <w:p>
            <w:pPr>
              <w:spacing w:after="0"/>
              <w:rPr>
                <w:sz w:val="14"/>
                <w:szCs w:val="14"/>
                <w:color w:val="auto"/>
              </w:rPr>
            </w:pPr>
          </w:p>
        </w:tc>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5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Income</w:t>
            </w:r>
          </w:p>
        </w:tc>
        <w:tc>
          <w:tcPr>
            <w:tcW w:w="25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5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80" w:type="dxa"/>
            <w:vAlign w:val="bottom"/>
            <w:vMerge w:val="continue"/>
          </w:tcPr>
          <w:p>
            <w:pPr>
              <w:spacing w:after="0"/>
              <w:rPr>
                <w:sz w:val="18"/>
                <w:szCs w:val="18"/>
                <w:color w:val="auto"/>
              </w:rPr>
            </w:pPr>
          </w:p>
        </w:tc>
        <w:tc>
          <w:tcPr>
            <w:tcW w:w="252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NORTHEAST BANCORP AND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net unrealized gain or loss on available-for-sale securities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w:t>
            </w:r>
          </w:p>
        </w:tc>
        <w:tc>
          <w:tcPr>
            <w:tcW w:w="10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net gains included in net income</w:t>
            </w: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3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Derivatives and hedging activities:</w:t>
            </w: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accumulated loss on effective cash flow hedges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10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adjustments for net gains included in net income</w:t>
            </w: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 and hedging activities</w:t>
            </w: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c>
          <w:tcPr>
            <w:tcW w:w="10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comprehensive income (loss), before tax</w:t>
            </w:r>
          </w:p>
        </w:tc>
        <w:tc>
          <w:tcPr>
            <w:tcW w:w="13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expense (benefit) related to other comprehensive (loss) income</w:t>
            </w: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0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3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NORTHEAST BANCORP AND SUBSIDIARY</w:t>
      </w:r>
    </w:p>
    <w:p>
      <w:pPr>
        <w:spacing w:after="0" w:line="31" w:lineRule="exact"/>
        <w:rPr>
          <w:sz w:val="20"/>
          <w:szCs w:val="20"/>
          <w:color w:val="auto"/>
        </w:rPr>
      </w:pPr>
    </w:p>
    <w:p>
      <w:pPr>
        <w:ind w:right="488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CHANGES IN SHAREHOLDERS’ EQUITY </w:t>
      </w:r>
      <w:r>
        <w:rPr>
          <w:rFonts w:ascii="Times New Roman" w:cs="Times New Roman" w:eastAsia="Times New Roman" w:hAnsi="Times New Roman"/>
          <w:sz w:val="18"/>
          <w:szCs w:val="18"/>
          <w:color w:val="auto"/>
        </w:rPr>
        <w:t>(Unaudited)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Non-</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620" w:type="dxa"/>
            <w:vAlign w:val="bottom"/>
            <w:gridSpan w:val="6"/>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64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102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20" w:type="dxa"/>
            <w:vAlign w:val="bottom"/>
            <w:gridSpan w:val="6"/>
            <w:vMerge w:val="continue"/>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1560" w:type="dxa"/>
            <w:vAlign w:val="bottom"/>
            <w:gridSpan w:val="5"/>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voting Common Stock</w:t>
            </w:r>
          </w:p>
        </w:tc>
        <w:tc>
          <w:tcPr>
            <w:tcW w:w="920" w:type="dxa"/>
            <w:vAlign w:val="bottom"/>
            <w:gridSpan w:val="3"/>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9"/>
                <w:szCs w:val="9"/>
                <w:color w:val="auto"/>
              </w:rPr>
            </w:pP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40" w:type="dxa"/>
            <w:vAlign w:val="bottom"/>
            <w:gridSpan w:val="2"/>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2013</w:t>
            </w: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9,565,680</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880,963</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92,745</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$ 12,524</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Other comprehensive income, net</w:t>
            </w: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 tax</w:t>
            </w: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Dividends on common stock at</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$0.09 per share</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(940)</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Forfeiture of restricted common</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(13,093)</w:t>
            </w:r>
          </w:p>
        </w:tc>
        <w:tc>
          <w:tcPr>
            <w:tcW w:w="1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2013</w:t>
            </w: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9,552,587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$ 11,904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2014</w:t>
            </w: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9,260,331</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880,963</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90,914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$ 12,294</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 tax</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(14,400)</w:t>
            </w:r>
          </w:p>
        </w:tc>
        <w:tc>
          <w:tcPr>
            <w:tcW w:w="2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118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Dividends on common stock at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$0.01 per share</w:t>
            </w:r>
          </w:p>
        </w:tc>
        <w:tc>
          <w:tcPr>
            <w:tcW w:w="8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118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Issuance of restricted common</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8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128,000</w:t>
            </w:r>
          </w:p>
        </w:tc>
        <w:tc>
          <w:tcPr>
            <w:tcW w:w="2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118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Forfeiture of restricted common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46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(6,860)</w:t>
            </w:r>
          </w:p>
        </w:tc>
        <w:tc>
          <w:tcPr>
            <w:tcW w:w="2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18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2014</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9,367,071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$ 13,836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40" w:type="dxa"/>
            <w:vAlign w:val="bottom"/>
            <w:gridSpan w:val="17"/>
          </w:tcPr>
          <w:p>
            <w:pP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consolidated financial statements.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060" w:type="dxa"/>
            <w:vAlign w:val="bottom"/>
            <w:tcBorders>
              <w:bottom w:val="single" w:sz="8" w:color="010101"/>
            </w:tcBorders>
            <w:gridSpan w:val="2"/>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4"/>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NORTHEAST BANCORP AND SUBSIDIARY</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5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10"/>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5"/>
          </w:tcPr>
          <w:p>
            <w:pPr>
              <w:jc w:val="right"/>
              <w:ind w:right="45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1,644</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1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1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loss on sale and impairment of real estate owned and other repossessed collateral, net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Accretion of fair value adjustments on loans,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(3,097)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fair value adjustments on deposits,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Accretion of fair value adjustments on borrowings, net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(27,676)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Net proceeds from sales of loans held for sale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31,136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sales of loans held for sale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Gain on sales of portfolio loans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Bank-owned life insurance income,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of premises and equipment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Loss (gain) on sale of premises and equipment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Amortization of securities,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other assets and liabilities: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1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maturities and principal payments on available-for-sale securities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Loan purchases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(13,167)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sales of portfolio loans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Loan originations and principal collections,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(10,213)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premises and equipment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Proceeds from sales of premises and equipment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11"/>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sales of real estate owned and other repossessed collateral</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increase in deposits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19,530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increase in short-term borrowings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Proceeds from FHLB advances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wholesale repurchase agreements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Repayment of capital lease obligation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82,259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83,530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77,351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11"/>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Transfers from loans to real estate owned and other repossessed collateral</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5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Transfers from real estate owned and other repossessed collateral to loans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-8074025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-8074025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consolidated financial statements.</w:t>
      </w:r>
    </w:p>
    <w:p>
      <w:pPr>
        <w:sectPr>
          <w:pgSz w:w="11900" w:h="16838" w:orient="portrait"/>
          <w:cols w:equalWidth="0" w:num="1">
            <w:col w:w="11460"/>
          </w:cols>
          <w:pgMar w:left="240" w:top="140" w:right="199" w:bottom="0" w:gutter="0" w:footer="0" w:header="0"/>
        </w:sectPr>
      </w:pPr>
    </w:p>
    <w:bookmarkStart w:id="5" w:name="page6"/>
    <w:bookmarkEnd w:id="5"/>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NORTHEAST BANCORP AND SUBSIDIARY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30, 2014</w:t>
      </w:r>
    </w:p>
    <w:p>
      <w:pPr>
        <w:spacing w:after="0" w:line="203" w:lineRule="exact"/>
        <w:rPr>
          <w:sz w:val="20"/>
          <w:szCs w:val="20"/>
          <w:color w:val="auto"/>
        </w:rPr>
      </w:pPr>
    </w:p>
    <w:p>
      <w:pPr>
        <w:ind w:left="240" w:hanging="232"/>
        <w:spacing w:after="0"/>
        <w:tabs>
          <w:tab w:leader="none" w:pos="2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and consolidated interim financial statements include the accounts of Northeast Bancorp (“Northeast” or the “Company”) and its wholly-owned subsidiary, Northeast Bank (the “Bank”).</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notes required by GAAP for complete financial statements. In the opinion of management, the accompanying consolidated financial statements contain all adjustments (consisting principally of normal recurring accruals) considered necessary for a fair presentation of the Company’s financial position, results of operations, and cash flows for the interim periods presented. These financial statements and notes should be read in conjunction with the audited consolidated financial statements and notes thereto for the fiscal year ended June 30, 2014 (“Fiscal 2014”) included in the Company’s Annual Report on Form 10-K filed with the Securities and Exchange Commission.</w:t>
      </w:r>
    </w:p>
    <w:p>
      <w:pPr>
        <w:spacing w:after="0" w:line="185" w:lineRule="exact"/>
        <w:rPr>
          <w:sz w:val="20"/>
          <w:szCs w:val="20"/>
          <w:color w:val="auto"/>
        </w:rPr>
      </w:pPr>
    </w:p>
    <w:p>
      <w:pPr>
        <w:ind w:left="180" w:hanging="172"/>
        <w:spacing w:after="0"/>
        <w:tabs>
          <w:tab w:leader="none" w:pos="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ASU 2014-09</w:t>
      </w:r>
      <w:r>
        <w:rPr>
          <w:rFonts w:ascii="Times New Roman" w:cs="Times New Roman" w:eastAsia="Times New Roman" w:hAnsi="Times New Roman"/>
          <w:sz w:val="18"/>
          <w:szCs w:val="18"/>
          <w:i w:val="1"/>
          <w:iCs w:val="1"/>
          <w:color w:val="auto"/>
        </w:rPr>
        <w:t>, Revenue from Contracts with Customers (Topic 606)</w:t>
      </w:r>
      <w:r>
        <w:rPr>
          <w:rFonts w:ascii="Times New Roman" w:cs="Times New Roman" w:eastAsia="Times New Roman" w:hAnsi="Times New Roman"/>
          <w:sz w:val="18"/>
          <w:szCs w:val="18"/>
          <w:color w:val="auto"/>
        </w:rPr>
        <w:t xml:space="preserve"> (“ASU 2014-09”). ASU 2014-09 implements a common revenue standard that clarifies the principles for recognizing revenue. The core principle of ASU 2014-09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ASU 2014-09 is effective January 1, 2017 and is not expected to have a significant impact on the Company’s financial statements.</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In June 2014, the FASB issued ASU 2014-11, </w:t>
      </w:r>
      <w:r>
        <w:rPr>
          <w:rFonts w:ascii="Times New Roman" w:cs="Times New Roman" w:eastAsia="Times New Roman" w:hAnsi="Times New Roman"/>
          <w:sz w:val="18"/>
          <w:szCs w:val="18"/>
          <w:i w:val="1"/>
          <w:iCs w:val="1"/>
          <w:color w:val="auto"/>
        </w:rPr>
        <w:t>Transfers and Servicing (Topic 860): Repurchase-to-Maturity Transactions, Repurchase Financings,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2014-11”). ASU 2014-11 requires that repurchase-to-maturity transactions be accounted for as secured borrowings consistent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other repurchase agreements. In addition, ASU 2014-11 requires separate accounting for repurchase financings, which entails the transfer of a financial asset executed contemporaneously with a repurchase agreement with the same counterparty. ASU 2014-11 requires entities to disclose certain information about transfers accounted for as sales in transactions that are economically similar to repurchase agreements. In addition, ASU 2014-11 requires disclosures related to collateral, remaining contractual tenor and of the potential risks associated with repurchase agreements, securities lending transactions and repurchase-to-maturity transactions. ASU 2014-11 is effective January 1, 2015 and is not expected to have a significant impact on the Company’s financial statements.</w:t>
      </w:r>
    </w:p>
    <w:p>
      <w:pPr>
        <w:spacing w:after="0" w:line="18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August 2014, the FASB issued ASU 2014-14, </w:t>
      </w:r>
      <w:r>
        <w:rPr>
          <w:rFonts w:ascii="Times New Roman" w:cs="Times New Roman" w:eastAsia="Times New Roman" w:hAnsi="Times New Roman"/>
          <w:sz w:val="18"/>
          <w:szCs w:val="18"/>
          <w:i w:val="1"/>
          <w:iCs w:val="1"/>
          <w:color w:val="auto"/>
        </w:rPr>
        <w:t>Receivables - Troubled Debt Restructurings by Creditors (Subtopic 310-40): Classification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Government-Guaranteed Mortgage Loans upon Foreclosure (“</w:t>
      </w:r>
      <w:r>
        <w:rPr>
          <w:rFonts w:ascii="Times New Roman" w:cs="Times New Roman" w:eastAsia="Times New Roman" w:hAnsi="Times New Roman"/>
          <w:sz w:val="18"/>
          <w:szCs w:val="18"/>
          <w:color w:val="auto"/>
        </w:rPr>
        <w:t>ASU 2014-14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ASU 2014-14 affects creditors that hold government-guaranteed mortgage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including those guaranteed by the Federal Housing Administration (FHA) of the U.S. Department of Housing and Urban Development (HUD), and the U.S. Department of Veterans Affairs (VA). The update requires that, upon foreclosure, a guaranteed mortgage loan be derecognized and a separate other receivable be recognized when specific criteria are met. ASU 2014-14 is effective for fiscal years, and interim periods within those fiscal years, beginning after December 15, 2014. The adoption of this guidance is not expected to have a significant impact on the Company’s financial statements.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Securities Available-for-Sale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a summary of the amortized cost, gross unrealized holding gains and losses and fair value of securities available for sale.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40" w:type="dxa"/>
            <w:vAlign w:val="bottom"/>
          </w:tcPr>
          <w:p>
            <w:pPr>
              <w:jc w:val="center"/>
              <w:ind w:left="24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jc w:val="center"/>
              <w:ind w:left="384"/>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40" w:type="dxa"/>
            <w:vAlign w:val="bottom"/>
          </w:tcPr>
          <w:p>
            <w:pPr>
              <w:jc w:val="center"/>
              <w:ind w:left="24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4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4"/>
          </w:tcPr>
          <w:p>
            <w:pPr>
              <w:jc w:val="center"/>
              <w:ind w:left="365"/>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8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48,359</w:t>
            </w:r>
          </w:p>
        </w:tc>
        <w:tc>
          <w:tcPr>
            <w:tcW w:w="104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48,351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mortgage-backed securities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63,544</w:t>
            </w:r>
          </w:p>
        </w:tc>
        <w:tc>
          <w:tcPr>
            <w:tcW w:w="10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(1,548)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61,996</w:t>
            </w: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(1,571</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524"/>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40" w:type="dxa"/>
            <w:vAlign w:val="bottom"/>
          </w:tcPr>
          <w:p>
            <w:pPr>
              <w:jc w:val="center"/>
              <w:ind w:left="24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jc w:val="center"/>
              <w:ind w:left="384"/>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40" w:type="dxa"/>
            <w:vAlign w:val="bottom"/>
          </w:tcPr>
          <w:p>
            <w:pPr>
              <w:jc w:val="center"/>
              <w:ind w:left="24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4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4"/>
          </w:tcPr>
          <w:p>
            <w:pPr>
              <w:jc w:val="center"/>
              <w:ind w:left="365"/>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8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48,415</w:t>
            </w:r>
          </w:p>
        </w:tc>
        <w:tc>
          <w:tcPr>
            <w:tcW w:w="104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48,418</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Agency mortgage-backed securities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66,744</w:t>
            </w:r>
          </w:p>
        </w:tc>
        <w:tc>
          <w:tcPr>
            <w:tcW w:w="10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(1,284)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65,463</w:t>
            </w: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(1,312</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 securities are sold, the adjusted cost of the specific security sold is used to compute the gain or loss on sale. There were no securities sold during the three months ended September 30, 2014 or 2013. At September 30, 2014, investment securities with a fair value of approximately $32.3 million were pledged as collateral to secure outstanding borrowings.</w:t>
      </w:r>
    </w:p>
    <w:p>
      <w:pPr>
        <w:sectPr>
          <w:pgSz w:w="11900" w:h="16865" w:orient="portrait"/>
          <w:cols w:equalWidth="0" w:num="1">
            <w:col w:w="11400"/>
          </w:cols>
          <w:pgMar w:left="240" w:top="121" w:right="259" w:bottom="0" w:gutter="0" w:footer="0" w:header="0"/>
        </w:sectPr>
      </w:pPr>
    </w:p>
    <w:bookmarkStart w:id="6" w:name="page7"/>
    <w:bookmarkEnd w:id="6"/>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5"/>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6"/>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More than 12 Months</w:t>
            </w:r>
          </w:p>
        </w:tc>
        <w:tc>
          <w:tcPr>
            <w:tcW w:w="240" w:type="dxa"/>
            <w:vAlign w:val="bottom"/>
          </w:tcPr>
          <w:p>
            <w:pPr>
              <w:spacing w:after="0"/>
              <w:rPr>
                <w:sz w:val="12"/>
                <w:szCs w:val="12"/>
                <w:color w:val="auto"/>
              </w:rPr>
            </w:pPr>
          </w:p>
        </w:tc>
        <w:tc>
          <w:tcPr>
            <w:tcW w:w="1260" w:type="dxa"/>
            <w:vAlign w:val="bottom"/>
            <w:gridSpan w:val="4"/>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17"/>
        </w:trPr>
        <w:tc>
          <w:tcPr>
            <w:tcW w:w="25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0"/>
                <w:szCs w:val="10"/>
                <w:color w:val="auto"/>
              </w:rPr>
            </w:pPr>
          </w:p>
        </w:tc>
      </w:tr>
      <w:tr>
        <w:trPr>
          <w:trHeight w:val="173"/>
        </w:trPr>
        <w:tc>
          <w:tcPr>
            <w:tcW w:w="2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142"/>
        </w:trPr>
        <w:tc>
          <w:tcPr>
            <w:tcW w:w="25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6"/>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98"/>
        </w:trPr>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Government agency</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27,111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98"/>
        </w:trPr>
        <w:tc>
          <w:tcPr>
            <w:tcW w:w="2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Agency mortgage-backed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2,510</w:t>
            </w: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(1,542)</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23"/>
        </w:trPr>
        <w:tc>
          <w:tcPr>
            <w:tcW w:w="25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2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5"/>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6"/>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More than 12 Months</w:t>
            </w:r>
          </w:p>
        </w:tc>
        <w:tc>
          <w:tcPr>
            <w:tcW w:w="240" w:type="dxa"/>
            <w:vAlign w:val="bottom"/>
          </w:tcPr>
          <w:p>
            <w:pPr>
              <w:spacing w:after="0"/>
              <w:rPr>
                <w:sz w:val="12"/>
                <w:szCs w:val="12"/>
                <w:color w:val="auto"/>
              </w:rPr>
            </w:pPr>
          </w:p>
        </w:tc>
        <w:tc>
          <w:tcPr>
            <w:tcW w:w="1260" w:type="dxa"/>
            <w:vAlign w:val="bottom"/>
            <w:gridSpan w:val="4"/>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17"/>
        </w:trPr>
        <w:tc>
          <w:tcPr>
            <w:tcW w:w="25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0"/>
                <w:szCs w:val="10"/>
                <w:color w:val="auto"/>
              </w:rPr>
            </w:pPr>
          </w:p>
        </w:tc>
      </w:tr>
      <w:tr>
        <w:trPr>
          <w:trHeight w:val="173"/>
        </w:trPr>
        <w:tc>
          <w:tcPr>
            <w:tcW w:w="2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142"/>
        </w:trPr>
        <w:tc>
          <w:tcPr>
            <w:tcW w:w="25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6"/>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98"/>
        </w:trPr>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Government agency</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24,141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24,141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198"/>
        </w:trPr>
        <w:tc>
          <w:tcPr>
            <w:tcW w:w="2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Agency mortgage-backed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(1,284)</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(1,284)</w:t>
            </w:r>
          </w:p>
        </w:tc>
      </w:tr>
      <w:tr>
        <w:trPr>
          <w:trHeight w:val="223"/>
        </w:trPr>
        <w:tc>
          <w:tcPr>
            <w:tcW w:w="25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other-than-temporary impairment losses on securities during the three months ended September 30, 2014 or 2013.</w:t>
      </w:r>
    </w:p>
    <w:p>
      <w:pPr>
        <w:spacing w:after="0" w:line="2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At September 30, 2014, the Company had twenty-one securities in a continuous loss position for greater than twelve months. At September 30, 2014, all of the Company’s available-for-sale securities were issued or guaranteed by either government agencies or government-sponsored enterprises. The decline in fair value of the Company’s available-for-sale securities at September 30, 2014 is attributable to changes in interest rates.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Management of the Company, in addition to considering current trends and economic conditions that may affect the quality of individual securities within the Company’s investment portfolio, also considers the Company’s ability and intent to hold such securities to maturity or recovery of cost. Management does not believe any of the Company’s available-for-sale securities are other-than-temporarily impaired at September 30, 2014.</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values of available-for-sale debt securities by contractual maturity are shown below as of September 30, 2014. Actual maturities may differ from contractual maturities because borrowers may have the right to call or prepay obligations with or without call or prepayment penalties.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3840" w:type="dxa"/>
            <w:vAlign w:val="bottom"/>
          </w:tcPr>
          <w:p>
            <w:pPr>
              <w:spacing w:after="0"/>
              <w:rPr>
                <w:sz w:val="13"/>
                <w:szCs w:val="13"/>
                <w:color w:val="auto"/>
              </w:rPr>
            </w:pPr>
          </w:p>
        </w:tc>
      </w:tr>
      <w:tr>
        <w:trPr>
          <w:trHeight w:val="173"/>
        </w:trPr>
        <w:tc>
          <w:tcPr>
            <w:tcW w:w="4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5"/>
                <w:szCs w:val="15"/>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840" w:type="dxa"/>
            <w:vAlign w:val="bottom"/>
          </w:tcPr>
          <w:p>
            <w:pPr>
              <w:spacing w:after="0"/>
              <w:rPr>
                <w:sz w:val="15"/>
                <w:szCs w:val="15"/>
                <w:color w:val="auto"/>
              </w:rPr>
            </w:pPr>
          </w:p>
        </w:tc>
      </w:tr>
      <w:tr>
        <w:trPr>
          <w:trHeight w:val="142"/>
        </w:trPr>
        <w:tc>
          <w:tcPr>
            <w:tcW w:w="45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4"/>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2"/>
                <w:szCs w:val="12"/>
                <w:color w:val="auto"/>
              </w:rPr>
            </w:pPr>
          </w:p>
        </w:tc>
        <w:tc>
          <w:tcPr>
            <w:tcW w:w="384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3,009</w:t>
            </w:r>
          </w:p>
        </w:tc>
        <w:tc>
          <w:tcPr>
            <w:tcW w:w="384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45,357</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45,342</w:t>
            </w:r>
          </w:p>
        </w:tc>
        <w:tc>
          <w:tcPr>
            <w:tcW w:w="384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31,904</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31,393</w:t>
            </w:r>
          </w:p>
        </w:tc>
        <w:tc>
          <w:tcPr>
            <w:tcW w:w="384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31,640</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30,603</w:t>
            </w:r>
          </w:p>
        </w:tc>
        <w:tc>
          <w:tcPr>
            <w:tcW w:w="3840" w:type="dxa"/>
            <w:vAlign w:val="bottom"/>
          </w:tcPr>
          <w:p>
            <w:pPr>
              <w:spacing w:after="0"/>
              <w:rPr>
                <w:sz w:val="18"/>
                <w:szCs w:val="18"/>
                <w:color w:val="auto"/>
              </w:rPr>
            </w:pPr>
          </w:p>
        </w:tc>
      </w:tr>
      <w:tr>
        <w:trPr>
          <w:trHeight w:val="210"/>
        </w:trPr>
        <w:tc>
          <w:tcPr>
            <w:tcW w:w="45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4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413"/>
        </w:trPr>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32"/>
        </w:trPr>
        <w:tc>
          <w:tcPr>
            <w:tcW w:w="45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Loans, Allowance for Loan Losses and Credit Quality</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 recognized in interest income. Interest income is accrued based upon the daily principal amount outstanding except for loans on nonaccrual status.</w:t>
      </w:r>
    </w:p>
    <w:p>
      <w:pPr>
        <w:spacing w:after="0" w:line="17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Loans purchased by the Company are accounted for under ASC 310-30, </w:t>
      </w:r>
      <w:r>
        <w:rPr>
          <w:rFonts w:ascii="Times New Roman" w:cs="Times New Roman" w:eastAsia="Times New Roman" w:hAnsi="Times New Roman"/>
          <w:sz w:val="18"/>
          <w:szCs w:val="18"/>
          <w:i w:val="1"/>
          <w:iCs w:val="1"/>
          <w:color w:val="auto"/>
        </w:rPr>
        <w:t>Receivables — Loans and Debt Securities Acquired with Deteriorated Credit Quality</w:t>
      </w:r>
      <w:r>
        <w:rPr>
          <w:rFonts w:ascii="Times New Roman" w:cs="Times New Roman" w:eastAsia="Times New Roman" w:hAnsi="Times New Roman"/>
          <w:sz w:val="18"/>
          <w:szCs w:val="18"/>
          <w:color w:val="auto"/>
        </w:rPr>
        <w:t xml:space="preserve">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pacing w:after="0" w:line="19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w:t>
      </w:r>
    </w:p>
    <w:p>
      <w:pPr>
        <w:sectPr>
          <w:pgSz w:w="11900" w:h="16838" w:orient="portrait"/>
          <w:cols w:equalWidth="0" w:num="1">
            <w:col w:w="11460"/>
          </w:cols>
          <w:pgMar w:left="240" w:top="337" w:right="199" w:bottom="0" w:gutter="0" w:footer="0" w:header="0"/>
        </w:sectPr>
      </w:pPr>
    </w:p>
    <w:bookmarkStart w:id="7" w:name="page8"/>
    <w:bookmarkEnd w:id="7"/>
    <w:p>
      <w:pPr>
        <w:ind w:right="120"/>
        <w:spacing w:after="0" w:line="266" w:lineRule="auto"/>
        <w:rPr>
          <w:sz w:val="20"/>
          <w:szCs w:val="20"/>
          <w:color w:val="auto"/>
        </w:rPr>
      </w:pPr>
      <w:r>
        <w:rPr>
          <w:rFonts w:ascii="Times New Roman" w:cs="Times New Roman" w:eastAsia="Times New Roman" w:hAnsi="Times New Roman"/>
          <w:sz w:val="18"/>
          <w:szCs w:val="18"/>
          <w:color w:val="auto"/>
        </w:rPr>
        <w:t>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pacing w:after="0" w:line="17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loan would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the Company’s loan portfolio is as follows on the dates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42"/>
        </w:trPr>
        <w:tc>
          <w:tcPr>
            <w:tcW w:w="2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Originated</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Originated</w:t>
            </w: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gridSpan w:val="6"/>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114,414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117,143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116,972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3,687</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120,659</w:t>
            </w:r>
          </w:p>
        </w:tc>
        <w:tc>
          <w:tcPr>
            <w:tcW w:w="800" w:type="dxa"/>
            <w:vAlign w:val="bottom"/>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Home equity</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27,975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27,975</w:t>
            </w:r>
          </w:p>
        </w:tc>
        <w:tc>
          <w:tcPr>
            <w:tcW w:w="8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311,631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116,617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199,481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316,098</w:t>
            </w:r>
          </w:p>
        </w:tc>
        <w:tc>
          <w:tcPr>
            <w:tcW w:w="800" w:type="dxa"/>
            <w:vAlign w:val="bottom"/>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Commercial business</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41,518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41,800</w:t>
            </w:r>
          </w:p>
        </w:tc>
        <w:tc>
          <w:tcPr>
            <w:tcW w:w="8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9,884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9,884</w:t>
            </w:r>
          </w:p>
        </w:tc>
        <w:tc>
          <w:tcPr>
            <w:tcW w:w="800" w:type="dxa"/>
            <w:vAlign w:val="bottom"/>
          </w:tcPr>
          <w:p>
            <w:pPr>
              <w:spacing w:after="0"/>
              <w:rPr>
                <w:sz w:val="18"/>
                <w:szCs w:val="18"/>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541,799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312,966</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516,416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3"/>
        </w:trPr>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2"/>
        </w:trPr>
        <w:tc>
          <w:tcPr>
            <w:tcW w:w="25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Loan Losses and Impaired Loans</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8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appropriateness of the allowance for loan losses on a quarterly basis. The calculation of the allowance for loan losses is segregated by portfolio segments, which include: commercial real estate, commercial business, consumer, residential real estate, and purchased loans. Risk characteristics relevant to each portfolio segment are as follows:</w:t>
      </w:r>
    </w:p>
    <w:p>
      <w:pPr>
        <w:spacing w:after="0" w:line="184" w:lineRule="exact"/>
        <w:rPr>
          <w:sz w:val="20"/>
          <w:szCs w:val="20"/>
          <w:color w:val="auto"/>
        </w:rPr>
      </w:pPr>
    </w:p>
    <w:p>
      <w:pPr>
        <w:ind w:left="440" w:right="60"/>
        <w:spacing w:after="0" w:line="261" w:lineRule="auto"/>
        <w:rPr>
          <w:sz w:val="20"/>
          <w:szCs w:val="20"/>
          <w:color w:val="auto"/>
        </w:rPr>
      </w:pPr>
      <w:r>
        <w:rPr>
          <w:rFonts w:ascii="Times New Roman" w:cs="Times New Roman" w:eastAsia="Times New Roman" w:hAnsi="Times New Roman"/>
          <w:sz w:val="18"/>
          <w:szCs w:val="18"/>
          <w:color w:val="auto"/>
        </w:rPr>
        <w:t>Residential real estate: All loans in this segment are collateralized by residential real estate and repayment is primarily dependent on the credit quality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0" w:lineRule="exact"/>
        <w:rPr>
          <w:sz w:val="20"/>
          <w:szCs w:val="20"/>
          <w:color w:val="auto"/>
        </w:rPr>
      </w:pPr>
    </w:p>
    <w:p>
      <w:pPr>
        <w:ind w:left="440" w:right="100"/>
        <w:spacing w:after="0" w:line="258" w:lineRule="auto"/>
        <w:rPr>
          <w:sz w:val="20"/>
          <w:szCs w:val="20"/>
          <w:color w:val="auto"/>
        </w:rPr>
      </w:pPr>
      <w:r>
        <w:rPr>
          <w:rFonts w:ascii="Times New Roman" w:cs="Times New Roman" w:eastAsia="Times New Roman" w:hAnsi="Times New Roman"/>
          <w:sz w:val="18"/>
          <w:szCs w:val="18"/>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84" w:lineRule="exact"/>
        <w:rPr>
          <w:sz w:val="20"/>
          <w:szCs w:val="20"/>
          <w:color w:val="auto"/>
        </w:rPr>
      </w:pPr>
    </w:p>
    <w:p>
      <w:pPr>
        <w:jc w:val="both"/>
        <w:ind w:left="440" w:right="360"/>
        <w:spacing w:after="0" w:line="266" w:lineRule="auto"/>
        <w:rPr>
          <w:sz w:val="20"/>
          <w:szCs w:val="20"/>
          <w:color w:val="auto"/>
        </w:rPr>
      </w:pPr>
      <w:r>
        <w:rPr>
          <w:rFonts w:ascii="Times New Roman" w:cs="Times New Roman" w:eastAsia="Times New Roman" w:hAnsi="Times New Roman"/>
          <w:sz w:val="18"/>
          <w:szCs w:val="18"/>
          <w:color w:val="auto"/>
        </w:rPr>
        <w:t>Commercial business: Loans in this segment are made to businesses and are generally secured by the assets of the business. Repayment is expected from the cash flows of the business. Weakness in national or regional economic conditions, and a corresponding weakness in consumer or business spending, will have an adverse effect on the credit quality of this segment.</w:t>
      </w:r>
    </w:p>
    <w:p>
      <w:pPr>
        <w:spacing w:after="0" w:line="176" w:lineRule="exact"/>
        <w:rPr>
          <w:sz w:val="20"/>
          <w:szCs w:val="20"/>
          <w:color w:val="auto"/>
        </w:rPr>
      </w:pPr>
    </w:p>
    <w:p>
      <w:pPr>
        <w:ind w:left="440" w:right="300"/>
        <w:spacing w:after="0" w:line="282" w:lineRule="auto"/>
        <w:rPr>
          <w:sz w:val="20"/>
          <w:szCs w:val="20"/>
          <w:color w:val="auto"/>
        </w:rPr>
      </w:pPr>
      <w:r>
        <w:rPr>
          <w:rFonts w:ascii="Times New Roman" w:cs="Times New Roman" w:eastAsia="Times New Roman" w:hAnsi="Times New Roman"/>
          <w:sz w:val="18"/>
          <w:szCs w:val="18"/>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62" w:lineRule="exact"/>
        <w:rPr>
          <w:sz w:val="20"/>
          <w:szCs w:val="20"/>
          <w:color w:val="auto"/>
        </w:rPr>
      </w:pPr>
    </w:p>
    <w:p>
      <w:pPr>
        <w:ind w:left="440" w:right="60"/>
        <w:spacing w:after="0" w:line="255" w:lineRule="auto"/>
        <w:rPr>
          <w:sz w:val="20"/>
          <w:szCs w:val="20"/>
          <w:color w:val="auto"/>
        </w:rPr>
      </w:pPr>
      <w:r>
        <w:rPr>
          <w:rFonts w:ascii="Times New Roman" w:cs="Times New Roman" w:eastAsia="Times New Roman" w:hAnsi="Times New Roman"/>
          <w:sz w:val="18"/>
          <w:szCs w:val="18"/>
          <w:color w:val="auto"/>
        </w:rPr>
        <w:t>Purchased: Loans in this segment are typically secured by commercial real estate, multi-family residential real estate, or business assets and have been acquired by the Bank’s Loan Acquisition and Servicing Group (“LASG”). Loans acquired by the LASG are, with limited exceptions, performing loans at the date of purchase. Loans in this segment acquired with specific material credit deterioration since origination are identified as purchased credit-impaired.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8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general component of the allowance for loan losses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ectPr>
          <w:pgSz w:w="11900" w:h="16838" w:orient="portrait"/>
          <w:cols w:equalWidth="0" w:num="1">
            <w:col w:w="11460"/>
          </w:cols>
          <w:pgMar w:left="240" w:top="121" w:right="199" w:bottom="0" w:gutter="0" w:footer="0" w:header="0"/>
        </w:sectPr>
      </w:pPr>
    </w:p>
    <w:bookmarkStart w:id="8" w:name="page9"/>
    <w:bookmarkEnd w:id="8"/>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and trends in delinquencies and nonperforming loans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volume and nature of loans</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credit terms and policies, including underwriting standards, procedures and practices, and the experience and ability of lending management and staff</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portfolio concentration</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local economic trends and conditions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changes or trends in internal risk ratings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effects resulting from trends in the valuation of underlying collateral</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Company’s policies or methodology pertaining to the general component of the allowance for loan losses during the three months ended September 30, 2014 or 2013.</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allocated component of the allowance for loan losses relates to loans that are classified as impaired. Impairment is measured on a loan-by-loan basis for commercial business and commercial real estate loans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 Large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groups of smaller-balance homogeneous loans, such as consumer and residential real estate loans are collectively evaluated for impairment based on the group’s historical loss experience adjusted for qualitative factors. Accordingly, the Company does not separately identify individual consumer and residential loans for individual impairment and disclosure. However, all TDRs are individually reviewed for impairment.</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estimated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collecting the scheduled principal and interest payments when due.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activity in the Company’s allowance for loan losses.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9"/>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2014</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Residential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4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Charge-offs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0"/>
        </w:trPr>
        <w:tc>
          <w:tcPr>
            <w:tcW w:w="2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9"/>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2013</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Residential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4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Charge-offs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2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allowance for loan losses by portfolio segment and impairment methodology.</w:t>
      </w:r>
    </w:p>
    <w:p>
      <w:pPr>
        <w:spacing w:after="0" w:line="21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4"/>
          <w:szCs w:val="14"/>
          <w:b w:val="1"/>
          <w:bCs w:val="1"/>
          <w:color w:val="auto"/>
        </w:rPr>
        <w:t>September 30, 2014</w:t>
      </w:r>
    </w:p>
    <w:p>
      <w:pPr>
        <w:spacing w:after="0" w:line="12" w:lineRule="exact"/>
        <w:rPr>
          <w:sz w:val="20"/>
          <w:szCs w:val="20"/>
          <w:color w:val="auto"/>
        </w:rPr>
      </w:pPr>
    </w:p>
    <w:tbl>
      <w:tblPr>
        <w:tblLayout w:type="fixed"/>
        <w:tblInd w:w="2740" w:type="dxa"/>
        <w:tblCellMar>
          <w:top w:w="0" w:type="dxa"/>
          <w:left w:w="0" w:type="dxa"/>
          <w:bottom w:w="0" w:type="dxa"/>
          <w:right w:w="0" w:type="dxa"/>
        </w:tblCellMar>
      </w:tblPr>
      <w:tr>
        <w:trPr>
          <w:trHeight w:val="117"/>
        </w:trPr>
        <w:tc>
          <w:tcPr>
            <w:tcW w:w="1160" w:type="dxa"/>
            <w:vAlign w:val="bottom"/>
            <w:tcBorders>
              <w:top w:val="single" w:sz="8" w:color="auto"/>
            </w:tcBorders>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Residential</w:t>
            </w:r>
          </w:p>
        </w:tc>
        <w:tc>
          <w:tcPr>
            <w:tcW w:w="12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080" w:type="dxa"/>
            <w:vAlign w:val="bottom"/>
            <w:tcBorders>
              <w:top w:val="single" w:sz="8" w:color="auto"/>
            </w:tcBorders>
          </w:tcPr>
          <w:p>
            <w:pPr>
              <w:jc w:val="center"/>
              <w:ind w:left="111"/>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600" w:type="dxa"/>
            <w:vAlign w:val="bottom"/>
            <w:tcBorders>
              <w:top w:val="single" w:sz="8" w:color="auto"/>
            </w:tcBorders>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360" w:type="dxa"/>
            <w:vAlign w:val="bottom"/>
            <w:tcBorders>
              <w:top w:val="single" w:sz="8" w:color="auto"/>
            </w:tcBorders>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02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80" w:type="dxa"/>
            <w:vAlign w:val="bottom"/>
            <w:tcBorders>
              <w:bottom w:val="single" w:sz="8" w:color="auto"/>
            </w:tcBorders>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60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0" w:type="dxa"/>
            <w:vAlign w:val="bottom"/>
          </w:tcPr>
          <w:p>
            <w:pPr>
              <w:ind w:left="100"/>
              <w:spacing w:after="0" w:line="144"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00"/>
          </w:cols>
          <w:pgMar w:left="240" w:top="121" w:right="259" w:bottom="0" w:gutter="0" w:footer="0" w:header="0"/>
        </w:sectPr>
      </w:pPr>
    </w:p>
    <w:p>
      <w:pPr>
        <w:spacing w:after="0"/>
        <w:rPr>
          <w:sz w:val="20"/>
          <w:szCs w:val="20"/>
          <w:color w:val="auto"/>
        </w:rPr>
      </w:pPr>
      <w:r>
        <w:rPr>
          <w:rFonts w:ascii="Times New Roman" w:cs="Times New Roman" w:eastAsia="Times New Roman" w:hAnsi="Times New Roman"/>
          <w:sz w:val="18"/>
          <w:szCs w:val="18"/>
          <w:color w:val="auto"/>
        </w:rPr>
        <w:t>Allowance for loan losses:</w:t>
      </w:r>
    </w:p>
    <w:p>
      <w:pPr>
        <w:sectPr>
          <w:pgSz w:w="11900" w:h="16838" w:orient="portrait"/>
          <w:cols w:equalWidth="0" w:num="1">
            <w:col w:w="11400"/>
          </w:cols>
          <w:pgMar w:left="240" w:top="121" w:right="259" w:bottom="0" w:gutter="0" w:footer="0" w:header="0"/>
          <w:type w:val="continuous"/>
        </w:sectPr>
      </w:pPr>
    </w:p>
    <w:bookmarkStart w:id="9" w:name="page10"/>
    <w:bookmarkEnd w:id="9"/>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ASC 310-30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137,731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106,415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76,663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329,855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ASC 310-30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199,654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199,654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Residential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20" w:type="dxa"/>
            <w:vAlign w:val="bottom"/>
          </w:tcPr>
          <w:p>
            <w:pPr>
              <w:spacing w:after="0"/>
              <w:rPr>
                <w:sz w:val="10"/>
                <w:szCs w:val="10"/>
                <w:color w:val="auto"/>
              </w:rPr>
            </w:pPr>
          </w:p>
        </w:tc>
        <w:tc>
          <w:tcPr>
            <w:tcW w:w="94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40" w:type="dxa"/>
            <w:vAlign w:val="bottom"/>
          </w:tcPr>
          <w:p>
            <w:pPr>
              <w:spacing w:after="0"/>
              <w:rPr>
                <w:sz w:val="10"/>
                <w:szCs w:val="10"/>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ASC 310-30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142,633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114,068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41,518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9,644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ASC 310-30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198,703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10"/>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At September 30, 2014</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At June 30, 2014</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jc w:val="center"/>
              <w:ind w:left="14"/>
              <w:spacing w:after="0" w:line="118" w:lineRule="exact"/>
              <w:rPr>
                <w:sz w:val="20"/>
                <w:szCs w:val="20"/>
                <w:color w:val="auto"/>
              </w:rPr>
            </w:pPr>
            <w:r>
              <w:rPr>
                <w:rFonts w:ascii="Times New Roman" w:cs="Times New Roman" w:eastAsia="Times New Roman" w:hAnsi="Times New Roman"/>
                <w:sz w:val="13"/>
                <w:szCs w:val="13"/>
                <w:b w:val="1"/>
                <w:bCs w:val="1"/>
                <w:color w:val="auto"/>
              </w:rPr>
              <w:t>Unpaid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Unpaid</w:t>
            </w:r>
          </w:p>
        </w:tc>
        <w:tc>
          <w:tcPr>
            <w:tcW w:w="160" w:type="dxa"/>
            <w:vAlign w:val="bottom"/>
          </w:tcPr>
          <w:p>
            <w:pPr>
              <w:spacing w:after="0"/>
              <w:rPr>
                <w:sz w:val="10"/>
                <w:szCs w:val="10"/>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5"/>
                <w:szCs w:val="15"/>
                <w:color w:val="auto"/>
              </w:rPr>
            </w:pPr>
          </w:p>
        </w:tc>
        <w:tc>
          <w:tcPr>
            <w:tcW w:w="11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7"/>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Impaired loans without a valuation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Originated: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1,396</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8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1,005</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195</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814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business</w:t>
            </w:r>
          </w:p>
        </w:tc>
        <w:tc>
          <w:tcPr>
            <w:tcW w:w="1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2,857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4,148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Impaired loans with a valuation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Originated: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1,309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1,278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1,181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1,187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business</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Purchased: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impaired loans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center"/>
              <w:ind w:right="14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0"/>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5"/>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40" w:type="dxa"/>
            <w:vAlign w:val="bottom"/>
          </w:tcPr>
          <w:p>
            <w:pPr>
              <w:spacing w:after="0"/>
              <w:rPr>
                <w:sz w:val="15"/>
                <w:szCs w:val="15"/>
                <w:color w:val="auto"/>
              </w:rPr>
            </w:pPr>
          </w:p>
        </w:tc>
        <w:tc>
          <w:tcPr>
            <w:tcW w:w="1800" w:type="dxa"/>
            <w:vAlign w:val="bottom"/>
            <w:gridSpan w:val="8"/>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7"/>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loans without a valuation allowance: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Originated: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1,201</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1,061</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business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3,938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1,637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Impaired loans with a valuation allowance: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Originated: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70" w:orient="portrait"/>
          <w:cols w:equalWidth="0" w:num="1">
            <w:col w:w="11460"/>
          </w:cols>
          <w:pgMar w:left="240" w:top="121" w:right="19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real estate</w:t>
            </w:r>
          </w:p>
        </w:tc>
        <w:tc>
          <w:tcPr>
            <w:tcW w:w="3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1,707</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1,393</w:t>
            </w:r>
          </w:p>
        </w:tc>
        <w:tc>
          <w:tcPr>
            <w:tcW w:w="46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18</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w:t>
            </w:r>
          </w:p>
        </w:tc>
        <w:tc>
          <w:tcPr>
            <w:tcW w:w="1940" w:type="dxa"/>
            <w:vAlign w:val="bottom"/>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3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1,334</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1,121</w:t>
            </w:r>
          </w:p>
        </w:tc>
        <w:tc>
          <w:tcPr>
            <w:tcW w:w="46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26</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business</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Purchased:</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w:t>
            </w:r>
          </w:p>
        </w:tc>
        <w:tc>
          <w:tcPr>
            <w:tcW w:w="1940" w:type="dxa"/>
            <w:vAlign w:val="bottom"/>
          </w:tcPr>
          <w:p>
            <w:pPr>
              <w:spacing w:after="0"/>
              <w:rPr>
                <w:sz w:val="18"/>
                <w:szCs w:val="18"/>
                <w:color w:val="auto"/>
              </w:rPr>
            </w:pPr>
          </w:p>
        </w:tc>
      </w:tr>
      <w:tr>
        <w:trPr>
          <w:trHeight w:val="210"/>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2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47</w:t>
            </w:r>
          </w:p>
        </w:tc>
        <w:tc>
          <w:tcPr>
            <w:tcW w:w="120" w:type="dxa"/>
            <w:vAlign w:val="bottom"/>
            <w:tcBorders>
              <w:bottom w:val="single" w:sz="8" w:color="CCEEFF"/>
            </w:tcBorders>
          </w:tcPr>
          <w:p>
            <w:pPr>
              <w:spacing w:after="0"/>
              <w:rPr>
                <w:sz w:val="18"/>
                <w:szCs w:val="18"/>
                <w:color w:val="auto"/>
              </w:rPr>
            </w:pPr>
          </w:p>
        </w:tc>
        <w:tc>
          <w:tcPr>
            <w:tcW w:w="1940" w:type="dxa"/>
            <w:vAlign w:val="bottom"/>
          </w:tcPr>
          <w:p>
            <w:pPr>
              <w:spacing w:after="0"/>
              <w:rPr>
                <w:sz w:val="18"/>
                <w:szCs w:val="18"/>
                <w:color w:val="auto"/>
              </w:rPr>
            </w:pPr>
          </w:p>
        </w:tc>
      </w:tr>
      <w:tr>
        <w:trPr>
          <w:trHeight w:val="210"/>
        </w:trPr>
        <w:tc>
          <w:tcPr>
            <w:tcW w:w="44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impaired loans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2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71</w:t>
            </w:r>
          </w:p>
        </w:tc>
        <w:tc>
          <w:tcPr>
            <w:tcW w:w="120" w:type="dxa"/>
            <w:vAlign w:val="bottom"/>
            <w:tcBorders>
              <w:bottom w:val="single" w:sz="8" w:color="CCEEFF"/>
            </w:tcBorders>
            <w:shd w:val="clear" w:color="auto" w:fill="CCEEFF"/>
          </w:tcPr>
          <w:p>
            <w:pPr>
              <w:spacing w:after="0"/>
              <w:rPr>
                <w:sz w:val="18"/>
                <w:szCs w:val="18"/>
                <w:color w:val="auto"/>
              </w:rPr>
            </w:pPr>
          </w:p>
        </w:tc>
        <w:tc>
          <w:tcPr>
            <w:tcW w:w="194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3"/>
        </w:trPr>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32"/>
        </w:trPr>
        <w:tc>
          <w:tcPr>
            <w:tcW w:w="44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Quality</w:t>
      </w:r>
    </w:p>
    <w:p>
      <w:pPr>
        <w:spacing w:after="0" w:line="227"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The Company utilizes a ten-point internal loan rating system for commercial real estate, construction, commercial business, and certain residential loans as follows: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Loans rated 7: Loans in this category are considered “special mention.” These loans show signs of potential weakness and are being closely monitored by management.</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liquidation of the debt.</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an annual basis, or more often if needed, the Company formally reviews the ratings of all loans subject to risk ratings. Semi-annually,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loans by risk rating.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Originated Portfolio</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Residential(1)</w:t>
            </w:r>
          </w:p>
        </w:tc>
        <w:tc>
          <w:tcPr>
            <w:tcW w:w="200" w:type="dxa"/>
            <w:vAlign w:val="bottom"/>
          </w:tcPr>
          <w:p>
            <w:pPr>
              <w:spacing w:after="0"/>
              <w:rPr>
                <w:sz w:val="10"/>
                <w:szCs w:val="10"/>
                <w:color w:val="auto"/>
              </w:rPr>
            </w:pPr>
          </w:p>
        </w:tc>
        <w:tc>
          <w:tcPr>
            <w:tcW w:w="19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Purchased Portfolio</w:t>
            </w:r>
          </w:p>
        </w:tc>
        <w:tc>
          <w:tcPr>
            <w:tcW w:w="240" w:type="dxa"/>
            <w:vAlign w:val="bottom"/>
          </w:tcPr>
          <w:p>
            <w:pPr>
              <w:spacing w:after="0"/>
              <w:rPr>
                <w:sz w:val="10"/>
                <w:szCs w:val="10"/>
                <w:color w:val="auto"/>
              </w:rPr>
            </w:pPr>
          </w:p>
        </w:tc>
        <w:tc>
          <w:tcPr>
            <w:tcW w:w="1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5"/>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102,725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76,427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11,686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191,367</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382,207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Loans rated 7</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9,815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rated 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665</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4,746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Loans rated 9</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rated 10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205,928</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Originated Portfolio</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Residential(1)</w:t>
            </w:r>
          </w:p>
        </w:tc>
        <w:tc>
          <w:tcPr>
            <w:tcW w:w="200" w:type="dxa"/>
            <w:vAlign w:val="bottom"/>
          </w:tcPr>
          <w:p>
            <w:pPr>
              <w:spacing w:after="0"/>
              <w:rPr>
                <w:sz w:val="10"/>
                <w:szCs w:val="10"/>
                <w:color w:val="auto"/>
              </w:rPr>
            </w:pPr>
          </w:p>
        </w:tc>
        <w:tc>
          <w:tcPr>
            <w:tcW w:w="19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Purchased Portfolio</w:t>
            </w:r>
          </w:p>
        </w:tc>
        <w:tc>
          <w:tcPr>
            <w:tcW w:w="240" w:type="dxa"/>
            <w:vAlign w:val="bottom"/>
          </w:tcPr>
          <w:p>
            <w:pPr>
              <w:spacing w:after="0"/>
              <w:rPr>
                <w:sz w:val="10"/>
                <w:szCs w:val="10"/>
                <w:color w:val="auto"/>
              </w:rPr>
            </w:pPr>
          </w:p>
        </w:tc>
        <w:tc>
          <w:tcPr>
            <w:tcW w:w="1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5"/>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110,044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41,271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11,941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189,986</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353,242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Loans rated 7</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940</w:t>
            </w:r>
          </w:p>
        </w:tc>
        <w:tc>
          <w:tcPr>
            <w:tcW w:w="20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8,619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rated 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4,845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Loans rated 9</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rated 10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203,450</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375,136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Company’s loans made for commercial purposes, but secured by residential collateral, are rated under the Company’s risk-rating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Past Due and Nonaccrual Loans</w:t>
      </w:r>
    </w:p>
    <w:p>
      <w:pPr>
        <w:sectPr>
          <w:pgSz w:w="11900" w:h="16838" w:orient="portrait"/>
          <w:cols w:equalWidth="0" w:num="1">
            <w:col w:w="11460"/>
          </w:cols>
          <w:pgMar w:left="240" w:top="121" w:right="199" w:bottom="11"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following is a summary of past due and non-accrual loans: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Past Due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Past Due</w:t>
            </w:r>
          </w:p>
        </w:tc>
        <w:tc>
          <w:tcPr>
            <w:tcW w:w="300" w:type="dxa"/>
            <w:vAlign w:val="bottom"/>
          </w:tcPr>
          <w:p>
            <w:pPr>
              <w:spacing w:after="0"/>
              <w:rPr>
                <w:sz w:val="10"/>
                <w:szCs w:val="10"/>
                <w:color w:val="auto"/>
              </w:rPr>
            </w:pPr>
          </w:p>
        </w:tc>
        <w:tc>
          <w:tcPr>
            <w:tcW w:w="7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30-59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60-89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90 Days 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90 Days or</w:t>
            </w: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More-Still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More-</w:t>
            </w:r>
          </w:p>
        </w:tc>
        <w:tc>
          <w:tcPr>
            <w:tcW w:w="300" w:type="dxa"/>
            <w:vAlign w:val="bottom"/>
          </w:tcPr>
          <w:p>
            <w:pPr>
              <w:spacing w:after="0"/>
              <w:rPr>
                <w:sz w:val="12"/>
                <w:szCs w:val="12"/>
                <w:color w:val="auto"/>
              </w:rPr>
            </w:pPr>
          </w:p>
        </w:tc>
        <w:tc>
          <w:tcPr>
            <w:tcW w:w="7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Past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Accrual</w:t>
            </w: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Accruing</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300" w:type="dxa"/>
            <w:vAlign w:val="bottom"/>
          </w:tcPr>
          <w:p>
            <w:pPr>
              <w:spacing w:after="0"/>
              <w:rPr>
                <w:sz w:val="15"/>
                <w:szCs w:val="15"/>
                <w:color w:val="auto"/>
              </w:rPr>
            </w:pPr>
          </w:p>
        </w:tc>
        <w:tc>
          <w:tcPr>
            <w:tcW w:w="7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Originated portfolio:</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real estate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112,173</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114,414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2,105</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 equity</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26,818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107,544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108,709</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business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76,663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9,267</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originated portfolio</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335,871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Purchased portfolio:</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business</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3,437</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199,196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202,922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purchased portfolio</w:t>
            </w: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202,202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205,928</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loans</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534,207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541,799</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Past Due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Past Due</w:t>
            </w:r>
          </w:p>
        </w:tc>
        <w:tc>
          <w:tcPr>
            <w:tcW w:w="300" w:type="dxa"/>
            <w:vAlign w:val="bottom"/>
          </w:tcPr>
          <w:p>
            <w:pPr>
              <w:spacing w:after="0"/>
              <w:rPr>
                <w:sz w:val="10"/>
                <w:szCs w:val="10"/>
                <w:color w:val="auto"/>
              </w:rPr>
            </w:pPr>
          </w:p>
        </w:tc>
        <w:tc>
          <w:tcPr>
            <w:tcW w:w="7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30-59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60-89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90 Days 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90 Days or</w:t>
            </w: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More-Still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More-</w:t>
            </w:r>
          </w:p>
        </w:tc>
        <w:tc>
          <w:tcPr>
            <w:tcW w:w="300" w:type="dxa"/>
            <w:vAlign w:val="bottom"/>
          </w:tcPr>
          <w:p>
            <w:pPr>
              <w:spacing w:after="0"/>
              <w:rPr>
                <w:sz w:val="12"/>
                <w:szCs w:val="12"/>
                <w:color w:val="auto"/>
              </w:rPr>
            </w:pPr>
          </w:p>
        </w:tc>
        <w:tc>
          <w:tcPr>
            <w:tcW w:w="7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Past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Accrual</w:t>
            </w: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Accruing</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300" w:type="dxa"/>
            <w:vAlign w:val="bottom"/>
          </w:tcPr>
          <w:p>
            <w:pPr>
              <w:spacing w:after="0"/>
              <w:rPr>
                <w:sz w:val="15"/>
                <w:szCs w:val="15"/>
                <w:color w:val="auto"/>
              </w:rPr>
            </w:pPr>
          </w:p>
        </w:tc>
        <w:tc>
          <w:tcPr>
            <w:tcW w:w="7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Originated portfolio:</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real estate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114,449</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116,972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 equity</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27,975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116,617</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business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41,518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9,884</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originated portfolio</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312,966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Purchased portfolio:</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business</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197,486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199,481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4,116</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purchased portfolio</w:t>
            </w: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201,455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203,450</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loans</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510,510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516,416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Troubled Debt Restructurings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post-modification balance of TDRs by type of modification.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142"/>
        </w:trPr>
        <w:tc>
          <w:tcPr>
            <w:tcW w:w="332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r>
      <w:tr>
        <w:trPr>
          <w:trHeight w:val="117"/>
        </w:trPr>
        <w:tc>
          <w:tcPr>
            <w:tcW w:w="3320" w:type="dxa"/>
            <w:vAlign w:val="bottom"/>
          </w:tcPr>
          <w:p>
            <w:pPr>
              <w:spacing w:after="0"/>
              <w:rPr>
                <w:sz w:val="10"/>
                <w:szCs w:val="10"/>
                <w:color w:val="auto"/>
              </w:rPr>
            </w:pPr>
          </w:p>
        </w:tc>
        <w:tc>
          <w:tcPr>
            <w:tcW w:w="13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0"/>
                <w:szCs w:val="10"/>
                <w:color w:val="auto"/>
              </w:rPr>
            </w:pPr>
          </w:p>
        </w:tc>
        <w:tc>
          <w:tcPr>
            <w:tcW w:w="90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Recorded</w:t>
            </w:r>
          </w:p>
        </w:tc>
        <w:tc>
          <w:tcPr>
            <w:tcW w:w="280" w:type="dxa"/>
            <w:vAlign w:val="bottom"/>
          </w:tcPr>
          <w:p>
            <w:pPr>
              <w:spacing w:after="0"/>
              <w:rPr>
                <w:sz w:val="10"/>
                <w:szCs w:val="10"/>
                <w:color w:val="auto"/>
              </w:rPr>
            </w:pPr>
          </w:p>
        </w:tc>
        <w:tc>
          <w:tcPr>
            <w:tcW w:w="130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0"/>
                <w:szCs w:val="10"/>
                <w:color w:val="auto"/>
              </w:rPr>
            </w:pPr>
          </w:p>
        </w:tc>
        <w:tc>
          <w:tcPr>
            <w:tcW w:w="88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Recorded</w:t>
            </w:r>
          </w:p>
        </w:tc>
        <w:tc>
          <w:tcPr>
            <w:tcW w:w="100" w:type="dxa"/>
            <w:vAlign w:val="bottom"/>
          </w:tcPr>
          <w:p>
            <w:pPr>
              <w:spacing w:after="0"/>
              <w:rPr>
                <w:sz w:val="10"/>
                <w:szCs w:val="10"/>
                <w:color w:val="auto"/>
              </w:rPr>
            </w:pPr>
          </w:p>
        </w:tc>
        <w:tc>
          <w:tcPr>
            <w:tcW w:w="3100" w:type="dxa"/>
            <w:vAlign w:val="bottom"/>
          </w:tcPr>
          <w:p>
            <w:pPr>
              <w:spacing w:after="0"/>
              <w:rPr>
                <w:sz w:val="10"/>
                <w:szCs w:val="10"/>
                <w:color w:val="auto"/>
              </w:rPr>
            </w:pPr>
          </w:p>
        </w:tc>
      </w:tr>
      <w:tr>
        <w:trPr>
          <w:trHeight w:val="173"/>
        </w:trPr>
        <w:tc>
          <w:tcPr>
            <w:tcW w:w="332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100" w:type="dxa"/>
            <w:vAlign w:val="bottom"/>
          </w:tcPr>
          <w:p>
            <w:pPr>
              <w:spacing w:after="0"/>
              <w:rPr>
                <w:sz w:val="15"/>
                <w:szCs w:val="15"/>
                <w:color w:val="auto"/>
              </w:rPr>
            </w:pPr>
          </w:p>
        </w:tc>
      </w:tr>
      <w:tr>
        <w:trPr>
          <w:trHeight w:val="142"/>
        </w:trPr>
        <w:tc>
          <w:tcPr>
            <w:tcW w:w="33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4"/>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Extended maturity</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234</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310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Adjusted interest rate</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3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and maturity</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246</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Principal deferment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461</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3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Court ordered concession</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spacing w:after="0"/>
              <w:rPr>
                <w:sz w:val="18"/>
                <w:szCs w:val="18"/>
                <w:color w:val="auto"/>
              </w:rPr>
            </w:pPr>
          </w:p>
        </w:tc>
      </w:tr>
      <w:tr>
        <w:trPr>
          <w:trHeight w:val="210"/>
        </w:trPr>
        <w:tc>
          <w:tcPr>
            <w:tcW w:w="33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13"/>
        </w:trPr>
        <w:tc>
          <w:tcPr>
            <w:tcW w:w="3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32"/>
        </w:trPr>
        <w:tc>
          <w:tcPr>
            <w:tcW w:w="3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loans modified in a TDR and the change in the recorded investment subsequent to the modifications occurring.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420" w:type="dxa"/>
            <w:vAlign w:val="bottom"/>
          </w:tcPr>
          <w:p>
            <w:pPr>
              <w:spacing w:after="0"/>
              <w:rPr>
                <w:sz w:val="10"/>
                <w:szCs w:val="10"/>
                <w:color w:val="auto"/>
              </w:rPr>
            </w:pPr>
          </w:p>
        </w:tc>
        <w:tc>
          <w:tcPr>
            <w:tcW w:w="11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0"/>
                <w:szCs w:val="10"/>
                <w:color w:val="auto"/>
              </w:rPr>
            </w:pPr>
          </w:p>
        </w:tc>
        <w:tc>
          <w:tcPr>
            <w:tcW w:w="12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Recorded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Recorded</w:t>
            </w:r>
          </w:p>
        </w:tc>
        <w:tc>
          <w:tcPr>
            <w:tcW w:w="220" w:type="dxa"/>
            <w:vAlign w:val="bottom"/>
          </w:tcPr>
          <w:p>
            <w:pPr>
              <w:spacing w:after="0"/>
              <w:rPr>
                <w:sz w:val="10"/>
                <w:szCs w:val="10"/>
                <w:color w:val="auto"/>
              </w:rPr>
            </w:pPr>
          </w:p>
        </w:tc>
        <w:tc>
          <w:tcPr>
            <w:tcW w:w="11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0"/>
                <w:szCs w:val="10"/>
                <w:color w:val="auto"/>
              </w:rPr>
            </w:pPr>
          </w:p>
        </w:tc>
        <w:tc>
          <w:tcPr>
            <w:tcW w:w="14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Recorded</w:t>
            </w:r>
          </w:p>
        </w:tc>
        <w:tc>
          <w:tcPr>
            <w:tcW w:w="80" w:type="dxa"/>
            <w:vAlign w:val="bottom"/>
          </w:tcPr>
          <w:p>
            <w:pPr>
              <w:spacing w:after="0"/>
              <w:rPr>
                <w:sz w:val="10"/>
                <w:szCs w:val="10"/>
                <w:color w:val="auto"/>
              </w:rPr>
            </w:pPr>
          </w:p>
        </w:tc>
        <w:tc>
          <w:tcPr>
            <w:tcW w:w="126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Recorded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Pre-Modification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Post-Modification</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Pre-Modification</w:t>
            </w:r>
          </w:p>
        </w:tc>
        <w:tc>
          <w:tcPr>
            <w:tcW w:w="80" w:type="dxa"/>
            <w:vAlign w:val="bottom"/>
          </w:tcPr>
          <w:p>
            <w:pPr>
              <w:spacing w:after="0"/>
              <w:rPr>
                <w:sz w:val="15"/>
                <w:szCs w:val="15"/>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Post-Modification</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4"/>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Originated portfolio:</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Residential real estate</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823</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823</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Home equity</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Commercial business</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originated portfolio</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1,026</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437</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Purchased portfolio:</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Residential real estate</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4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purchased portfolio</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1,026</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437</w:t>
            </w:r>
          </w:p>
        </w:tc>
        <w:tc>
          <w:tcPr>
            <w:tcW w:w="2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1" w:right="199" w:bottom="36" w:gutter="0" w:footer="0" w:header="0"/>
        </w:sectPr>
      </w:pPr>
    </w:p>
    <w:bookmarkStart w:id="12" w:name="page13"/>
    <w:bookmarkEnd w:id="12"/>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considers TDRs past due 90 days or more to be in payment default. Two loans modified in a TDR in the last twelve months defaulted during the three months ended September 30, 2014; the recorded investment of such loans was $48 thousand. As of September 30, 2014, there were no further commitments to lend associated with loans modified in a TDR.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ASC 310-30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loans accounted for under ASC 310-30 that were acquired by the Company during the period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2014</w:t>
            </w:r>
          </w:p>
        </w:tc>
      </w:tr>
      <w:tr>
        <w:trPr>
          <w:trHeight w:val="142"/>
        </w:trPr>
        <w:tc>
          <w:tcPr>
            <w:tcW w:w="3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140" w:type="dxa"/>
            <w:vAlign w:val="bottom"/>
            <w:tcBorders>
              <w:top w:val="single" w:sz="8" w:color="auto"/>
            </w:tcBorders>
          </w:tcPr>
          <w:p>
            <w:pPr>
              <w:jc w:val="right"/>
              <w:ind w:right="935"/>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Contractually required payments receivable</w:t>
            </w:r>
          </w:p>
        </w:tc>
        <w:tc>
          <w:tcPr>
            <w:tcW w:w="9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21,108</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Nonaccretable difference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expected to be collected</w:t>
            </w:r>
          </w:p>
        </w:tc>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Accretable yield</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(7,960)</w:t>
            </w:r>
          </w:p>
        </w:tc>
      </w:tr>
      <w:tr>
        <w:trPr>
          <w:trHeight w:val="210"/>
        </w:trPr>
        <w:tc>
          <w:tcPr>
            <w:tcW w:w="3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loans acquired</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3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Certain of the loans accounted for under ASC 310-30 that were acquired by the Company are not accounted for using the income recognition model because the Company cannot reasonably estimate cash flows expected to be collected. The carrying amounts of such loans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and for the three</w:t>
            </w:r>
          </w:p>
        </w:tc>
      </w:tr>
      <w:tr>
        <w:trPr>
          <w:trHeight w:val="149"/>
        </w:trPr>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173"/>
        </w:trPr>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2014</w:t>
            </w: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acquired during the period</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Loans at end of period</w:t>
            </w:r>
          </w:p>
        </w:tc>
        <w:tc>
          <w:tcPr>
            <w:tcW w:w="220" w:type="dxa"/>
            <w:vAlign w:val="bottom"/>
          </w:tcPr>
          <w:p>
            <w:pPr>
              <w:spacing w:after="0"/>
              <w:rPr>
                <w:sz w:val="20"/>
                <w:szCs w:val="20"/>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4,287</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accretable yield for loans accounted for under ASC 310-30.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2014</w:t>
            </w:r>
          </w:p>
        </w:tc>
      </w:tr>
      <w:tr>
        <w:trPr>
          <w:trHeight w:val="142"/>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140" w:type="dxa"/>
            <w:vAlign w:val="bottom"/>
            <w:tcBorders>
              <w:top w:val="single" w:sz="8" w:color="auto"/>
            </w:tcBorders>
          </w:tcPr>
          <w:p>
            <w:pPr>
              <w:jc w:val="right"/>
              <w:ind w:right="93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gridSpan w:val="2"/>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3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109,040</w:t>
            </w:r>
          </w:p>
        </w:tc>
        <w:tc>
          <w:tcPr>
            <w:tcW w:w="8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7,960</w:t>
            </w:r>
          </w:p>
        </w:tc>
        <w:tc>
          <w:tcPr>
            <w:tcW w:w="8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(4,443)</w:t>
            </w: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Reclassifications to (from) accretable yield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Disposals and other changes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(4,215)</w:t>
            </w: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End balance</w:t>
            </w: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3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related to the unpaid principal balance and carrying amounts of ASC 310-30 loans.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4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340" w:type="dxa"/>
            <w:vAlign w:val="bottom"/>
            <w:tcBorders>
              <w:top w:val="single" w:sz="8" w:color="auto"/>
            </w:tcBorders>
            <w:gridSpan w:val="4"/>
          </w:tcPr>
          <w:p>
            <w:pPr>
              <w:jc w:val="right"/>
              <w:ind w:right="97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principal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239,376</w:t>
            </w: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203,640</w:t>
            </w:r>
          </w:p>
        </w:tc>
        <w:tc>
          <w:tcPr>
            <w:tcW w:w="3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201,171</w:t>
            </w:r>
          </w:p>
        </w:tc>
        <w:tc>
          <w:tcPr>
            <w:tcW w:w="100" w:type="dxa"/>
            <w:vAlign w:val="bottom"/>
            <w:vMerge w:val="continue"/>
          </w:tcPr>
          <w:p>
            <w:pPr>
              <w:spacing w:after="0"/>
              <w:rPr>
                <w:sz w:val="17"/>
                <w:szCs w:val="17"/>
                <w:color w:val="auto"/>
              </w:rPr>
            </w:pP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6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 (EPS)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EPS is computed by dividing net income allocated to common shareholders by the weighted average common shares outstanding.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00" w:type="dxa"/>
            <w:vAlign w:val="bottom"/>
            <w:gridSpan w:val="5"/>
          </w:tcPr>
          <w:p>
            <w:pPr>
              <w:jc w:val="center"/>
              <w:ind w:right="131"/>
              <w:spacing w:after="0" w:line="118" w:lineRule="exact"/>
              <w:rPr>
                <w:sz w:val="20"/>
                <w:szCs w:val="20"/>
                <w:color w:val="auto"/>
              </w:rPr>
            </w:pPr>
            <w:r>
              <w:rPr>
                <w:rFonts w:ascii="Times New Roman" w:cs="Times New Roman" w:eastAsia="Times New Roman" w:hAnsi="Times New Roman"/>
                <w:sz w:val="13"/>
                <w:szCs w:val="13"/>
                <w:b w:val="1"/>
                <w:bCs w:val="1"/>
                <w:color w:val="auto"/>
              </w:rPr>
              <w:t>(Dollars in thousands, except share and</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4"/>
          </w:tcPr>
          <w:p>
            <w:pPr>
              <w:jc w:val="center"/>
              <w:ind w:left="655"/>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from continuing operations available to common shareholders</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calculation of basic earnings per share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10,180,038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10,440,513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Incremental shares from assumed exercise of dilutive securities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Weighted average shares used in calculation of diluted earnings per share</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10,180,038</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10,440,513</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5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0.16</w:t>
            </w:r>
          </w:p>
        </w:tc>
        <w:tc>
          <w:tcPr>
            <w:tcW w:w="460" w:type="dxa"/>
            <w:vAlign w:val="bottom"/>
            <w:gridSpan w:val="2"/>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5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0.16</w:t>
            </w:r>
          </w:p>
        </w:tc>
        <w:tc>
          <w:tcPr>
            <w:tcW w:w="46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Anti-dilutive options and warrants excluded from the calculation of dilutive earnings per share follow.</w:t>
      </w:r>
    </w:p>
    <w:p>
      <w:pPr>
        <w:sectPr>
          <w:pgSz w:w="11900" w:h="16838" w:orient="portrait"/>
          <w:cols w:equalWidth="0" w:num="1">
            <w:col w:w="11460"/>
          </w:cols>
          <w:pgMar w:left="240" w:top="121" w:right="19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5"/>
        </w:trPr>
        <w:tc>
          <w:tcPr>
            <w:tcW w:w="1820" w:type="dxa"/>
            <w:vAlign w:val="bottom"/>
          </w:tcPr>
          <w:p>
            <w:pPr>
              <w:spacing w:after="0"/>
              <w:rPr>
                <w:sz w:val="15"/>
                <w:szCs w:val="15"/>
                <w:color w:val="auto"/>
              </w:rPr>
            </w:pPr>
          </w:p>
        </w:tc>
        <w:tc>
          <w:tcPr>
            <w:tcW w:w="314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42"/>
        </w:trPr>
        <w:tc>
          <w:tcPr>
            <w:tcW w:w="182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1,082,121</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1,166,804</w:t>
            </w:r>
          </w:p>
        </w:tc>
        <w:tc>
          <w:tcPr>
            <w:tcW w:w="12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1,082,121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76"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Level 1 — Inputs are quoted prices (unadjusted) in active markets for identical assets or liabilities that the reporting entity has the ability to access at the measurement date.</w:t>
      </w:r>
    </w:p>
    <w:p>
      <w:pPr>
        <w:spacing w:after="0" w:line="162"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Level 2 — Valuations based on significant observable inputs other than Level 1 prices such as quoted prices for similar assets or liabilities; quoted prices in markets that are not active; or other inputs that are observable or can be corroborated by observable market data.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technique</w:t>
      </w:r>
      <w:r>
        <w:rPr>
          <w:rFonts w:ascii="Times New Roman" w:cs="Times New Roman" w:eastAsia="Times New Roman" w:hAnsi="Times New Roman"/>
          <w:sz w:val="18"/>
          <w:szCs w:val="18"/>
          <w:color w:val="auto"/>
        </w:rPr>
        <w:t>s - There have been no changes in the valuation techniques used during the current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Transfers </w:t>
      </w:r>
      <w:r>
        <w:rPr>
          <w:rFonts w:ascii="Times New Roman" w:cs="Times New Roman" w:eastAsia="Times New Roman" w:hAnsi="Times New Roman"/>
          <w:sz w:val="18"/>
          <w:szCs w:val="18"/>
          <w:color w:val="auto"/>
        </w:rPr>
        <w:t>- There were no transfers of assets and liabilities measured at fair value on a recurring or nonrecurring basis during the current period</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Recurring Basis:</w:t>
      </w:r>
    </w:p>
    <w:p>
      <w:pPr>
        <w:spacing w:after="0" w:line="225" w:lineRule="exact"/>
        <w:rPr>
          <w:sz w:val="20"/>
          <w:szCs w:val="20"/>
          <w:color w:val="auto"/>
        </w:rPr>
      </w:pPr>
    </w:p>
    <w:p>
      <w:pPr>
        <w:ind w:left="660"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Available-for-sale securities </w:t>
      </w:r>
      <w:r>
        <w:rPr>
          <w:rFonts w:ascii="Times New Roman" w:cs="Times New Roman" w:eastAsia="Times New Roman" w:hAnsi="Times New Roman"/>
          <w:sz w:val="18"/>
          <w:szCs w:val="18"/>
          <w:color w:val="auto"/>
        </w:rPr>
        <w:t>- Where quoted prices are available in an active market, securities are classified within Level 1 of the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hierarchy. Examples of such instruments include publicly-traded common and preferred stocks. If quoted prices are not available, then fair values are estimated by using pricing models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agency mortgage-backed securities, as well as certain preferred and trust preferred stocks. Level 3 securities are securities for which significant unobservable inputs are utilized.</w:t>
      </w:r>
    </w:p>
    <w:p>
      <w:pPr>
        <w:spacing w:after="0" w:line="183" w:lineRule="exact"/>
        <w:rPr>
          <w:sz w:val="20"/>
          <w:szCs w:val="20"/>
          <w:color w:val="auto"/>
        </w:rPr>
      </w:pPr>
    </w:p>
    <w:p>
      <w:pPr>
        <w:ind w:left="660" w:right="3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The valuation of the Company’s interest rate swaps and caps are determined using widely accepted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techniques including discounted cash flow analyses on the expected cash flows of derivatives. These analyses reflect the contractual terms of the derivatives, including the period to maturity, and use observable market-based inputs, including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82" w:lineRule="exact"/>
        <w:rPr>
          <w:sz w:val="20"/>
          <w:szCs w:val="20"/>
          <w:color w:val="auto"/>
        </w:rPr>
      </w:pPr>
    </w:p>
    <w:p>
      <w:pPr>
        <w:jc w:val="both"/>
        <w:ind w:left="660" w:right="140"/>
        <w:spacing w:after="0" w:line="266" w:lineRule="auto"/>
        <w:rPr>
          <w:sz w:val="20"/>
          <w:szCs w:val="20"/>
          <w:color w:val="auto"/>
        </w:rPr>
      </w:pPr>
      <w:r>
        <w:rPr>
          <w:rFonts w:ascii="Times New Roman" w:cs="Times New Roman" w:eastAsia="Times New Roman" w:hAnsi="Times New Roman"/>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225" w:lineRule="exact"/>
        <w:rPr>
          <w:sz w:val="20"/>
          <w:szCs w:val="20"/>
          <w:color w:val="auto"/>
        </w:rPr>
      </w:pPr>
    </w:p>
    <w:p>
      <w:pPr>
        <w:ind w:left="660" w:right="6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Impaired Loans </w:t>
      </w:r>
      <w:r>
        <w:rPr>
          <w:rFonts w:ascii="Times New Roman" w:cs="Times New Roman" w:eastAsia="Times New Roman" w:hAnsi="Times New Roman"/>
          <w:sz w:val="18"/>
          <w:szCs w:val="18"/>
          <w:color w:val="auto"/>
        </w:rPr>
        <w:t>- Valuations of impaired loans measured at fair value are determined by a review of collateral values. Certain inputs used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appraisals are not always observable, and therefore impaired loans are generally categorized as Level 3 within the fair value hierarchy.</w:t>
      </w:r>
    </w:p>
    <w:p>
      <w:pPr>
        <w:spacing w:after="0" w:line="158"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Real Estate Owned and Other Repossessed collateral </w:t>
      </w:r>
      <w:r>
        <w:rPr>
          <w:rFonts w:ascii="Times New Roman" w:cs="Times New Roman" w:eastAsia="Times New Roman" w:hAnsi="Times New Roman"/>
          <w:sz w:val="18"/>
          <w:szCs w:val="18"/>
          <w:color w:val="auto"/>
        </w:rPr>
        <w:t>- The fair values of real estate owned and other repossessed collateral are estimated based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other Financial Instruments:</w:t>
      </w:r>
    </w:p>
    <w:p>
      <w:pPr>
        <w:spacing w:after="0" w:line="225" w:lineRule="exact"/>
        <w:rPr>
          <w:sz w:val="20"/>
          <w:szCs w:val="20"/>
          <w:color w:val="auto"/>
        </w:rPr>
      </w:pPr>
    </w:p>
    <w:p>
      <w:pPr>
        <w:ind w:left="660" w:right="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fair value of cash, due from banks, interest bearing deposits and FHLB overnight deposits approximates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relative book values, as these financial instruments have short maturities.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FHLB stock </w:t>
      </w:r>
      <w:r>
        <w:rPr>
          <w:rFonts w:ascii="Times New Roman" w:cs="Times New Roman" w:eastAsia="Times New Roman" w:hAnsi="Times New Roman"/>
          <w:sz w:val="18"/>
          <w:szCs w:val="18"/>
          <w:color w:val="auto"/>
        </w:rPr>
        <w:t>- The carrying value of FHLB stock approximates fair value based on redemption provisions of the FHLB.</w:t>
      </w:r>
    </w:p>
    <w:p>
      <w:pPr>
        <w:sectPr>
          <w:pgSz w:w="11900" w:h="16838" w:orient="portrait"/>
          <w:cols w:equalWidth="0" w:num="1">
            <w:col w:w="11420"/>
          </w:cols>
          <w:pgMar w:left="240" w:top="114" w:right="239" w:bottom="0" w:gutter="0" w:footer="0" w:header="0"/>
        </w:sectPr>
      </w:pPr>
    </w:p>
    <w:bookmarkStart w:id="14" w:name="page15"/>
    <w:bookmarkEnd w:id="14"/>
    <w:p>
      <w:pPr>
        <w:ind w:left="660"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 Fair values are estimated for portfolios of loans with similar financial characteristics. The fair value of performing loans is calculated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Loans held for sale </w:t>
      </w:r>
      <w:r>
        <w:rPr>
          <w:rFonts w:ascii="Times New Roman" w:cs="Times New Roman" w:eastAsia="Times New Roman" w:hAnsi="Times New Roman"/>
          <w:sz w:val="18"/>
          <w:szCs w:val="18"/>
          <w:color w:val="auto"/>
        </w:rPr>
        <w:t>- The fair value of loans held-for-sale is estimated based on bid quotations received from loan dealers.</w:t>
      </w:r>
    </w:p>
    <w:p>
      <w:pPr>
        <w:spacing w:after="0" w:line="225" w:lineRule="exact"/>
        <w:rPr>
          <w:sz w:val="20"/>
          <w:szCs w:val="20"/>
          <w:color w:val="auto"/>
        </w:rPr>
      </w:pPr>
    </w:p>
    <w:p>
      <w:pPr>
        <w:ind w:left="660"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receivable </w:t>
      </w:r>
      <w:r>
        <w:rPr>
          <w:rFonts w:ascii="Times New Roman" w:cs="Times New Roman" w:eastAsia="Times New Roman" w:hAnsi="Times New Roman"/>
          <w:sz w:val="18"/>
          <w:szCs w:val="18"/>
          <w:color w:val="auto"/>
        </w:rPr>
        <w:t>- The fair value of this financial instrument approximates the book value as this financial instrument has a short maturity. It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policy to stop accruing interest on loans past due by more than 90 days. Therefore, this financial instrument has been adjusted for estimated credit loss.</w:t>
      </w:r>
    </w:p>
    <w:p>
      <w:pPr>
        <w:spacing w:after="0" w:line="174" w:lineRule="exact"/>
        <w:rPr>
          <w:sz w:val="20"/>
          <w:szCs w:val="20"/>
          <w:color w:val="auto"/>
        </w:rPr>
      </w:pPr>
    </w:p>
    <w:p>
      <w:pPr>
        <w:ind w:left="660" w:right="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Deposits </w:t>
      </w:r>
      <w:r>
        <w:rPr>
          <w:rFonts w:ascii="Times New Roman" w:cs="Times New Roman" w:eastAsia="Times New Roman" w:hAnsi="Times New Roman"/>
          <w:sz w:val="18"/>
          <w:szCs w:val="18"/>
          <w:color w:val="auto"/>
        </w:rPr>
        <w:t>- The fair value of deposits with no stated maturity, such as noninterest-bearing demand deposits, savings, NOW accounts and money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80"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Borrowings </w:t>
      </w:r>
      <w:r>
        <w:rPr>
          <w:rFonts w:ascii="Times New Roman" w:cs="Times New Roman" w:eastAsia="Times New Roman" w:hAnsi="Times New Roman"/>
          <w:sz w:val="18"/>
          <w:szCs w:val="18"/>
          <w:color w:val="auto"/>
        </w:rPr>
        <w:t>- The fair value of the Company’s borrowings with the FHLB is estimated by discounting the cash flows through maturity or the next re-pricing date based on current rates available to the Company for borrowings with similar maturities. The fair value of the Company’s short-term borrowings, capital lease obligations, wholesale repurchase agreements and other borrowings is estimated by discounting the cash flows through maturity based on current rates available to the Company for borrowings with similar maturities.</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660"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Off-Balance Sheet Credit-Related Instruments - </w:t>
      </w:r>
      <w:r>
        <w:rPr>
          <w:rFonts w:ascii="Times New Roman" w:cs="Times New Roman" w:eastAsia="Times New Roman" w:hAnsi="Times New Roman"/>
          <w:sz w:val="18"/>
          <w:szCs w:val="18"/>
          <w:color w:val="auto"/>
        </w:rPr>
        <w:t>Fair values for off-balance-sheet, credit-related financial instruments are based on fees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center"/>
              <w:ind w:left="296"/>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40" w:type="dxa"/>
            <w:vAlign w:val="bottom"/>
            <w:gridSpan w:val="3"/>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3"/>
              </w:rPr>
              <w:t>Assets</w:t>
            </w:r>
          </w:p>
        </w:tc>
        <w:tc>
          <w:tcPr>
            <w:tcW w:w="3720" w:type="dxa"/>
            <w:vAlign w:val="bottom"/>
            <w:tcBorders>
              <w:bottom w:val="single" w:sz="8" w:color="CCEEFF"/>
            </w:tcBorders>
            <w:gridSpan w:val="2"/>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3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48,351</w:t>
            </w: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48,351</w:t>
            </w:r>
          </w:p>
        </w:tc>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Agency mortgage-backed securities</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61,996</w:t>
            </w:r>
          </w:p>
        </w:tc>
        <w:tc>
          <w:tcPr>
            <w:tcW w:w="9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61,996</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 interest rate caps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Liabilities</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 interest rate swaps</w:t>
            </w:r>
          </w:p>
        </w:tc>
        <w:tc>
          <w:tcPr>
            <w:tcW w:w="13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985</w:t>
            </w: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985</w:t>
            </w:r>
          </w:p>
        </w:tc>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center"/>
              <w:ind w:left="296"/>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40" w:type="dxa"/>
            <w:vAlign w:val="bottom"/>
            <w:gridSpan w:val="3"/>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3"/>
              </w:rPr>
              <w:t>Assets</w:t>
            </w:r>
          </w:p>
        </w:tc>
        <w:tc>
          <w:tcPr>
            <w:tcW w:w="3720" w:type="dxa"/>
            <w:vAlign w:val="bottom"/>
            <w:tcBorders>
              <w:bottom w:val="single" w:sz="8" w:color="CCEEFF"/>
            </w:tcBorders>
            <w:gridSpan w:val="2"/>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3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48,418</w:t>
            </w: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48,418</w:t>
            </w:r>
          </w:p>
        </w:tc>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Agency mortgage-backed securities</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65,463</w:t>
            </w:r>
          </w:p>
        </w:tc>
        <w:tc>
          <w:tcPr>
            <w:tcW w:w="9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65,463</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 interest rate caps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Liabilities</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 interest rate swap</w:t>
            </w:r>
          </w:p>
        </w:tc>
        <w:tc>
          <w:tcPr>
            <w:tcW w:w="13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714</w:t>
            </w: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714</w:t>
            </w:r>
          </w:p>
        </w:tc>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Assets measured at fair value on a nonrecurring basis are summarized below.</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4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impaired loans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1,359</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center"/>
              <w:ind w:left="296"/>
              <w:spacing w:after="0"/>
              <w:rPr>
                <w:sz w:val="20"/>
                <w:szCs w:val="20"/>
                <w:color w:val="auto"/>
              </w:rPr>
            </w:pPr>
            <w:r>
              <w:rPr>
                <w:rFonts w:ascii="Times New Roman" w:cs="Times New Roman" w:eastAsia="Times New Roman" w:hAnsi="Times New Roman"/>
                <w:sz w:val="18"/>
                <w:szCs w:val="18"/>
                <w:color w:val="auto"/>
                <w:w w:val="98"/>
              </w:rPr>
              <w:t>1,359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owned and other repossessed collateral</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2,115</w:t>
            </w:r>
          </w:p>
        </w:tc>
        <w:tc>
          <w:tcPr>
            <w:tcW w:w="460" w:type="dxa"/>
            <w:vAlign w:val="bottom"/>
          </w:tcPr>
          <w:p>
            <w:pPr>
              <w:spacing w:after="0"/>
              <w:rPr>
                <w:sz w:val="20"/>
                <w:szCs w:val="20"/>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0"/>
                <w:szCs w:val="20"/>
                <w:color w:val="auto"/>
              </w:rPr>
            </w:pPr>
          </w:p>
        </w:tc>
        <w:tc>
          <w:tcPr>
            <w:tcW w:w="1020" w:type="dxa"/>
            <w:vAlign w:val="bottom"/>
            <w:gridSpan w:val="2"/>
          </w:tcPr>
          <w:p>
            <w:pPr>
              <w:jc w:val="center"/>
              <w:ind w:left="296"/>
              <w:spacing w:after="0"/>
              <w:rPr>
                <w:sz w:val="20"/>
                <w:szCs w:val="20"/>
                <w:color w:val="auto"/>
              </w:rPr>
            </w:pPr>
            <w:r>
              <w:rPr>
                <w:rFonts w:ascii="Times New Roman" w:cs="Times New Roman" w:eastAsia="Times New Roman" w:hAnsi="Times New Roman"/>
                <w:sz w:val="18"/>
                <w:szCs w:val="18"/>
                <w:color w:val="auto"/>
                <w:w w:val="98"/>
              </w:rPr>
              <w:t>2,115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4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impaired loans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1,467</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center"/>
              <w:ind w:left="296"/>
              <w:spacing w:after="0"/>
              <w:rPr>
                <w:sz w:val="20"/>
                <w:szCs w:val="20"/>
                <w:color w:val="auto"/>
              </w:rPr>
            </w:pPr>
            <w:r>
              <w:rPr>
                <w:rFonts w:ascii="Times New Roman" w:cs="Times New Roman" w:eastAsia="Times New Roman" w:hAnsi="Times New Roman"/>
                <w:sz w:val="18"/>
                <w:szCs w:val="18"/>
                <w:color w:val="auto"/>
                <w:w w:val="98"/>
              </w:rPr>
              <w:t>1,467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owned and other repossessed collateral</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1,991</w:t>
            </w:r>
          </w:p>
        </w:tc>
        <w:tc>
          <w:tcPr>
            <w:tcW w:w="460" w:type="dxa"/>
            <w:vAlign w:val="bottom"/>
          </w:tcPr>
          <w:p>
            <w:pPr>
              <w:spacing w:after="0"/>
              <w:rPr>
                <w:sz w:val="20"/>
                <w:szCs w:val="20"/>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0"/>
                <w:szCs w:val="20"/>
                <w:color w:val="auto"/>
              </w:rPr>
            </w:pPr>
          </w:p>
        </w:tc>
        <w:tc>
          <w:tcPr>
            <w:tcW w:w="1020" w:type="dxa"/>
            <w:vAlign w:val="bottom"/>
            <w:gridSpan w:val="2"/>
          </w:tcPr>
          <w:p>
            <w:pPr>
              <w:jc w:val="center"/>
              <w:ind w:left="296"/>
              <w:spacing w:after="0"/>
              <w:rPr>
                <w:sz w:val="20"/>
                <w:szCs w:val="20"/>
                <w:color w:val="auto"/>
              </w:rPr>
            </w:pPr>
            <w:r>
              <w:rPr>
                <w:rFonts w:ascii="Times New Roman" w:cs="Times New Roman" w:eastAsia="Times New Roman" w:hAnsi="Times New Roman"/>
                <w:sz w:val="18"/>
                <w:szCs w:val="18"/>
                <w:color w:val="auto"/>
                <w:w w:val="98"/>
              </w:rPr>
              <w:t>1,991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4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60"/>
          </w:cols>
          <w:pgMar w:left="240" w:top="119" w:right="199" w:bottom="0" w:gutter="0" w:footer="0" w:header="0"/>
        </w:sectPr>
      </w:pPr>
    </w:p>
    <w:bookmarkStart w:id="15" w:name="page16"/>
    <w:bookmarkEnd w:id="15"/>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estimated fair value of the Company’s financial instruments.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6"/>
          </w:tcPr>
          <w:p>
            <w:pPr>
              <w:jc w:val="center"/>
              <w:ind w:left="532"/>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2014</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12"/>
                <w:szCs w:val="12"/>
                <w:color w:val="auto"/>
              </w:rPr>
            </w:pPr>
          </w:p>
        </w:tc>
        <w:tc>
          <w:tcPr>
            <w:tcW w:w="96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2"/>
                <w:szCs w:val="12"/>
                <w:color w:val="auto"/>
              </w:rPr>
            </w:pPr>
          </w:p>
        </w:tc>
        <w:tc>
          <w:tcPr>
            <w:tcW w:w="1040" w:type="dxa"/>
            <w:vAlign w:val="bottom"/>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3"/>
          </w:tcPr>
          <w:p>
            <w:pPr>
              <w:jc w:val="center"/>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Financial assets:</w:t>
            </w:r>
          </w:p>
        </w:tc>
        <w:tc>
          <w:tcPr>
            <w:tcW w:w="208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83,530</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83,530</w:t>
            </w:r>
          </w:p>
        </w:tc>
        <w:tc>
          <w:tcPr>
            <w:tcW w:w="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83,530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110,347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110,347</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110,347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 Home Loan Bank stock</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38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4,102</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9,079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net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541,799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538,558</w:t>
            </w:r>
          </w:p>
        </w:tc>
        <w:tc>
          <w:tcPr>
            <w:tcW w:w="38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1,077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Deposits</w:t>
            </w:r>
          </w:p>
        </w:tc>
        <w:tc>
          <w:tcPr>
            <w:tcW w:w="1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593,795</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594,048</w:t>
            </w: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594,200</w:t>
            </w:r>
          </w:p>
        </w:tc>
        <w:tc>
          <w:tcPr>
            <w:tcW w:w="2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advances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42,773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43,616</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43,616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Wholesale repurchase agreements</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10,158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38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10,384</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3,804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lease obligation</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38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1,626</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debentures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3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985</w:t>
            </w: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2014</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12"/>
                <w:szCs w:val="12"/>
                <w:color w:val="auto"/>
              </w:rPr>
            </w:pPr>
          </w:p>
        </w:tc>
        <w:tc>
          <w:tcPr>
            <w:tcW w:w="96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2"/>
                <w:szCs w:val="12"/>
                <w:color w:val="auto"/>
              </w:rPr>
            </w:pPr>
          </w:p>
        </w:tc>
        <w:tc>
          <w:tcPr>
            <w:tcW w:w="1040" w:type="dxa"/>
            <w:vAlign w:val="bottom"/>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3"/>
          </w:tcPr>
          <w:p>
            <w:pPr>
              <w:jc w:val="center"/>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Financial assets:</w:t>
            </w:r>
          </w:p>
        </w:tc>
        <w:tc>
          <w:tcPr>
            <w:tcW w:w="208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82,259</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82,259</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82,259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113,881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113,881</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113,881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 Home Loan Bank stock</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3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4,102</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11,945</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11,945</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net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515,049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522,154</w:t>
            </w:r>
          </w:p>
        </w:tc>
        <w:tc>
          <w:tcPr>
            <w:tcW w:w="3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1,216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2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574,329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574,868</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574,868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FHLB advances</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42,824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43,843</w:t>
            </w:r>
          </w:p>
        </w:tc>
        <w:tc>
          <w:tcPr>
            <w:tcW w:w="3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43,843</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 repurchase agreements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10,199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10,484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3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2,984</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1,701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Subordinated debentures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3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714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Derivatives and Hedging Activities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seeks to manage the credit risk of its financial contracts through credit approvals, limits and monitoring procedures, and does not expect any counterparties to fail to meet their obligations.</w:t>
      </w:r>
    </w:p>
    <w:p>
      <w:pPr>
        <w:spacing w:after="0" w:line="18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currently holds derivative instruments that contain credit-risk related features that are in a net liability position, which may require that collateral be assigned to dealer banks. At September 30, 2014, the Company had posted cash collateral totaling $2.3 million with dealer banks related to derivative instruments in a net liability position.</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Policies — Derivative Instruments</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 Management — Cash Flow Hedging Instruments</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prudent to limit the variability of a portion of its interest payments and, therefore, generally hedges a portion of its variable-rate interest payments.</w:t>
      </w:r>
    </w:p>
    <w:p>
      <w:pPr>
        <w:sectPr>
          <w:pgSz w:w="11900" w:h="16883" w:orient="portrait"/>
          <w:cols w:equalWidth="0" w:num="1">
            <w:col w:w="11360"/>
          </w:cols>
          <w:pgMar w:left="240" w:top="121" w:right="299" w:bottom="0" w:gutter="0" w:footer="0" w:header="0"/>
        </w:sectPr>
      </w:pPr>
    </w:p>
    <w:bookmarkStart w:id="16" w:name="page17"/>
    <w:bookmarkEnd w:id="16"/>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pertaining to outstanding interest rate caps and swap agreements used to hedge variable rate debt is as follows.</w:t>
      </w: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September 30, 2014</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gridSpan w:val="2"/>
          </w:tcPr>
          <w:p>
            <w:pPr>
              <w:ind w:left="160"/>
              <w:spacing w:after="0" w:line="109"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126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jc w:val="center"/>
              <w:ind w:right="58"/>
              <w:spacing w:after="0" w:line="109" w:lineRule="exact"/>
              <w:rPr>
                <w:sz w:val="20"/>
                <w:szCs w:val="20"/>
                <w:color w:val="auto"/>
              </w:rPr>
            </w:pPr>
            <w:r>
              <w:rPr>
                <w:rFonts w:ascii="Times New Roman" w:cs="Times New Roman" w:eastAsia="Times New Roman" w:hAnsi="Times New Roman"/>
                <w:sz w:val="12"/>
                <w:szCs w:val="12"/>
                <w:b w:val="1"/>
                <w:bCs w:val="1"/>
                <w:color w:val="auto"/>
              </w:rPr>
              <w:t>Receive</w:t>
            </w:r>
          </w:p>
        </w:tc>
        <w:tc>
          <w:tcPr>
            <w:tcW w:w="840" w:type="dxa"/>
            <w:vAlign w:val="bottom"/>
            <w:tcBorders>
              <w:top w:val="single" w:sz="8" w:color="auto"/>
            </w:tcBorders>
          </w:tcPr>
          <w:p>
            <w:pPr>
              <w:jc w:val="center"/>
              <w:ind w:right="217"/>
              <w:spacing w:after="0" w:line="109" w:lineRule="exact"/>
              <w:rPr>
                <w:sz w:val="20"/>
                <w:szCs w:val="20"/>
                <w:color w:val="auto"/>
              </w:rPr>
            </w:pPr>
            <w:r>
              <w:rPr>
                <w:rFonts w:ascii="Times New Roman" w:cs="Times New Roman" w:eastAsia="Times New Roman" w:hAnsi="Times New Roman"/>
                <w:sz w:val="12"/>
                <w:szCs w:val="12"/>
                <w:b w:val="1"/>
                <w:bCs w:val="1"/>
                <w:color w:val="auto"/>
              </w:rPr>
              <w:t>Pay</w:t>
            </w:r>
          </w:p>
        </w:tc>
        <w:tc>
          <w:tcPr>
            <w:tcW w:w="820" w:type="dxa"/>
            <w:vAlign w:val="bottom"/>
            <w:tcBorders>
              <w:top w:val="single" w:sz="8" w:color="auto"/>
            </w:tcBorders>
          </w:tcPr>
          <w:p>
            <w:pPr>
              <w:jc w:val="center"/>
              <w:ind w:right="158"/>
              <w:spacing w:after="0" w:line="109" w:lineRule="exact"/>
              <w:rPr>
                <w:sz w:val="20"/>
                <w:szCs w:val="20"/>
                <w:color w:val="auto"/>
              </w:rPr>
            </w:pPr>
            <w:r>
              <w:rPr>
                <w:rFonts w:ascii="Times New Roman" w:cs="Times New Roman" w:eastAsia="Times New Roman" w:hAnsi="Times New Roman"/>
                <w:sz w:val="12"/>
                <w:szCs w:val="12"/>
                <w:b w:val="1"/>
                <w:bCs w:val="1"/>
                <w:color w:val="auto"/>
              </w:rPr>
              <w:t>Strike</w:t>
            </w:r>
          </w:p>
        </w:tc>
        <w:tc>
          <w:tcPr>
            <w:tcW w:w="10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gridSpan w:val="2"/>
          </w:tcPr>
          <w:p>
            <w:pPr>
              <w:jc w:val="center"/>
              <w:ind w:right="218"/>
              <w:spacing w:after="0" w:line="109"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center"/>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Balance Sheet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Inception Date</w:t>
            </w:r>
          </w:p>
        </w:tc>
        <w:tc>
          <w:tcPr>
            <w:tcW w:w="13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Termination Date</w:t>
            </w:r>
          </w:p>
        </w:tc>
        <w:tc>
          <w:tcPr>
            <w:tcW w:w="9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06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840" w:type="dxa"/>
            <w:vAlign w:val="bottom"/>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820" w:type="dxa"/>
            <w:vAlign w:val="bottom"/>
          </w:tcPr>
          <w:p>
            <w:pPr>
              <w:jc w:val="center"/>
              <w:ind w:right="158"/>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100" w:type="dxa"/>
            <w:vAlign w:val="bottom"/>
          </w:tcPr>
          <w:p>
            <w:pPr>
              <w:spacing w:after="0"/>
              <w:rPr>
                <w:sz w:val="13"/>
                <w:szCs w:val="13"/>
                <w:color w:val="auto"/>
              </w:rPr>
            </w:pPr>
          </w:p>
        </w:tc>
        <w:tc>
          <w:tcPr>
            <w:tcW w:w="1180" w:type="dxa"/>
            <w:vAlign w:val="bottom"/>
            <w:gridSpan w:val="2"/>
          </w:tcPr>
          <w:p>
            <w:pPr>
              <w:jc w:val="center"/>
              <w:ind w:right="218"/>
              <w:spacing w:after="0"/>
              <w:rPr>
                <w:sz w:val="20"/>
                <w:szCs w:val="20"/>
                <w:color w:val="auto"/>
              </w:rPr>
            </w:pPr>
            <w:r>
              <w:rPr>
                <w:rFonts w:ascii="Times New Roman" w:cs="Times New Roman" w:eastAsia="Times New Roman" w:hAnsi="Times New Roman"/>
                <w:sz w:val="13"/>
                <w:szCs w:val="13"/>
                <w:b w:val="1"/>
                <w:bCs w:val="1"/>
                <w:color w:val="auto"/>
                <w:w w:val="98"/>
              </w:rPr>
              <w:t>Gain (Loss)</w:t>
            </w:r>
          </w:p>
        </w:tc>
        <w:tc>
          <w:tcPr>
            <w:tcW w:w="80" w:type="dxa"/>
            <w:vAlign w:val="bottom"/>
          </w:tcPr>
          <w:p>
            <w:pPr>
              <w:spacing w:after="0"/>
              <w:rPr>
                <w:sz w:val="13"/>
                <w:szCs w:val="13"/>
                <w:color w:val="auto"/>
              </w:rPr>
            </w:pPr>
          </w:p>
        </w:tc>
        <w:tc>
          <w:tcPr>
            <w:tcW w:w="94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Location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2"/>
          </w:tcPr>
          <w:p>
            <w:pPr>
              <w:jc w:val="center"/>
              <w:ind w:right="517"/>
              <w:spacing w:after="0" w:line="129" w:lineRule="exact"/>
              <w:rPr>
                <w:sz w:val="20"/>
                <w:szCs w:val="20"/>
                <w:color w:val="auto"/>
              </w:rPr>
            </w:pPr>
            <w:r>
              <w:rPr>
                <w:rFonts w:ascii="Times New Roman" w:cs="Times New Roman" w:eastAsia="Times New Roman" w:hAnsi="Times New Roman"/>
                <w:sz w:val="13"/>
                <w:szCs w:val="13"/>
                <w:b w:val="1"/>
                <w:bCs w:val="1"/>
                <w:color w:val="auto"/>
                <w:w w:val="97"/>
              </w:rPr>
              <w:t>(Dollars in thousands)</w:t>
            </w: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Interest rate swaps:</w:t>
            </w:r>
          </w:p>
        </w:tc>
        <w:tc>
          <w:tcPr>
            <w:tcW w:w="12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10,000</w:t>
            </w:r>
          </w:p>
        </w:tc>
        <w:tc>
          <w:tcPr>
            <w:tcW w:w="12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February 2010</w:t>
            </w:r>
          </w:p>
        </w:tc>
        <w:tc>
          <w:tcPr>
            <w:tcW w:w="136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February 2015</w:t>
            </w:r>
          </w:p>
        </w:tc>
        <w:tc>
          <w:tcPr>
            <w:tcW w:w="9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3 Mo. LIBOR</w:t>
            </w:r>
          </w:p>
        </w:tc>
        <w:tc>
          <w:tcPr>
            <w:tcW w:w="10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2.12%</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4.69%</w:t>
            </w:r>
          </w:p>
        </w:tc>
        <w:tc>
          <w:tcPr>
            <w:tcW w:w="82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(315)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(355)</w:t>
            </w:r>
          </w:p>
        </w:tc>
        <w:tc>
          <w:tcPr>
            <w:tcW w:w="14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5"/>
              </w:rPr>
              <w:t>Other Liabilities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July 2013</w:t>
            </w:r>
          </w:p>
        </w:tc>
        <w:tc>
          <w:tcPr>
            <w:tcW w:w="1360" w:type="dxa"/>
            <w:vAlign w:val="bottom"/>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July 2033</w:t>
            </w:r>
          </w:p>
        </w:tc>
        <w:tc>
          <w:tcPr>
            <w:tcW w:w="9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3 Mo. LIBOR</w:t>
            </w:r>
          </w:p>
        </w:tc>
        <w:tc>
          <w:tcPr>
            <w:tcW w:w="1060" w:type="dxa"/>
            <w:vAlign w:val="bottom"/>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0.23%</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3.38%</w:t>
            </w:r>
          </w:p>
        </w:tc>
        <w:tc>
          <w:tcPr>
            <w:tcW w:w="820" w:type="dxa"/>
            <w:vAlign w:val="bottom"/>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(283)</w:t>
            </w:r>
          </w:p>
        </w:tc>
        <w:tc>
          <w:tcPr>
            <w:tcW w:w="80" w:type="dxa"/>
            <w:vAlign w:val="bottom"/>
            <w:shd w:val="clear" w:color="auto" w:fill="CCEEFF"/>
          </w:tcPr>
          <w:p>
            <w:pPr>
              <w:spacing w:after="0"/>
              <w:rPr>
                <w:sz w:val="11"/>
                <w:szCs w:val="11"/>
                <w:color w:val="auto"/>
              </w:rPr>
            </w:pPr>
          </w:p>
        </w:tc>
        <w:tc>
          <w:tcPr>
            <w:tcW w:w="94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(283)</w:t>
            </w:r>
          </w:p>
        </w:tc>
        <w:tc>
          <w:tcPr>
            <w:tcW w:w="140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Other Assets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tcPr>
          <w:p>
            <w:pPr>
              <w:spacing w:after="0"/>
              <w:rPr>
                <w:sz w:val="11"/>
                <w:szCs w:val="11"/>
                <w:color w:val="auto"/>
              </w:rPr>
            </w:pPr>
          </w:p>
        </w:tc>
        <w:tc>
          <w:tcPr>
            <w:tcW w:w="12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July 2013</w:t>
            </w:r>
          </w:p>
        </w:tc>
        <w:tc>
          <w:tcPr>
            <w:tcW w:w="136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July 2028</w:t>
            </w:r>
          </w:p>
        </w:tc>
        <w:tc>
          <w:tcPr>
            <w:tcW w:w="9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3 Mo. LIBOR</w:t>
            </w:r>
          </w:p>
        </w:tc>
        <w:tc>
          <w:tcPr>
            <w:tcW w:w="10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0.23%</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3.23%</w:t>
            </w:r>
          </w:p>
        </w:tc>
        <w:tc>
          <w:tcPr>
            <w:tcW w:w="82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1"/>
                <w:szCs w:val="11"/>
                <w:color w:val="auto"/>
              </w:rPr>
            </w:pPr>
          </w:p>
        </w:tc>
        <w:tc>
          <w:tcPr>
            <w:tcW w:w="118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(231)</w:t>
            </w:r>
          </w:p>
        </w:tc>
        <w:tc>
          <w:tcPr>
            <w:tcW w:w="80" w:type="dxa"/>
            <w:vAlign w:val="bottom"/>
          </w:tcPr>
          <w:p>
            <w:pPr>
              <w:spacing w:after="0"/>
              <w:rPr>
                <w:sz w:val="11"/>
                <w:szCs w:val="11"/>
                <w:color w:val="auto"/>
              </w:rPr>
            </w:pPr>
          </w:p>
        </w:tc>
        <w:tc>
          <w:tcPr>
            <w:tcW w:w="94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(231)</w:t>
            </w:r>
          </w:p>
        </w:tc>
        <w:tc>
          <w:tcPr>
            <w:tcW w:w="14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5"/>
              </w:rPr>
              <w:t>Other Liabilities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July 2013</w:t>
            </w:r>
          </w:p>
        </w:tc>
        <w:tc>
          <w:tcPr>
            <w:tcW w:w="1360" w:type="dxa"/>
            <w:vAlign w:val="bottom"/>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July 2023</w:t>
            </w:r>
          </w:p>
        </w:tc>
        <w:tc>
          <w:tcPr>
            <w:tcW w:w="9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3 Mo. LIBOR</w:t>
            </w:r>
          </w:p>
        </w:tc>
        <w:tc>
          <w:tcPr>
            <w:tcW w:w="1060" w:type="dxa"/>
            <w:vAlign w:val="bottom"/>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0.23%</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2.77%</w:t>
            </w:r>
          </w:p>
        </w:tc>
        <w:tc>
          <w:tcPr>
            <w:tcW w:w="820" w:type="dxa"/>
            <w:vAlign w:val="bottom"/>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1"/>
                <w:szCs w:val="11"/>
                <w:color w:val="auto"/>
              </w:rPr>
            </w:pPr>
          </w:p>
        </w:tc>
        <w:tc>
          <w:tcPr>
            <w:tcW w:w="94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(116)</w:t>
            </w:r>
          </w:p>
        </w:tc>
        <w:tc>
          <w:tcPr>
            <w:tcW w:w="140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5"/>
              </w:rPr>
              <w:t>Other 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3"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25,000</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(945</w:t>
            </w:r>
          </w:p>
        </w:tc>
        <w:tc>
          <w:tcPr>
            <w:tcW w:w="16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(985</w:t>
            </w:r>
          </w:p>
        </w:tc>
        <w:tc>
          <w:tcPr>
            <w:tcW w:w="24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w w:val="73"/>
              </w:rPr>
              <w:t>)</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vMerge w:val="restart"/>
          </w:tcPr>
          <w:p>
            <w:pPr>
              <w:jc w:val="center"/>
              <w:ind w:left="198"/>
              <w:spacing w:after="0"/>
              <w:rPr>
                <w:sz w:val="20"/>
                <w:szCs w:val="20"/>
                <w:color w:val="auto"/>
              </w:rPr>
            </w:pPr>
            <w:r>
              <w:rPr>
                <w:rFonts w:ascii="Times New Roman" w:cs="Times New Roman" w:eastAsia="Times New Roman" w:hAnsi="Times New Roman"/>
                <w:sz w:val="13"/>
                <w:szCs w:val="13"/>
                <w:b w:val="1"/>
                <w:bCs w:val="1"/>
                <w:color w:val="auto"/>
                <w:w w:val="95"/>
              </w:rPr>
              <w:t>June 30, 2014</w:t>
            </w: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tcPr>
          <w:p>
            <w:pPr>
              <w:ind w:left="160"/>
              <w:spacing w:after="0" w:line="109"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1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tcPr>
          <w:p>
            <w:pPr>
              <w:jc w:val="center"/>
              <w:ind w:right="58"/>
              <w:spacing w:after="0" w:line="109" w:lineRule="exact"/>
              <w:rPr>
                <w:sz w:val="20"/>
                <w:szCs w:val="20"/>
                <w:color w:val="auto"/>
              </w:rPr>
            </w:pPr>
            <w:r>
              <w:rPr>
                <w:rFonts w:ascii="Times New Roman" w:cs="Times New Roman" w:eastAsia="Times New Roman" w:hAnsi="Times New Roman"/>
                <w:sz w:val="12"/>
                <w:szCs w:val="12"/>
                <w:b w:val="1"/>
                <w:bCs w:val="1"/>
                <w:color w:val="auto"/>
              </w:rPr>
              <w:t>Receive</w:t>
            </w:r>
          </w:p>
        </w:tc>
        <w:tc>
          <w:tcPr>
            <w:tcW w:w="840" w:type="dxa"/>
            <w:vAlign w:val="bottom"/>
          </w:tcPr>
          <w:p>
            <w:pPr>
              <w:spacing w:after="0"/>
              <w:rPr>
                <w:sz w:val="9"/>
                <w:szCs w:val="9"/>
                <w:color w:val="auto"/>
              </w:rPr>
            </w:pPr>
          </w:p>
        </w:tc>
        <w:tc>
          <w:tcPr>
            <w:tcW w:w="820" w:type="dxa"/>
            <w:vAlign w:val="bottom"/>
          </w:tcPr>
          <w:p>
            <w:pPr>
              <w:jc w:val="center"/>
              <w:ind w:right="158"/>
              <w:spacing w:after="0" w:line="109" w:lineRule="exact"/>
              <w:rPr>
                <w:sz w:val="20"/>
                <w:szCs w:val="20"/>
                <w:color w:val="auto"/>
              </w:rPr>
            </w:pPr>
            <w:r>
              <w:rPr>
                <w:rFonts w:ascii="Times New Roman" w:cs="Times New Roman" w:eastAsia="Times New Roman" w:hAnsi="Times New Roman"/>
                <w:sz w:val="12"/>
                <w:szCs w:val="12"/>
                <w:b w:val="1"/>
                <w:bCs w:val="1"/>
                <w:color w:val="auto"/>
              </w:rPr>
              <w:t>Strike</w:t>
            </w: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jc w:val="center"/>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Balance Sheet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Inception Date</w:t>
            </w:r>
          </w:p>
        </w:tc>
        <w:tc>
          <w:tcPr>
            <w:tcW w:w="13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Termination Date</w:t>
            </w:r>
          </w:p>
        </w:tc>
        <w:tc>
          <w:tcPr>
            <w:tcW w:w="9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06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840" w:type="dxa"/>
            <w:vAlign w:val="bottom"/>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5"/>
              </w:rPr>
              <w:t>Pay Rate</w:t>
            </w:r>
          </w:p>
        </w:tc>
        <w:tc>
          <w:tcPr>
            <w:tcW w:w="820" w:type="dxa"/>
            <w:vAlign w:val="bottom"/>
          </w:tcPr>
          <w:p>
            <w:pPr>
              <w:jc w:val="center"/>
              <w:ind w:right="158"/>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100" w:type="dxa"/>
            <w:vAlign w:val="bottom"/>
          </w:tcPr>
          <w:p>
            <w:pPr>
              <w:spacing w:after="0"/>
              <w:rPr>
                <w:sz w:val="13"/>
                <w:szCs w:val="13"/>
                <w:color w:val="auto"/>
              </w:rPr>
            </w:pPr>
          </w:p>
        </w:tc>
        <w:tc>
          <w:tcPr>
            <w:tcW w:w="1180" w:type="dxa"/>
            <w:vAlign w:val="bottom"/>
            <w:gridSpan w:val="2"/>
          </w:tcPr>
          <w:p>
            <w:pPr>
              <w:jc w:val="center"/>
              <w:ind w:right="218"/>
              <w:spacing w:after="0"/>
              <w:rPr>
                <w:sz w:val="20"/>
                <w:szCs w:val="20"/>
                <w:color w:val="auto"/>
              </w:rPr>
            </w:pPr>
            <w:r>
              <w:rPr>
                <w:rFonts w:ascii="Times New Roman" w:cs="Times New Roman" w:eastAsia="Times New Roman" w:hAnsi="Times New Roman"/>
                <w:sz w:val="13"/>
                <w:szCs w:val="13"/>
                <w:b w:val="1"/>
                <w:bCs w:val="1"/>
                <w:color w:val="auto"/>
                <w:w w:val="98"/>
              </w:rPr>
              <w:t>Unrealized Loss</w:t>
            </w:r>
          </w:p>
        </w:tc>
        <w:tc>
          <w:tcPr>
            <w:tcW w:w="80" w:type="dxa"/>
            <w:vAlign w:val="bottom"/>
          </w:tcPr>
          <w:p>
            <w:pPr>
              <w:spacing w:after="0"/>
              <w:rPr>
                <w:sz w:val="13"/>
                <w:szCs w:val="13"/>
                <w:color w:val="auto"/>
              </w:rPr>
            </w:pPr>
          </w:p>
        </w:tc>
        <w:tc>
          <w:tcPr>
            <w:tcW w:w="94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Location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2"/>
          </w:tcPr>
          <w:p>
            <w:pPr>
              <w:jc w:val="center"/>
              <w:ind w:right="517"/>
              <w:spacing w:after="0" w:line="129" w:lineRule="exact"/>
              <w:rPr>
                <w:sz w:val="20"/>
                <w:szCs w:val="20"/>
                <w:color w:val="auto"/>
              </w:rPr>
            </w:pPr>
            <w:r>
              <w:rPr>
                <w:rFonts w:ascii="Times New Roman" w:cs="Times New Roman" w:eastAsia="Times New Roman" w:hAnsi="Times New Roman"/>
                <w:sz w:val="13"/>
                <w:szCs w:val="13"/>
                <w:b w:val="1"/>
                <w:bCs w:val="1"/>
                <w:color w:val="auto"/>
                <w:w w:val="97"/>
              </w:rPr>
              <w:t>(Dollars in thousands)</w:t>
            </w: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Interest rate swaps:</w:t>
            </w:r>
          </w:p>
        </w:tc>
        <w:tc>
          <w:tcPr>
            <w:tcW w:w="12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10,000</w:t>
            </w:r>
          </w:p>
        </w:tc>
        <w:tc>
          <w:tcPr>
            <w:tcW w:w="12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February 2010</w:t>
            </w:r>
          </w:p>
        </w:tc>
        <w:tc>
          <w:tcPr>
            <w:tcW w:w="136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February 2015</w:t>
            </w:r>
          </w:p>
        </w:tc>
        <w:tc>
          <w:tcPr>
            <w:tcW w:w="9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3 Mo. LIBOR</w:t>
            </w:r>
          </w:p>
        </w:tc>
        <w:tc>
          <w:tcPr>
            <w:tcW w:w="10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2.12%</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4.69%</w:t>
            </w:r>
          </w:p>
        </w:tc>
        <w:tc>
          <w:tcPr>
            <w:tcW w:w="82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(99)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(165)</w:t>
            </w:r>
          </w:p>
        </w:tc>
        <w:tc>
          <w:tcPr>
            <w:tcW w:w="14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5"/>
              </w:rPr>
              <w:t>Other Liabilities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July 2013</w:t>
            </w:r>
          </w:p>
        </w:tc>
        <w:tc>
          <w:tcPr>
            <w:tcW w:w="1360" w:type="dxa"/>
            <w:vAlign w:val="bottom"/>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July 2033</w:t>
            </w:r>
          </w:p>
        </w:tc>
        <w:tc>
          <w:tcPr>
            <w:tcW w:w="9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3 Mo. LIBOR</w:t>
            </w:r>
          </w:p>
        </w:tc>
        <w:tc>
          <w:tcPr>
            <w:tcW w:w="1060" w:type="dxa"/>
            <w:vAlign w:val="bottom"/>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0.23%</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3.38%</w:t>
            </w:r>
          </w:p>
        </w:tc>
        <w:tc>
          <w:tcPr>
            <w:tcW w:w="820" w:type="dxa"/>
            <w:vAlign w:val="bottom"/>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(216)</w:t>
            </w:r>
          </w:p>
        </w:tc>
        <w:tc>
          <w:tcPr>
            <w:tcW w:w="80" w:type="dxa"/>
            <w:vAlign w:val="bottom"/>
            <w:shd w:val="clear" w:color="auto" w:fill="CCEEFF"/>
          </w:tcPr>
          <w:p>
            <w:pPr>
              <w:spacing w:after="0"/>
              <w:rPr>
                <w:sz w:val="11"/>
                <w:szCs w:val="11"/>
                <w:color w:val="auto"/>
              </w:rPr>
            </w:pPr>
          </w:p>
        </w:tc>
        <w:tc>
          <w:tcPr>
            <w:tcW w:w="94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(216)</w:t>
            </w:r>
          </w:p>
        </w:tc>
        <w:tc>
          <w:tcPr>
            <w:tcW w:w="140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5"/>
              </w:rPr>
              <w:t>Other Liabilities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tcPr>
          <w:p>
            <w:pPr>
              <w:spacing w:after="0"/>
              <w:rPr>
                <w:sz w:val="11"/>
                <w:szCs w:val="11"/>
                <w:color w:val="auto"/>
              </w:rPr>
            </w:pPr>
          </w:p>
        </w:tc>
        <w:tc>
          <w:tcPr>
            <w:tcW w:w="12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July 2013</w:t>
            </w:r>
          </w:p>
        </w:tc>
        <w:tc>
          <w:tcPr>
            <w:tcW w:w="136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July 2028</w:t>
            </w:r>
          </w:p>
        </w:tc>
        <w:tc>
          <w:tcPr>
            <w:tcW w:w="9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3 Mo. LIBOR</w:t>
            </w:r>
          </w:p>
        </w:tc>
        <w:tc>
          <w:tcPr>
            <w:tcW w:w="10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0.23%</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3.23%</w:t>
            </w:r>
          </w:p>
        </w:tc>
        <w:tc>
          <w:tcPr>
            <w:tcW w:w="82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1"/>
                <w:szCs w:val="11"/>
                <w:color w:val="auto"/>
              </w:rPr>
            </w:pPr>
          </w:p>
        </w:tc>
        <w:tc>
          <w:tcPr>
            <w:tcW w:w="118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80" w:type="dxa"/>
            <w:vAlign w:val="bottom"/>
          </w:tcPr>
          <w:p>
            <w:pPr>
              <w:spacing w:after="0"/>
              <w:rPr>
                <w:sz w:val="11"/>
                <w:szCs w:val="11"/>
                <w:color w:val="auto"/>
              </w:rPr>
            </w:pPr>
          </w:p>
        </w:tc>
        <w:tc>
          <w:tcPr>
            <w:tcW w:w="94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4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5"/>
              </w:rPr>
              <w:t>Other Liabilities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w:t>
            </w: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July 2013</w:t>
            </w:r>
          </w:p>
        </w:tc>
        <w:tc>
          <w:tcPr>
            <w:tcW w:w="1360" w:type="dxa"/>
            <w:vAlign w:val="bottom"/>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July 2023</w:t>
            </w:r>
          </w:p>
        </w:tc>
        <w:tc>
          <w:tcPr>
            <w:tcW w:w="9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3 Mo. LIBOR</w:t>
            </w:r>
          </w:p>
        </w:tc>
        <w:tc>
          <w:tcPr>
            <w:tcW w:w="1060" w:type="dxa"/>
            <w:vAlign w:val="bottom"/>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0.23%</w:t>
            </w:r>
          </w:p>
        </w:tc>
        <w:tc>
          <w:tcPr>
            <w:tcW w:w="8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2.77%</w:t>
            </w:r>
          </w:p>
        </w:tc>
        <w:tc>
          <w:tcPr>
            <w:tcW w:w="820" w:type="dxa"/>
            <w:vAlign w:val="bottom"/>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(133)</w:t>
            </w:r>
          </w:p>
        </w:tc>
        <w:tc>
          <w:tcPr>
            <w:tcW w:w="80" w:type="dxa"/>
            <w:vAlign w:val="bottom"/>
            <w:shd w:val="clear" w:color="auto" w:fill="CCEEFF"/>
          </w:tcPr>
          <w:p>
            <w:pPr>
              <w:spacing w:after="0"/>
              <w:rPr>
                <w:sz w:val="11"/>
                <w:szCs w:val="11"/>
                <w:color w:val="auto"/>
              </w:rPr>
            </w:pPr>
          </w:p>
        </w:tc>
        <w:tc>
          <w:tcPr>
            <w:tcW w:w="94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(133)</w:t>
            </w:r>
          </w:p>
        </w:tc>
        <w:tc>
          <w:tcPr>
            <w:tcW w:w="140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5"/>
              </w:rPr>
              <w:t>Other Liabilities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Interest rate caps:</w:t>
            </w:r>
          </w:p>
        </w:tc>
        <w:tc>
          <w:tcPr>
            <w:tcW w:w="1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6,000</w:t>
            </w: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September 2009</w:t>
            </w:r>
          </w:p>
        </w:tc>
        <w:tc>
          <w:tcPr>
            <w:tcW w:w="1360" w:type="dxa"/>
            <w:vAlign w:val="bottom"/>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September 2014</w:t>
            </w:r>
          </w:p>
        </w:tc>
        <w:tc>
          <w:tcPr>
            <w:tcW w:w="9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3 Mo. LIBOR</w:t>
            </w:r>
          </w:p>
        </w:tc>
        <w:tc>
          <w:tcPr>
            <w:tcW w:w="1060" w:type="dxa"/>
            <w:vAlign w:val="bottom"/>
            <w:shd w:val="clear" w:color="auto" w:fill="CCEEFF"/>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840" w:type="dxa"/>
            <w:vAlign w:val="bottom"/>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820" w:type="dxa"/>
            <w:vAlign w:val="bottom"/>
            <w:shd w:val="clear" w:color="auto" w:fill="CCEEFF"/>
          </w:tcPr>
          <w:p>
            <w:pPr>
              <w:ind w:left="420"/>
              <w:spacing w:after="0" w:line="135" w:lineRule="exact"/>
              <w:rPr>
                <w:sz w:val="20"/>
                <w:szCs w:val="20"/>
                <w:color w:val="auto"/>
              </w:rPr>
            </w:pPr>
            <w:r>
              <w:rPr>
                <w:rFonts w:ascii="Times New Roman" w:cs="Times New Roman" w:eastAsia="Times New Roman" w:hAnsi="Times New Roman"/>
                <w:sz w:val="13"/>
                <w:szCs w:val="13"/>
                <w:color w:val="auto"/>
              </w:rPr>
              <w:t>2.51%</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1"/>
                <w:szCs w:val="11"/>
                <w:color w:val="auto"/>
              </w:rPr>
            </w:pPr>
          </w:p>
        </w:tc>
        <w:tc>
          <w:tcPr>
            <w:tcW w:w="94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Other 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31,000</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(664</w:t>
            </w:r>
          </w:p>
        </w:tc>
        <w:tc>
          <w:tcPr>
            <w:tcW w:w="16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(714</w:t>
            </w:r>
          </w:p>
        </w:tc>
        <w:tc>
          <w:tcPr>
            <w:tcW w:w="24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w w:val="73"/>
              </w:rPr>
              <w:t>)</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2014 and 2013,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 interest on the debt affects earnings. Risk management results for the three months ended September 30, 2014 and 2013 related to the balance sheet hedging of variable rate debt indicates that the hedges were effective. The Company had no fair value hedges at September 30, 2014.</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periods presented, amounts recognized in income related to hedge ineffectiveness resulted from amortization of the non-zero fair value associated with the Company’s single interest rate swap held at the time of the merger with FHB Formation LLC in December 2010. During the periods presented, amounts recognized in income related to amounts excluded from effectiveness testing resulted from amortization of the acquisition price of interest rate caps. The table below presents amounts recognized in income related to both hedge ineffectiveness and amounts excluded from effectiveness testing.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720" w:type="dxa"/>
            <w:vAlign w:val="bottom"/>
            <w:tcBorders>
              <w:bottom w:val="single" w:sz="8" w:color="auto"/>
            </w:tcBorders>
            <w:gridSpan w:val="5"/>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20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00" w:type="dxa"/>
            <w:vAlign w:val="bottom"/>
            <w:gridSpan w:val="4"/>
          </w:tcPr>
          <w:p>
            <w:pPr>
              <w:jc w:val="right"/>
              <w:ind w:right="485"/>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1340" w:type="dxa"/>
            <w:vAlign w:val="bottom"/>
            <w:gridSpan w:val="2"/>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080" w:type="dxa"/>
            <w:vAlign w:val="bottom"/>
            <w:gridSpan w:val="2"/>
          </w:tcPr>
          <w:p>
            <w:pPr>
              <w:jc w:val="right"/>
              <w:ind w:right="94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5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r>
      <w:tr>
        <w:trPr>
          <w:trHeight w:val="21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spacing w:after="0"/>
              <w:rPr>
                <w:sz w:val="18"/>
                <w:szCs w:val="18"/>
                <w:color w:val="auto"/>
              </w:rPr>
            </w:pPr>
          </w:p>
        </w:tc>
        <w:tc>
          <w:tcPr>
            <w:tcW w:w="82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r>
      <w:tr>
        <w:trPr>
          <w:trHeight w:val="20"/>
        </w:trPr>
        <w:tc>
          <w:tcPr>
            <w:tcW w:w="2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expects to record interest income of $40 thousand related to interest rate swap ineffectiveness in the next twelve months. The Company’s outstanding interest rate caps expired on September 30, 2014.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Comprehensive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comprehensive income (loss) follow.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0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7"/>
        </w:trPr>
        <w:tc>
          <w:tcPr>
            <w:tcW w:w="4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Pre-tax</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Tax Expense</w:t>
            </w:r>
          </w:p>
        </w:tc>
        <w:tc>
          <w:tcPr>
            <w:tcW w:w="160" w:type="dxa"/>
            <w:vAlign w:val="bottom"/>
          </w:tcPr>
          <w:p>
            <w:pPr>
              <w:spacing w:after="0"/>
              <w:rPr>
                <w:sz w:val="10"/>
                <w:szCs w:val="10"/>
                <w:color w:val="auto"/>
              </w:rPr>
            </w:pPr>
          </w:p>
        </w:tc>
        <w:tc>
          <w:tcPr>
            <w:tcW w:w="880" w:type="dxa"/>
            <w:vAlign w:val="bottom"/>
          </w:tcPr>
          <w:p>
            <w:pPr>
              <w:jc w:val="right"/>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After-tax</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Pre-tax</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Tax Expense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After-tax</w:t>
            </w:r>
          </w:p>
        </w:tc>
        <w:tc>
          <w:tcPr>
            <w:tcW w:w="100" w:type="dxa"/>
            <w:vAlign w:val="bottom"/>
          </w:tcPr>
          <w:p>
            <w:pPr>
              <w:spacing w:after="0"/>
              <w:rPr>
                <w:sz w:val="10"/>
                <w:szCs w:val="10"/>
                <w:color w:val="auto"/>
              </w:rPr>
            </w:pPr>
          </w:p>
        </w:tc>
      </w:tr>
      <w:tr>
        <w:trPr>
          <w:trHeight w:val="173"/>
        </w:trPr>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6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40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6"/>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net unrealized gain or loss on available-</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for-sale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r>
      <w:tr>
        <w:trPr>
          <w:trHeight w:val="198"/>
        </w:trPr>
        <w:tc>
          <w:tcPr>
            <w:tcW w:w="4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net gains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included in net income</w:t>
            </w: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top w:val="single" w:sz="8" w:color="CCEEFF"/>
            </w:tcBorders>
            <w:shd w:val="clear" w:color="auto" w:fill="CCEEFF"/>
          </w:tcPr>
          <w:p>
            <w:pPr>
              <w:spacing w:after="0"/>
              <w:rPr>
                <w:sz w:val="18"/>
                <w:szCs w:val="18"/>
                <w:color w:val="auto"/>
              </w:rPr>
            </w:pPr>
          </w:p>
        </w:tc>
      </w:tr>
      <w:tr>
        <w:trPr>
          <w:trHeight w:val="178"/>
        </w:trPr>
        <w:tc>
          <w:tcPr>
            <w:tcW w:w="400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Change in accumulated gain or loss on effective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flow hedges</w:t>
            </w:r>
          </w:p>
        </w:tc>
        <w:tc>
          <w:tcPr>
            <w:tcW w:w="1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198"/>
        </w:trPr>
        <w:tc>
          <w:tcPr>
            <w:tcW w:w="4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net gains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included in net income</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derivatives and hedging activities</w:t>
            </w: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is comprised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260" w:type="dxa"/>
            <w:vAlign w:val="bottom"/>
          </w:tcPr>
          <w:p>
            <w:pPr>
              <w:spacing w:after="0"/>
              <w:rPr>
                <w:sz w:val="15"/>
                <w:szCs w:val="15"/>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2014</w:t>
            </w:r>
          </w:p>
        </w:tc>
      </w:tr>
      <w:tr>
        <w:trPr>
          <w:trHeight w:val="142"/>
        </w:trPr>
        <w:tc>
          <w:tcPr>
            <w:tcW w:w="45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540" w:type="dxa"/>
            <w:vAlign w:val="bottom"/>
            <w:tcBorders>
              <w:top w:val="single" w:sz="8" w:color="auto"/>
            </w:tcBorders>
            <w:gridSpan w:val="4"/>
          </w:tcPr>
          <w:p>
            <w:pPr>
              <w:jc w:val="right"/>
              <w:ind w:right="1093"/>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(1,278)</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527</w:t>
            </w:r>
          </w:p>
        </w:tc>
        <w:tc>
          <w:tcPr>
            <w:tcW w:w="2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r>
      <w:tr>
        <w:trPr>
          <w:trHeight w:val="210"/>
        </w:trPr>
        <w:tc>
          <w:tcPr>
            <w:tcW w:w="45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Net-of-tax amount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cash flow hedges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0"/>
        </w:trPr>
        <w:tc>
          <w:tcPr>
            <w:tcW w:w="4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Net-of-tax amount</w:t>
            </w: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tcPr>
          <w:p>
            <w:pPr>
              <w:spacing w:after="0"/>
              <w:rPr>
                <w:sz w:val="18"/>
                <w:szCs w:val="18"/>
                <w:color w:val="auto"/>
              </w:rPr>
            </w:pPr>
          </w:p>
        </w:tc>
      </w:tr>
      <w:tr>
        <w:trPr>
          <w:trHeight w:val="104"/>
        </w:trPr>
        <w:tc>
          <w:tcPr>
            <w:tcW w:w="4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bl>
    <w:p>
      <w:pPr>
        <w:sectPr>
          <w:pgSz w:w="11900" w:h="16900" w:orient="portrait"/>
          <w:cols w:equalWidth="0" w:num="1">
            <w:col w:w="11420"/>
          </w:cols>
          <w:pgMar w:left="240" w:top="337" w:right="239" w:bottom="0" w:gutter="0" w:footer="0" w:header="0"/>
        </w:sectPr>
      </w:pPr>
    </w:p>
    <w:bookmarkStart w:id="17" w:name="page18"/>
    <w:bookmarkEnd w:id="17"/>
    <w:p>
      <w:pPr>
        <w:spacing w:after="0"/>
        <w:tabs>
          <w:tab w:leader="none" w:pos="4540" w:val="left"/>
          <w:tab w:leader="none" w:pos="5780" w:val="left"/>
          <w:tab w:leader="none" w:pos="6520" w:val="left"/>
          <w:tab w:leader="none" w:pos="7780" w:val="left"/>
        </w:tabs>
        <w:rPr>
          <w:sz w:val="20"/>
          <w:szCs w:val="20"/>
          <w:color w:val="auto"/>
        </w:rPr>
      </w:pPr>
      <w:r>
        <w:rPr>
          <w:rFonts w:ascii="Times New Roman" w:cs="Times New Roman" w:eastAsia="Times New Roman" w:hAnsi="Times New Roman"/>
          <w:sz w:val="18"/>
          <w:szCs w:val="18"/>
          <w:color w:val="auto"/>
        </w:rPr>
        <w:t>Accumulated other comprehensive loss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(1,651)</w:t>
        <w:tab/>
        <w:t>$</w:t>
      </w:r>
      <w:r>
        <w:rPr>
          <w:sz w:val="20"/>
          <w:szCs w:val="20"/>
          <w:color w:val="auto"/>
        </w:rPr>
        <w:tab/>
      </w:r>
      <w:r>
        <w:rPr>
          <w:rFonts w:ascii="Times New Roman" w:cs="Times New Roman" w:eastAsia="Times New Roman" w:hAnsi="Times New Roman"/>
          <w:sz w:val="17"/>
          <w:szCs w:val="17"/>
          <w:color w:val="auto"/>
        </w:rPr>
        <w:t>(1,283)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30860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08600" cy="180340"/>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Commitments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and standby letters of credit.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with contract amounts which represent credit risk are as follows:</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420" w:type="dxa"/>
            <w:vAlign w:val="bottom"/>
          </w:tcPr>
          <w:p>
            <w:pPr>
              <w:spacing w:after="0"/>
              <w:rPr>
                <w:sz w:val="15"/>
                <w:szCs w:val="15"/>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2014</w:t>
            </w:r>
          </w:p>
        </w:tc>
      </w:tr>
      <w:tr>
        <w:trPr>
          <w:trHeight w:val="142"/>
        </w:trPr>
        <w:tc>
          <w:tcPr>
            <w:tcW w:w="49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gridSpan w:val="3"/>
          </w:tcPr>
          <w:p>
            <w:pPr>
              <w:jc w:val="right"/>
              <w:ind w:right="107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2"/>
                <w:szCs w:val="12"/>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to originate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16,139</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14,282</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Unused lines of credit</w:t>
            </w:r>
          </w:p>
        </w:tc>
        <w:tc>
          <w:tcPr>
            <w:tcW w:w="180" w:type="dxa"/>
            <w:vAlign w:val="bottom"/>
          </w:tcPr>
          <w:p>
            <w:pPr>
              <w:spacing w:after="0"/>
              <w:rPr>
                <w:sz w:val="18"/>
                <w:szCs w:val="18"/>
                <w:color w:val="auto"/>
              </w:rPr>
            </w:pPr>
          </w:p>
        </w:tc>
        <w:tc>
          <w:tcPr>
            <w:tcW w:w="16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34,651</w:t>
            </w:r>
          </w:p>
        </w:tc>
        <w:tc>
          <w:tcPr>
            <w:tcW w:w="4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34,657</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166</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r>
    </w:tbl>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 The Company has recorded an allowance for possible losses on commitments and unfunded loans totaling $30 thousand recorded in other liabilities at both September 30, 2014 and June 30, 2014.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Contingencies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158"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Discontinued Operations</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Company concluded all investment brokerage activities in the second quarter of Fiscal 2014. Accordingly, operations associated with these activities have been classified as discontinued operations in the accompanying consolidated statements of income. The following summarizes the operations of the Company’s investment brokerage division for the three months ended September 30, 2013.</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commissions</w:t>
            </w:r>
          </w:p>
        </w:tc>
        <w:tc>
          <w:tcPr>
            <w:tcW w:w="58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675</w:t>
            </w: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noninterest income</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5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tcBorders>
              <w:bottom w:val="single" w:sz="8" w:color="CCEEFF"/>
            </w:tcBorders>
          </w:tcPr>
          <w:p>
            <w:pPr>
              <w:spacing w:after="0"/>
              <w:rPr>
                <w:sz w:val="18"/>
                <w:szCs w:val="18"/>
                <w:color w:val="auto"/>
              </w:rPr>
            </w:pPr>
          </w:p>
        </w:tc>
      </w:tr>
      <w:tr>
        <w:trPr>
          <w:trHeight w:val="196"/>
        </w:trPr>
        <w:tc>
          <w:tcPr>
            <w:tcW w:w="4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Noninterest expense:</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5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Occupancy and equipment expense</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8"/>
                <w:szCs w:val="18"/>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Data processing fees</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expense</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5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tcPr>
          <w:p>
            <w:pPr>
              <w:spacing w:after="0"/>
              <w:rPr>
                <w:sz w:val="18"/>
                <w:szCs w:val="18"/>
                <w:color w:val="auto"/>
              </w:rPr>
            </w:pPr>
          </w:p>
        </w:tc>
      </w:tr>
      <w:tr>
        <w:trPr>
          <w:trHeight w:val="210"/>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40" w:type="dxa"/>
            <w:vAlign w:val="bottom"/>
            <w:shd w:val="clear" w:color="auto" w:fill="CCEEFF"/>
          </w:tcPr>
          <w:p>
            <w:pPr>
              <w:spacing w:after="0"/>
              <w:rPr>
                <w:sz w:val="18"/>
                <w:szCs w:val="18"/>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tax</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notes and tables included in Northeast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Bancorp’s Annual Report on Form 10-K for the fiscal year ended June 30, 2014, filed with the Securities and Exchange Commission.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Note about Forward Looking Statements</w:t>
      </w:r>
    </w:p>
    <w:p>
      <w:pPr>
        <w:sectPr>
          <w:pgSz w:w="11900" w:h="16838" w:orient="portrait"/>
          <w:cols w:equalWidth="0" w:num="1">
            <w:col w:w="11400"/>
          </w:cols>
          <w:pgMar w:left="240" w:top="121" w:right="259" w:bottom="0" w:gutter="0" w:footer="0" w:header="0"/>
        </w:sectPr>
      </w:pPr>
    </w:p>
    <w:bookmarkStart w:id="18" w:name="page19"/>
    <w:bookmarkEnd w:id="18"/>
    <w:p>
      <w:pPr>
        <w:ind w:right="40"/>
        <w:spacing w:after="0" w:line="252"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Section 27A of the Securities Act of 1933, as amended and Section 21E of the Securities Exchange Act of 1934, as amended, such as statements relating to the Company’s financial condition, prospective results of operations, future performance or expectations, plans, objectives, prospects, loan loss allowance adequacy, simulation of changes in interest rates, capital spending and finance sources and revenue sources. These statements relate to expectations concerning matters that are not historical facts. Accordingly, statements that are based on management’s projections, estimates, assumptions, and judgments constitute forward-looking statements. These forward-looking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changes in interest rates and real estate values; competitive pressures from other financial institutions; the effects of continuing weakness in general economic conditions on a national basis or in the local markets in which the Company operates, including changes which adversely affect borrowers’ ability to service and repay the Company’s loans; changes in loan defaults and charge-off rates; changes in the value of securities and other assets, adequacy of loan loss reserves, or deposit levels necessitating increased borrowing to fund loans and investments; changes in government regulation; the risk that the Company may not be successful in the implementation of its business strategy; the risk of compromises or breaches to our security systems; the risk that intangibles recorded in the Company’s financial statements will become impaired; changes in assumptions used in making such forward-looking statements; and the other risks and uncertainties detailed in the Company’s Annual Report on Form 10-K for the fiscal year ended June 30, 2014 as updated in the Company’s Quarterly Reports on Form 10-Q and other filings submitted to the Securities and Exchange Commission.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 and Strategy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Business Overview</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Northeast Bancorp (“we,” “our,” “us,” “Northeast” or the “Company”), incorporated under Maine law in 1987, is a bank holding company registered with the Board of Governors of the Federal Reserve System (the “Federal Reserve”). As a bank holding company registered under the Bank Holding Company Act of 1956, as amended (the “BHCA”), the Company is subject to regulation and supervision by the Federal Reserve. The Company’s primary subsidiary and principal asset is its wholly-owned banking subsidiary, Northeast Bank (the “Bank” or “Northeast Bank”), a Maine state-chartered bank originally organized in 1872. As an FDIC-insured Maine-chartered bank, the Bank is subject to regulation and supervision by the Maine Bureau of Financial Institutions (the “Bureau”) and the FDIC.</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to the merger, which represents an acquisition by FHB of Northeast, with Northeast as the surviving company.</w:t>
      </w:r>
    </w:p>
    <w:p>
      <w:pPr>
        <w:spacing w:after="0" w:line="1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of the commitment to hold commercial real estate loans to within 300% of total risk-based capital to exclude owner-occupied commercial real estate loans. All other commitments made to the Federal Reserve in connection with the merger remain unchanged. The Company and the Bank are currently in compliance with all commitments to the Federal Reserve. The Company’s compliance ratios at September 30, 2014 follow.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9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720" w:type="dxa"/>
            <w:vAlign w:val="bottom"/>
            <w:tcBorders>
              <w:bottom w:val="single" w:sz="8" w:color="010101"/>
            </w:tcBorders>
          </w:tcPr>
          <w:p>
            <w:pPr>
              <w:spacing w:after="0"/>
              <w:rPr>
                <w:sz w:val="11"/>
                <w:szCs w:val="11"/>
                <w:color w:val="auto"/>
              </w:rPr>
            </w:pPr>
          </w:p>
        </w:tc>
      </w:tr>
      <w:tr>
        <w:trPr>
          <w:trHeight w:val="523"/>
        </w:trPr>
        <w:tc>
          <w:tcPr>
            <w:tcW w:w="524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85"/>
        </w:trPr>
        <w:tc>
          <w:tcPr>
            <w:tcW w:w="1280" w:type="dxa"/>
            <w:vAlign w:val="bottom"/>
            <w:tcBorders>
              <w:top w:val="single" w:sz="8" w:color="0000EE"/>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3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Ratios at September 30, 2014</w:t>
            </w:r>
          </w:p>
        </w:tc>
        <w:tc>
          <w:tcPr>
            <w:tcW w:w="220" w:type="dxa"/>
            <w:vAlign w:val="bottom"/>
            <w:tcBorders>
              <w:bottom w:val="single" w:sz="8" w:color="CCEEFF"/>
            </w:tcBorders>
          </w:tcPr>
          <w:p>
            <w:pPr>
              <w:spacing w:after="0"/>
              <w:rPr>
                <w:sz w:val="24"/>
                <w:szCs w:val="24"/>
                <w:color w:val="auto"/>
              </w:rPr>
            </w:pPr>
          </w:p>
        </w:tc>
        <w:tc>
          <w:tcPr>
            <w:tcW w:w="2720" w:type="dxa"/>
            <w:vAlign w:val="bottom"/>
          </w:tcPr>
          <w:p>
            <w:pPr>
              <w:spacing w:after="0"/>
              <w:rPr>
                <w:sz w:val="24"/>
                <w:szCs w:val="24"/>
                <w:color w:val="auto"/>
              </w:rPr>
            </w:pPr>
          </w:p>
        </w:tc>
      </w:tr>
      <w:tr>
        <w:trPr>
          <w:trHeight w:val="210"/>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  Tier 1 leverage ratio</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15.89%</w:t>
            </w:r>
          </w:p>
        </w:tc>
        <w:tc>
          <w:tcPr>
            <w:tcW w:w="2720" w:type="dxa"/>
            <w:vAlign w:val="bottom"/>
          </w:tcPr>
          <w:p>
            <w:pPr>
              <w:spacing w:after="0"/>
              <w:rPr>
                <w:sz w:val="18"/>
                <w:szCs w:val="18"/>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  Total risk-based capital ratio</w:t>
            </w:r>
          </w:p>
        </w:tc>
        <w:tc>
          <w:tcPr>
            <w:tcW w:w="3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22.97%</w:t>
            </w:r>
          </w:p>
        </w:tc>
        <w:tc>
          <w:tcPr>
            <w:tcW w:w="2720" w:type="dxa"/>
            <w:vAlign w:val="bottom"/>
          </w:tcPr>
          <w:p>
            <w:pPr>
              <w:spacing w:after="0"/>
              <w:rPr>
                <w:sz w:val="18"/>
                <w:szCs w:val="18"/>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(iii) Ratio of purchased loans to total loans</w:t>
            </w:r>
          </w:p>
        </w:tc>
        <w:tc>
          <w:tcPr>
            <w:tcW w:w="35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37.38%</w:t>
            </w:r>
          </w:p>
        </w:tc>
        <w:tc>
          <w:tcPr>
            <w:tcW w:w="2720" w:type="dxa"/>
            <w:vAlign w:val="bottom"/>
          </w:tcPr>
          <w:p>
            <w:pPr>
              <w:spacing w:after="0"/>
              <w:rPr>
                <w:sz w:val="18"/>
                <w:szCs w:val="18"/>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(iv) Ratio of loans to core deposits</w:t>
            </w:r>
          </w:p>
        </w:tc>
        <w:tc>
          <w:tcPr>
            <w:tcW w:w="3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92.80%</w:t>
            </w:r>
          </w:p>
        </w:tc>
        <w:tc>
          <w:tcPr>
            <w:tcW w:w="2720" w:type="dxa"/>
            <w:vAlign w:val="bottom"/>
          </w:tcPr>
          <w:p>
            <w:pPr>
              <w:spacing w:after="0"/>
              <w:rPr>
                <w:sz w:val="18"/>
                <w:szCs w:val="18"/>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  Ratio of commercial real estate loans to total risk-based capital</w:t>
            </w:r>
          </w:p>
        </w:tc>
        <w:tc>
          <w:tcPr>
            <w:tcW w:w="35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167.57%</w:t>
            </w:r>
          </w:p>
        </w:tc>
        <w:tc>
          <w:tcPr>
            <w:tcW w:w="27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-1313815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-1313815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September 30, 2014, the Company, on a consolidated basis, had total assets of $782.3 million, total deposits of $593.8 million, and shareholders’ equity of $113.2 million. The Company gathers retail deposits through its banking offices in Maine and its online affinity deposit program, ableBanking; originates loans through the Bank’s Community Banking Division; and purchases and originates commercial loans through the Bank’s Loan Acquisition and Servicing Group (“LASG”).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references herein to the Company include the Company and its subsidiary on a consolidated basis.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Strategy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goal is to prudently grow its franchise, while maintaining sound operations and risk management, by implementing the following strategies:</w:t>
      </w:r>
    </w:p>
    <w:p>
      <w:pPr>
        <w:spacing w:after="0" w:line="223"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i w:val="1"/>
          <w:iCs w:val="1"/>
          <w:color w:val="auto"/>
        </w:rPr>
        <w:t>Measured growth of our national commercial loan portfolio</w:t>
      </w:r>
      <w:r>
        <w:rPr>
          <w:rFonts w:ascii="Times New Roman" w:cs="Times New Roman" w:eastAsia="Times New Roman" w:hAnsi="Times New Roman"/>
          <w:sz w:val="18"/>
          <w:szCs w:val="18"/>
          <w:color w:val="auto"/>
        </w:rPr>
        <w:t>. The Company purchases performing commercial real estate loans, on a nationwide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at a discount from their outstanding principal balances, producing yields higher than those normally achieved on our originated loan portfolio. These loans are purchased from a variety of sources, including banks, insurance companies, investment funds and government agencies, either directly or indirectly through a broker. To a lesser extent, we have also originated commercial real estate and commercial business loans on a nationwide basis. We</w:t>
      </w:r>
    </w:p>
    <w:p>
      <w:pPr>
        <w:sectPr>
          <w:pgSz w:w="11900" w:h="16838" w:orient="portrait"/>
          <w:cols w:equalWidth="0" w:num="1">
            <w:col w:w="11460"/>
          </w:cols>
          <w:pgMar w:left="240" w:top="121" w:right="199" w:bottom="0" w:gutter="0" w:footer="0" w:header="0"/>
        </w:sectPr>
      </w:pPr>
    </w:p>
    <w:bookmarkStart w:id="19" w:name="page20"/>
    <w:bookmarkEnd w:id="19"/>
    <w:p>
      <w:pPr>
        <w:spacing w:after="0" w:line="3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expect national originations to become an area of increasing focus for the Company, and in particular the origination of loans guaranteed by the Small Business Administration (“SBA”). As of September 30, 2014, the Company serviced SBA loans with an unpaid principal balance of $51.9 million, of which $36.2 million was held by third parties.</w:t>
      </w:r>
    </w:p>
    <w:p>
      <w:pPr>
        <w:spacing w:after="0" w:line="174"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Focus on core deposits</w:t>
      </w:r>
      <w:r>
        <w:rPr>
          <w:rFonts w:ascii="Times New Roman" w:cs="Times New Roman" w:eastAsia="Times New Roman" w:hAnsi="Times New Roman"/>
          <w:sz w:val="18"/>
          <w:szCs w:val="18"/>
          <w:color w:val="auto"/>
        </w:rPr>
        <w:t>. The Company offers a full line of deposit products to customers in the Community Banking Division’s market area through its ten-branch network. In addition, in June 2012, we launched our online deposit program, ableBanking, a division of Northeast Bank, to provide an additional channel through which to raise core deposits to fund the Company’s asset strategy.</w:t>
      </w:r>
    </w:p>
    <w:p>
      <w:pPr>
        <w:spacing w:after="0" w:line="174"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Continuing our community banking tradition. </w:t>
      </w:r>
      <w:r>
        <w:rPr>
          <w:rFonts w:ascii="Times New Roman" w:cs="Times New Roman" w:eastAsia="Times New Roman" w:hAnsi="Times New Roman"/>
          <w:sz w:val="18"/>
          <w:szCs w:val="18"/>
          <w:color w:val="auto"/>
        </w:rPr>
        <w:t>The Community Banking Division retains a high degree of local autonomy and operational flexibility to better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 its customers. The Community Banking Division’s focus on sales and service allows us to attract and retain core deposits in support of balance sheet growth, and to continue to generate new commercial and residential mortgage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Critical accounting policies are those that involve significant judgments and assessments by management, and which could potentially result in materially different results under different assumptions and conditions. The reader is encouraged to review each of the policies included in Form 10-K for the year ended June 30, 2014 to gain a better understanding of how Northeast’s financial performance is measured and reported. There has been no material change in critical accounting policies during the three months ended September 30, 2014.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continuing operations was $1.6 million for the quarter ended September 30, 2014, compared to $310 thousand for the quarter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2013. Net income available to common shareholders was $1.6 million, or $0.16 per diluted common share, for the quarter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2014, compared to $320 thousand, or $0.03 per diluted common share, for the quarter ended September 30, 2013. The current quarter included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 thousand of expenses related to severance, and excluding these items, which the Company considers to be non-core, net operating earnings were $1.7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or $0.17 per diluted common share.</w:t>
      </w:r>
    </w:p>
    <w:p>
      <w:pPr>
        <w:spacing w:after="0" w:line="20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Net interest income before provision increased by $2.4 million, or 33.3%, to $9.5 million for the quarter ended September 30, 2014, compared to the quarter ended September 30, 2013, primarily due to higher transactional interest income from purchased loan payoffs and the positive effect of balance sheet growth. This result is evident in the net interest margin, which increased to 5.18% for the quarter ended September 30, 2014, compared to 4.24% for the quarter ended September 30, 2013.</w:t>
      </w:r>
    </w:p>
    <w:p>
      <w:pPr>
        <w:spacing w:after="0" w:line="180"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Noninterest income decreased by $134 thousand for the quarter ended September 30, 2014, compared to the quarter ended September 30, 2013, primarily due to a $136 thousand reduction in gains realized on sales of purchased loans.</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Noninterest expense decreased by $115 thousand for the quarter, measured against the quarter ended September 30, 2013. Comparing the two quarters, variances of significance are:</w:t>
      </w:r>
    </w:p>
    <w:p>
      <w:pPr>
        <w:spacing w:after="0" w:line="162" w:lineRule="exact"/>
        <w:rPr>
          <w:sz w:val="20"/>
          <w:szCs w:val="20"/>
          <w:color w:val="auto"/>
        </w:rPr>
      </w:pPr>
    </w:p>
    <w:p>
      <w:pPr>
        <w:ind w:left="1300" w:right="360" w:hanging="320"/>
        <w:spacing w:after="0" w:line="261" w:lineRule="auto"/>
        <w:tabs>
          <w:tab w:leader="none" w:pos="1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employee benefits decreased by $79 thousand, principally due to reductions in severance and overall employee head count, offset in part by higher incentive compensation expense;</w:t>
      </w:r>
    </w:p>
    <w:p>
      <w:pPr>
        <w:ind w:left="1300" w:hanging="320"/>
        <w:spacing w:after="0" w:line="250" w:lineRule="auto"/>
        <w:tabs>
          <w:tab w:leader="none" w:pos="1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and equipment costs declined by $125 thousand, the result of a reduction in software maintenance and depreciation expense following the conversion of the Bank’s core systems platform to an outsourced model in May 2014. The decrease in equipment expense was offset in part by higher conversion-related data processing fees, which increased by $68 thousand;</w:t>
      </w:r>
    </w:p>
    <w:p>
      <w:pPr>
        <w:spacing w:after="0" w:line="1"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which tend to fluctuate from quarter to quarter, were lower by $68 thousand;</w:t>
      </w:r>
    </w:p>
    <w:p>
      <w:pPr>
        <w:spacing w:after="0" w:line="9" w:lineRule="exact"/>
        <w:rPr>
          <w:rFonts w:ascii="Times New Roman" w:cs="Times New Roman" w:eastAsia="Times New Roman" w:hAnsi="Times New Roman"/>
          <w:sz w:val="18"/>
          <w:szCs w:val="18"/>
          <w:color w:val="auto"/>
        </w:rPr>
      </w:pPr>
    </w:p>
    <w:p>
      <w:pPr>
        <w:ind w:left="1300" w:right="100" w:hanging="320"/>
        <w:spacing w:after="0" w:line="250" w:lineRule="auto"/>
        <w:tabs>
          <w:tab w:leader="none" w:pos="1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expense decreased by $199 thousand, mainly due to lower loan acquisition and work-out expenses as well as a $78 thousand recovery of work-out expenses previously incurred;</w:t>
      </w:r>
    </w:p>
    <w:p>
      <w:pPr>
        <w:ind w:left="1260" w:hanging="280"/>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$250 thousand insurance recovery was recognized in the quarter ended September 30, 2013.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22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Total assets increased by $20.4 million, or 2.7%, to $782.3 million at September 30, 2014, compared to June 30, 2014. The principal components of the change in the balance sheet were as follows:</w:t>
      </w:r>
    </w:p>
    <w:p>
      <w:pPr>
        <w:spacing w:after="0" w:line="162" w:lineRule="exact"/>
        <w:rPr>
          <w:sz w:val="20"/>
          <w:szCs w:val="20"/>
          <w:color w:val="auto"/>
        </w:rPr>
      </w:pPr>
    </w:p>
    <w:p>
      <w:pPr>
        <w:ind w:left="660" w:right="60" w:hanging="328"/>
        <w:spacing w:after="0" w:line="266" w:lineRule="auto"/>
        <w:tabs>
          <w:tab w:leader="none" w:pos="6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portfolio — excluding loans held for sale — grew by $25.4 million, or 4.9%, compared to June 30, 2014, principally due to net growth of $33.4 million in commercial loans purchased or originated by LASG, offset by an $8.0 million decrease in the Bank’s Community Banking Division loan portfolio.</w:t>
      </w:r>
    </w:p>
    <w:p>
      <w:pPr>
        <w:spacing w:after="0" w:line="176" w:lineRule="exact"/>
        <w:rPr>
          <w:sz w:val="20"/>
          <w:szCs w:val="20"/>
          <w:color w:val="auto"/>
        </w:rPr>
      </w:pPr>
    </w:p>
    <w:p>
      <w:pPr>
        <w:jc w:val="both"/>
        <w:ind w:left="660" w:right="100"/>
        <w:spacing w:after="0" w:line="266" w:lineRule="auto"/>
        <w:rPr>
          <w:sz w:val="20"/>
          <w:szCs w:val="20"/>
          <w:color w:val="auto"/>
        </w:rPr>
      </w:pPr>
      <w:r>
        <w:rPr>
          <w:rFonts w:ascii="Times New Roman" w:cs="Times New Roman" w:eastAsia="Times New Roman" w:hAnsi="Times New Roman"/>
          <w:sz w:val="18"/>
          <w:szCs w:val="18"/>
          <w:color w:val="auto"/>
        </w:rPr>
        <w:t>New loans generated by the LASG aggregated $53.5 million for the quarter, consisting of $13.2 million in purchases, at an average price of 81.7%, and $40.3 million of originations, the latter total including $36.0 million of loans to broker dealers secured by marketable securities. Residential and consumer loan production sold in the secondary market totaled $30.8 million for the quarter.</w:t>
      </w:r>
    </w:p>
    <w:p>
      <w:pPr>
        <w:spacing w:after="0" w:line="176" w:lineRule="exact"/>
        <w:rPr>
          <w:sz w:val="20"/>
          <w:szCs w:val="20"/>
          <w:color w:val="auto"/>
        </w:rPr>
      </w:pPr>
    </w:p>
    <w:p>
      <w:pPr>
        <w:jc w:val="both"/>
        <w:ind w:left="660" w:right="540"/>
        <w:spacing w:after="0" w:line="266" w:lineRule="auto"/>
        <w:rPr>
          <w:sz w:val="20"/>
          <w:szCs w:val="20"/>
          <w:color w:val="auto"/>
        </w:rPr>
      </w:pPr>
      <w:r>
        <w:rPr>
          <w:rFonts w:ascii="Times New Roman" w:cs="Times New Roman" w:eastAsia="Times New Roman" w:hAnsi="Times New Roman"/>
          <w:sz w:val="18"/>
          <w:szCs w:val="18"/>
          <w:color w:val="auto"/>
        </w:rPr>
        <w:t>As has been discussed in the Company’s prior SEC filings, the Company made certain commitments to the Board of Governors of the Federal Reserve System in connection with the merger of FHB Formation LLC with and into the Company in December 2010. The Company’s loan purchase and commercial real estate loan availability under these conditions follow.</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Basis for</w:t>
            </w:r>
          </w:p>
        </w:tc>
        <w:tc>
          <w:tcPr>
            <w:tcW w:w="566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Purchased Loan Capacity at</w:t>
            </w:r>
          </w:p>
        </w:tc>
        <w:tc>
          <w:tcPr>
            <w:tcW w:w="0" w:type="dxa"/>
            <w:vAlign w:val="bottom"/>
          </w:tcPr>
          <w:p>
            <w:pPr>
              <w:spacing w:after="0"/>
              <w:rPr>
                <w:sz w:val="1"/>
                <w:szCs w:val="1"/>
                <w:color w:val="auto"/>
              </w:rPr>
            </w:pPr>
          </w:p>
        </w:tc>
      </w:tr>
      <w:tr>
        <w:trPr>
          <w:trHeight w:val="173"/>
        </w:trPr>
        <w:tc>
          <w:tcPr>
            <w:tcW w:w="2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Regulatory Condition</w:t>
            </w:r>
          </w:p>
        </w:tc>
        <w:tc>
          <w:tcPr>
            <w:tcW w:w="5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0" w:type="dxa"/>
            <w:vAlign w:val="bottom"/>
          </w:tcPr>
          <w:p>
            <w:pPr>
              <w:spacing w:after="0"/>
              <w:rPr>
                <w:sz w:val="1"/>
                <w:szCs w:val="1"/>
                <w:color w:val="auto"/>
              </w:rPr>
            </w:pPr>
          </w:p>
        </w:tc>
      </w:tr>
      <w:tr>
        <w:trPr>
          <w:trHeight w:val="142"/>
        </w:trPr>
        <w:tc>
          <w:tcPr>
            <w:tcW w:w="1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tcPr>
          <w:p>
            <w:pPr>
              <w:jc w:val="center"/>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w:t>
            </w: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loans may not exceed 40% of total loans</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Capital</w:t>
            </w: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 loans may not exceed 300% of total risk-based capital</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75" w:orient="portrait"/>
          <w:cols w:equalWidth="0" w:num="1">
            <w:col w:w="11420"/>
          </w:cols>
          <w:pgMar w:left="240" w:top="121" w:right="239" w:bottom="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overview of the LASG portfolio follows.</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42"/>
        </w:trPr>
        <w:tc>
          <w:tcPr>
            <w:tcW w:w="3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Originated</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Total LASG</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Originated</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Total LASG</w:t>
            </w:r>
          </w:p>
        </w:tc>
        <w:tc>
          <w:tcPr>
            <w:tcW w:w="180" w:type="dxa"/>
            <w:vAlign w:val="bottom"/>
          </w:tcPr>
          <w:p>
            <w:pPr>
              <w:spacing w:after="0"/>
              <w:rPr>
                <w:sz w:val="12"/>
                <w:szCs w:val="12"/>
                <w:color w:val="auto"/>
              </w:rPr>
            </w:pPr>
          </w:p>
        </w:tc>
      </w:tr>
      <w:tr>
        <w:trPr>
          <w:trHeight w:val="142"/>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60" w:type="dxa"/>
            <w:vAlign w:val="bottom"/>
            <w:gridSpan w:val="4"/>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or originated during the period: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Unpaid principal balance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16,117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40,358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56,475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18,331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26,426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44,757</w:t>
            </w: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basis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13,167</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40,353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53,520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16,348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26,426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42,774</w:t>
            </w:r>
          </w:p>
        </w:tc>
      </w:tr>
      <w:tr>
        <w:trPr>
          <w:trHeight w:val="216"/>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 as of period end: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Unpaid principal balance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244,910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108,534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353,444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214,159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63,588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277,747</w:t>
            </w: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basis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205,928</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108,497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177,412</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63,618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241,030</w:t>
            </w:r>
          </w:p>
        </w:tc>
      </w:tr>
    </w:tbl>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Returns during the period:</w:t>
            </w:r>
          </w:p>
        </w:tc>
        <w:tc>
          <w:tcPr>
            <w:tcW w:w="2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Yield</w:t>
            </w:r>
          </w:p>
        </w:tc>
        <w:tc>
          <w:tcPr>
            <w:tcW w:w="2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12.76%</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6.45%</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10.93%</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10.16%</w:t>
            </w: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5.71%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16"/>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Return (1)</w:t>
            </w:r>
          </w:p>
        </w:tc>
        <w:tc>
          <w:tcPr>
            <w:tcW w:w="21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12.75%</w:t>
            </w:r>
          </w:p>
        </w:tc>
        <w:tc>
          <w:tcPr>
            <w:tcW w:w="1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6.88%</w:t>
            </w: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11.05%</w:t>
            </w:r>
          </w:p>
        </w:tc>
        <w:tc>
          <w:tcPr>
            <w:tcW w:w="1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10.62%</w:t>
            </w:r>
          </w:p>
        </w:tc>
        <w:tc>
          <w:tcPr>
            <w:tcW w:w="12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5.71%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140" w:hanging="8"/>
        <w:spacing w:after="0" w:line="282" w:lineRule="auto"/>
        <w:tabs>
          <w:tab w:leader="none" w:pos="5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return on purchased loans represents scheduled accretion, accelerated accretion, gains on asset sales, and other noninterest income recorded during the period divided by the average invested balance, on an annualized basis.</w:t>
      </w:r>
    </w:p>
    <w:p>
      <w:pPr>
        <w:spacing w:after="0" w:line="162" w:lineRule="exact"/>
        <w:rPr>
          <w:sz w:val="20"/>
          <w:szCs w:val="20"/>
          <w:color w:val="auto"/>
        </w:rPr>
      </w:pPr>
    </w:p>
    <w:p>
      <w:pPr>
        <w:ind w:left="660" w:right="160" w:hanging="328"/>
        <w:spacing w:after="0" w:line="266" w:lineRule="auto"/>
        <w:tabs>
          <w:tab w:leader="none" w:pos="6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increased by $19.5 million, or 3.4%, for the quarter, attributable primarily to growth in non-maturity accounts, which increased by $20.2 million, or 8.7%, for the three months ended September 30, 2014. This growth was centered mainly in money market accounts attracted through the Bank’s online-only ableBanking division.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Short-term Investments and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short-term investments were $83.5 million as of September 30, 2014, an increase of $1.3 million, or 1.6%, from $82.3 million at June 30, 2014.</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Available-for-sale securities, consisting of securities issued by government agencies and government-sponsored enterprises, totaled $110.3 million as of September 30, 2014. At September 30, 2014, securities with a fair value of $32.3 million were pledged for outstanding borrowings.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w:t>
      </w:r>
    </w:p>
    <w:p>
      <w:pPr>
        <w:spacing w:after="0" w:line="22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Total loans, excluding loans held for sale, amounted to $541.8 million as of September 30, 2014, an increase of $25.4 million, or 4.9%, from $516.4 million as of June 30, 2014. The increase consisted of net growth in loans purchased or originated by the LASG of $33.4 million and net decrease in loans originated by the Community Banking Division of $8.0 million. The composition of the Company’s loan portfolio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3"/>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Community</w:t>
            </w:r>
          </w:p>
        </w:tc>
        <w:tc>
          <w:tcPr>
            <w:tcW w:w="280" w:type="dxa"/>
            <w:vAlign w:val="bottom"/>
          </w:tcPr>
          <w:p>
            <w:pPr>
              <w:spacing w:after="0"/>
              <w:rPr>
                <w:sz w:val="10"/>
                <w:szCs w:val="10"/>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LASG</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78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Banking Division</w:t>
            </w: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9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Originated loans: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real estate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114,103</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64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114,413</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 equity</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26,818</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26,818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real estate: non-owner occupied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44,571</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 owner occupied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23,400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36,420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business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9,037</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76,663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227,375</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335,872</w:t>
            </w:r>
          </w:p>
        </w:tc>
        <w:tc>
          <w:tcPr>
            <w:tcW w:w="2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loans: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real estate</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2,729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business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 non-owner occupied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167,512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real estate: owner occupied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205,927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205,927</w:t>
            </w:r>
          </w:p>
        </w:tc>
        <w:tc>
          <w:tcPr>
            <w:tcW w:w="2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227,375</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314,424</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541,799</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7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04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2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80" w:type="dxa"/>
            <w:vAlign w:val="bottom"/>
            <w:gridSpan w:val="3"/>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Community</w:t>
            </w:r>
          </w:p>
        </w:tc>
        <w:tc>
          <w:tcPr>
            <w:tcW w:w="860" w:type="dxa"/>
            <w:vAlign w:val="bottom"/>
          </w:tcPr>
          <w:p>
            <w:pPr>
              <w:spacing w:after="0"/>
              <w:rPr>
                <w:sz w:val="10"/>
                <w:szCs w:val="10"/>
                <w:color w:val="auto"/>
              </w:rPr>
            </w:pPr>
          </w:p>
        </w:tc>
        <w:tc>
          <w:tcPr>
            <w:tcW w:w="640" w:type="dxa"/>
            <w:vAlign w:val="bottom"/>
            <w:gridSpan w:val="2"/>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LASG</w:t>
            </w:r>
          </w:p>
        </w:tc>
        <w:tc>
          <w:tcPr>
            <w:tcW w:w="780" w:type="dxa"/>
            <w:vAlign w:val="bottom"/>
          </w:tcPr>
          <w:p>
            <w:pPr>
              <w:spacing w:after="0"/>
              <w:rPr>
                <w:sz w:val="10"/>
                <w:szCs w:val="10"/>
                <w:color w:val="auto"/>
              </w:rPr>
            </w:pPr>
          </w:p>
        </w:tc>
        <w:tc>
          <w:tcPr>
            <w:tcW w:w="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90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0" w:type="dxa"/>
            <w:vAlign w:val="bottom"/>
          </w:tcPr>
          <w:p>
            <w:pPr>
              <w:spacing w:after="0"/>
              <w:rPr>
                <w:sz w:val="1"/>
                <w:szCs w:val="1"/>
                <w:color w:val="auto"/>
              </w:rPr>
            </w:pPr>
          </w:p>
        </w:tc>
      </w:tr>
      <w:tr>
        <w:trPr>
          <w:trHeight w:val="173"/>
        </w:trPr>
        <w:tc>
          <w:tcPr>
            <w:tcW w:w="12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Banking Division</w:t>
            </w:r>
          </w:p>
        </w:tc>
        <w:tc>
          <w:tcPr>
            <w:tcW w:w="8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9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6"/>
          </w:tcPr>
          <w:p>
            <w:pPr>
              <w:jc w:val="center"/>
              <w:ind w:left="15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Originated loans: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-1056005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-1056005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real estate</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116,660</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116,972</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22.66%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 equity</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27,975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27,975</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real estate: non-owner occupied</w:t>
            </w:r>
          </w:p>
        </w:tc>
        <w:tc>
          <w:tcPr>
            <w:tcW w:w="6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46,191</w:t>
            </w: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33,969</w:t>
            </w:r>
          </w:p>
        </w:tc>
        <w:tc>
          <w:tcPr>
            <w:tcW w:w="3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80,160</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 owner occupied</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24,519</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11,907</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36,426</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6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business</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10,145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31,373</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41,518</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28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6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235,405</w:t>
            </w: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77,561</w:t>
            </w: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312,966</w:t>
            </w:r>
          </w:p>
        </w:tc>
        <w:tc>
          <w:tcPr>
            <w:tcW w:w="280" w:type="dxa"/>
            <w:vAlign w:val="bottom"/>
            <w:vMerge w:val="continue"/>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Purchased loans:</w:t>
            </w: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real estate</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3,687</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3,687</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business</w:t>
            </w:r>
          </w:p>
        </w:tc>
        <w:tc>
          <w:tcPr>
            <w:tcW w:w="6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282</w:t>
            </w:r>
          </w:p>
        </w:tc>
        <w:tc>
          <w:tcPr>
            <w:tcW w:w="3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282</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 non-owner occupied</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133,581</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133,581</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real estate: owner occupied</w:t>
            </w: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65,900</w:t>
            </w:r>
          </w:p>
        </w:tc>
        <w:tc>
          <w:tcPr>
            <w:tcW w:w="28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6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203,450</w:t>
            </w: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203,450</w:t>
            </w:r>
          </w:p>
        </w:tc>
        <w:tc>
          <w:tcPr>
            <w:tcW w:w="280" w:type="dxa"/>
            <w:vAlign w:val="bottom"/>
            <w:vMerge w:val="continue"/>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39.39%</w:t>
            </w:r>
          </w:p>
        </w:tc>
        <w:tc>
          <w:tcPr>
            <w:tcW w:w="0" w:type="dxa"/>
            <w:vAlign w:val="bottom"/>
          </w:tcPr>
          <w:p>
            <w:pPr>
              <w:spacing w:after="0"/>
              <w:rPr>
                <w:sz w:val="1"/>
                <w:szCs w:val="1"/>
                <w:color w:val="auto"/>
              </w:rPr>
            </w:pPr>
          </w:p>
        </w:tc>
      </w:tr>
      <w:tr>
        <w:trPr>
          <w:trHeight w:val="223"/>
        </w:trPr>
        <w:tc>
          <w:tcPr>
            <w:tcW w:w="5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235,405</w:t>
            </w:r>
          </w:p>
        </w:tc>
        <w:tc>
          <w:tcPr>
            <w:tcW w:w="280" w:type="dxa"/>
            <w:vAlign w:val="bottom"/>
          </w:tcPr>
          <w:p>
            <w:pPr>
              <w:spacing w:after="0"/>
              <w:rPr>
                <w:sz w:val="19"/>
                <w:szCs w:val="19"/>
                <w:color w:val="auto"/>
              </w:rPr>
            </w:pPr>
          </w:p>
        </w:tc>
        <w:tc>
          <w:tcPr>
            <w:tcW w:w="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281,011</w:t>
            </w:r>
          </w:p>
        </w:tc>
        <w:tc>
          <w:tcPr>
            <w:tcW w:w="280" w:type="dxa"/>
            <w:vAlign w:val="bottom"/>
          </w:tcPr>
          <w:p>
            <w:pPr>
              <w:spacing w:after="0"/>
              <w:rPr>
                <w:sz w:val="19"/>
                <w:szCs w:val="19"/>
                <w:color w:val="auto"/>
              </w:rPr>
            </w:pPr>
          </w:p>
        </w:tc>
        <w:tc>
          <w:tcPr>
            <w:tcW w:w="32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516,416</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of Assets</w:t>
      </w:r>
    </w:p>
    <w:p>
      <w:pPr>
        <w:spacing w:after="0" w:line="22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Loans are classified as non-performing when 90 days past due, unless a loan is well-secured and in the process of collection. Loans less than 90 days past due, for which collection of principal or interest is considered doubtful, also may be designated as non-performing. In both situations, accrual of interest ceases. The Company typically maintains such loans as non-performing until the respective borrowers have demonstrated a sustained period of payment performance.</w:t>
      </w:r>
    </w:p>
    <w:p>
      <w:pPr>
        <w:spacing w:after="0" w:line="4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cases where a borrower experiences financial difficulties and the Company makes certain concessionary modifications, the loan is classified as a troubled debt restructuring (“TDR”). Concessionary modifications may include adjustments to interest rates, extensions of maturity, or other actions intended to minimize economic loss and avoid foreclosure or repossession of collateral.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Other nonperforming assets include other real estate owned (“OREO”) and other personal property securing loans repossessed by the Bank. The real estate and personal property collateral for commercial and consumer loans is written down to its estimated realizable value upon repossession. Revenues and expenses are recognized in the period when received or incurred on OREO and in substance foreclosures. Gains and losses on disposition are recognized in noninterest income.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Company’s nonperforming assets and other credit quality indicators as of September 30, 2014 and June 30,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believes that, based on their carrying amounts, nonperforming assets are well secured based on the estimated fair value of underlying collateral.</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Non-Performing Assets at September 30, 2014</w:t>
            </w:r>
          </w:p>
        </w:tc>
        <w:tc>
          <w:tcPr>
            <w:tcW w:w="10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86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Community Banking</w:t>
            </w:r>
          </w:p>
        </w:tc>
        <w:tc>
          <w:tcPr>
            <w:tcW w:w="100" w:type="dxa"/>
            <w:vAlign w:val="bottom"/>
          </w:tcPr>
          <w:p>
            <w:pPr>
              <w:spacing w:after="0"/>
              <w:rPr>
                <w:sz w:val="10"/>
                <w:szCs w:val="10"/>
                <w:color w:val="auto"/>
              </w:rPr>
            </w:pPr>
          </w:p>
        </w:tc>
        <w:tc>
          <w:tcPr>
            <w:tcW w:w="1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LASG</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6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120" w:type="dxa"/>
            <w:vAlign w:val="bottom"/>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real estate</w:t>
            </w:r>
          </w:p>
        </w:tc>
        <w:tc>
          <w:tcPr>
            <w:tcW w:w="1120" w:type="dxa"/>
            <w:vAlign w:val="bottom"/>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6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Home equity</w:t>
            </w:r>
          </w:p>
        </w:tc>
        <w:tc>
          <w:tcPr>
            <w:tcW w:w="1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Construction</w:t>
            </w:r>
          </w:p>
        </w:tc>
        <w:tc>
          <w:tcPr>
            <w:tcW w:w="1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business</w:t>
            </w:r>
          </w:p>
        </w:tc>
        <w:tc>
          <w:tcPr>
            <w:tcW w:w="1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w:t>
            </w:r>
          </w:p>
        </w:tc>
        <w:tc>
          <w:tcPr>
            <w:tcW w:w="1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1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owned and other repossessed collateral</w:t>
            </w:r>
          </w:p>
        </w:tc>
        <w:tc>
          <w:tcPr>
            <w:tcW w:w="1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Ratio of nonperforming loans to total loans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nonperforming assets to total assets</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Ratio of loans past due to total loans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loans that are current</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Commercial loans risk rated substandard or worse</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Troubled debt restructurings:</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accrual status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On nonaccrual status</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Non-Performing Assets at June 30, 2014</w:t>
            </w:r>
          </w:p>
        </w:tc>
        <w:tc>
          <w:tcPr>
            <w:tcW w:w="10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86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Community Banking</w:t>
            </w:r>
          </w:p>
        </w:tc>
        <w:tc>
          <w:tcPr>
            <w:tcW w:w="100" w:type="dxa"/>
            <w:vAlign w:val="bottom"/>
          </w:tcPr>
          <w:p>
            <w:pPr>
              <w:spacing w:after="0"/>
              <w:rPr>
                <w:sz w:val="10"/>
                <w:szCs w:val="10"/>
                <w:color w:val="auto"/>
              </w:rPr>
            </w:pPr>
          </w:p>
        </w:tc>
        <w:tc>
          <w:tcPr>
            <w:tcW w:w="1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LASG</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6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120" w:type="dxa"/>
            <w:vAlign w:val="bottom"/>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real estate</w:t>
            </w:r>
          </w:p>
        </w:tc>
        <w:tc>
          <w:tcPr>
            <w:tcW w:w="1120" w:type="dxa"/>
            <w:vAlign w:val="bottom"/>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6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Home equity</w:t>
            </w:r>
          </w:p>
        </w:tc>
        <w:tc>
          <w:tcPr>
            <w:tcW w:w="1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4,116</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Construction</w:t>
            </w:r>
          </w:p>
        </w:tc>
        <w:tc>
          <w:tcPr>
            <w:tcW w:w="1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business</w:t>
            </w:r>
          </w:p>
        </w:tc>
        <w:tc>
          <w:tcPr>
            <w:tcW w:w="46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w:t>
            </w:r>
          </w:p>
        </w:tc>
        <w:tc>
          <w:tcPr>
            <w:tcW w:w="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139</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owned and other repossessed collateral</w:t>
            </w:r>
          </w:p>
        </w:tc>
        <w:tc>
          <w:tcPr>
            <w:tcW w:w="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1,991</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28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28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9,316</w:t>
            </w:r>
          </w:p>
        </w:tc>
        <w:tc>
          <w:tcPr>
            <w:tcW w:w="180" w:type="dxa"/>
            <w:vAlign w:val="bottom"/>
            <w:tcBorders>
              <w:bottom w:val="single" w:sz="8" w:color="CCEEFF"/>
            </w:tcBorders>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Ratio of nonperforming loans to total loans</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nonperforming assets to total assets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Ratio of loans past due to total loans</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loans that are current</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Commercial loans risk rated substandard or worse</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Troubled debt restructurings: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accrual status</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Nonaccrual status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7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Loan Losses</w:t>
      </w:r>
    </w:p>
    <w:p>
      <w:pPr>
        <w:spacing w:after="0" w:line="227"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In connection with the application of the acquisition method of accounting for the merger on December 29, 2010, the allowance for loan losses was reduced to zero when the loan portfolio was marked to its then current fair value. Since that date, the Company has provided for an allowance for loan losses as new loans are originated or in the event that credit exposure in the pre-merger loan portfolio or other acquired loans exceeds the exposure estimated when initial fair values were determined.</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allowance for loan losses was $1.5 million as of September 30, 2014, which represents an increase of $172 thousand from $1.4 million as of June 30, 2014. The increase during the period was principally due to increases in reserves necessary for specific reserves and general allowances on newly originated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ratios related to the allowance for loan losses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28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2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80" w:type="dxa"/>
            <w:vAlign w:val="bottom"/>
            <w:tcBorders>
              <w:bottom w:val="single" w:sz="8" w:color="CCEEFF"/>
            </w:tcBorders>
          </w:tcPr>
          <w:p>
            <w:pPr>
              <w:spacing w:after="0"/>
              <w:rPr>
                <w:sz w:val="15"/>
                <w:szCs w:val="15"/>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to nonperforming loans</w:t>
            </w: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21.12%</w:t>
            </w: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18.66%</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22.18%</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 to total loans</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0.28%</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0.26%</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Last twelve months of net-charge offs to average loans</w:t>
            </w: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0.06%</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0.10%</w:t>
            </w:r>
          </w:p>
        </w:tc>
      </w:tr>
    </w:tbl>
    <w:p>
      <w:pPr>
        <w:spacing w:after="0" w:line="19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While management believes that it uses the best information available to make its determinations with respect to the allowance, there can be no assurance that the Company will not have to increase its provision for loan losses in the future as a result of changing economic conditions, adverse markets for real estate or other factors.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cash surrender value of the Company’s bank-owned life insurance (“BOLI”) assets increased $109 thousand, or 0.7%, to $14.9 million at September 30, 2014, compared to $14.8 million at June 30, 2014. Increases in cash surrender value are recognized in other income and are not subject to income taxes. Borrowing on, or surrendering, a policy may subject the Company to income tax expense on the increase in cash surrender value. For these reasons, management considers BOLI an illiquid asset. BOLI represented 12.2% of the Company’s total risk-based capital at September 30, 2014.</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Intangible assets totaled $2.6 million and $2.8 million at September 30, 2014 and June 30, 2014, respectively. The $166 thousand decrease was the result of core deposit intangible asset amortization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 Borrowed Funds, Capital Resources and Liquidity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2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Company’s principal source of funding is its core deposit accounts. At September 30, 2014, non-maturity accounts and certificates of deposit with balances less than $250 thousand represented 99.7% of total deposits.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Total deposits increased $19.5 million to $593.8 million as of September 30, 2014 from $574.3 million as of June 30, 2014. The increase, which funded growth in the Company’s loan portfolio, was centered mainly in money market accounts attracted through the ableBanking division. The composition of total deposits at September 30, 2014 and June 30, 2014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9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gridSpan w:val="2"/>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220" w:type="dxa"/>
            <w:vAlign w:val="bottom"/>
          </w:tcPr>
          <w:p>
            <w:pPr>
              <w:spacing w:after="0"/>
              <w:rPr>
                <w:sz w:val="10"/>
                <w:szCs w:val="10"/>
                <w:color w:val="auto"/>
              </w:rPr>
            </w:pPr>
          </w:p>
        </w:tc>
        <w:tc>
          <w:tcPr>
            <w:tcW w:w="16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jc w:val="right"/>
              <w:ind w:right="214"/>
              <w:spacing w:after="0" w:line="118"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12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360" w:type="dxa"/>
            <w:vAlign w:val="bottom"/>
            <w:tcBorders>
              <w:top w:val="single" w:sz="8" w:color="auto"/>
            </w:tcBorders>
            <w:gridSpan w:val="6"/>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Demand deposits</w:t>
            </w:r>
          </w:p>
        </w:tc>
        <w:tc>
          <w:tcPr>
            <w:tcW w:w="4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52,698</w:t>
            </w:r>
          </w:p>
        </w:tc>
        <w:tc>
          <w:tcPr>
            <w:tcW w:w="15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50,140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NOW accounts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62,852</w:t>
            </w: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10.58%</w:t>
            </w: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63,648</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 and other savings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33,962</w:t>
            </w:r>
          </w:p>
        </w:tc>
        <w:tc>
          <w:tcPr>
            <w:tcW w:w="15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34,692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deposits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103,054</w:t>
            </w: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17.36%</w:t>
            </w: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83,901</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non-certificate accounts</w:t>
            </w: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252,566</w:t>
            </w:r>
          </w:p>
        </w:tc>
        <w:tc>
          <w:tcPr>
            <w:tcW w:w="28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42.53%</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232,381</w:t>
            </w: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Term certificates less than $250 thousand</w:t>
            </w: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339,410</w:t>
            </w:r>
          </w:p>
        </w:tc>
        <w:tc>
          <w:tcPr>
            <w:tcW w:w="280" w:type="dxa"/>
            <w:vAlign w:val="bottom"/>
            <w:vMerge w:val="continue"/>
          </w:tcPr>
          <w:p>
            <w:pPr>
              <w:spacing w:after="0"/>
              <w:rPr>
                <w:sz w:val="18"/>
                <w:szCs w:val="18"/>
                <w:color w:val="auto"/>
              </w:rPr>
            </w:pP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57.16%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339,616</w:t>
            </w:r>
          </w:p>
        </w:tc>
        <w:tc>
          <w:tcPr>
            <w:tcW w:w="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certificates of $250 thousand or more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1,819</w:t>
            </w:r>
          </w:p>
        </w:tc>
        <w:tc>
          <w:tcPr>
            <w:tcW w:w="15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2,332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certificate accounts</w:t>
            </w: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341,229</w:t>
            </w:r>
          </w:p>
        </w:tc>
        <w:tc>
          <w:tcPr>
            <w:tcW w:w="280" w:type="dxa"/>
            <w:vAlign w:val="bottom"/>
            <w:vMerge w:val="continue"/>
          </w:tcPr>
          <w:p>
            <w:pPr>
              <w:spacing w:after="0"/>
              <w:rPr>
                <w:sz w:val="18"/>
                <w:szCs w:val="18"/>
                <w:color w:val="auto"/>
              </w:rPr>
            </w:pP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57.47%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341,948</w:t>
            </w:r>
          </w:p>
        </w:tc>
        <w:tc>
          <w:tcPr>
            <w:tcW w:w="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593,795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574,329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1" w:right="199" w:bottom="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Borrowed Funds</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Advances from the FHLB were $42.8 million at September 30, 2014 and June 30, 2014. In conjunction with the aforementioned FHLB advances, the Company entered into interest rate swaps with a weighted average pay rate and term of 3.13% and 15 years, respectively. The interest rate swaps have been designated has cash flow hedges of the variability of cash flows associated with the variable rate debt.</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At September 30, 2014, the Company had pledged investment securities with a fair value of $18.3 million, as well as certain residential real estate loans, commercial real estate loans, and FHLB deposits free of liens or pledges to secure outstanding advances and available additional borrowing capacity.</w:t>
      </w:r>
    </w:p>
    <w:p>
      <w:pPr>
        <w:spacing w:after="0" w:line="16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Wholesale repurchase agreements were $10.2 million at September 30, 2014 and June 30, 2014. At September 30, 2014, the Company had pledged investment securities with a fair value of $14.0 million as collateral for outstanding wholesale repurchase agreements.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Short-term borrowings, consisting of sweep accounts and repurchase agreements, were $3.8 million and $3.0 million as of September 30, 2014 and June 30, 2014,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unused borrowing capacity of the Company at September 30, 2014, in addition to traditional retail deposit products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Brokered time deposits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195,573</w:t>
            </w:r>
          </w:p>
        </w:tc>
        <w:tc>
          <w:tcPr>
            <w:tcW w:w="80" w:type="dxa"/>
            <w:vAlign w:val="bottom"/>
            <w:shd w:val="clear" w:color="auto" w:fill="CCEEFF"/>
          </w:tcPr>
          <w:p>
            <w:pPr>
              <w:spacing w:after="0"/>
              <w:rPr>
                <w:sz w:val="18"/>
                <w:szCs w:val="18"/>
                <w:color w:val="auto"/>
              </w:rPr>
            </w:pPr>
          </w:p>
        </w:tc>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Subject to policy limitation of 25% of total assets</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Federal Home Loan Bank of Boston</w:t>
            </w:r>
          </w:p>
        </w:tc>
        <w:tc>
          <w:tcPr>
            <w:tcW w:w="3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88,181</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Subject to eligible and qualified collateral</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Reserve Discount Window Borrower-in-Custody</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shd w:val="clear" w:color="auto" w:fill="CCEEFF"/>
          </w:tcPr>
          <w:p>
            <w:pPr>
              <w:spacing w:after="0"/>
              <w:rPr>
                <w:sz w:val="18"/>
                <w:szCs w:val="18"/>
                <w:color w:val="auto"/>
              </w:rPr>
            </w:pPr>
          </w:p>
        </w:tc>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Subject to the pledge of indirect auto loans</w:t>
            </w: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unused borrowing capacity</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285,184</w:t>
            </w:r>
          </w:p>
        </w:tc>
        <w:tc>
          <w:tcPr>
            <w:tcW w:w="8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Unencumbered investment securities</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76,640</w:t>
            </w:r>
          </w:p>
        </w:tc>
        <w:tc>
          <w:tcPr>
            <w:tcW w:w="4440" w:type="dxa"/>
            <w:vAlign w:val="bottom"/>
            <w:shd w:val="clear" w:color="auto" w:fill="CCEEFF"/>
          </w:tcPr>
          <w:p>
            <w:pPr>
              <w:spacing w:after="0"/>
              <w:rPr>
                <w:sz w:val="18"/>
                <w:szCs w:val="18"/>
                <w:color w:val="auto"/>
              </w:rPr>
            </w:pP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sources of liquidity</w:t>
            </w: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361,824</w:t>
            </w:r>
          </w:p>
        </w:tc>
        <w:tc>
          <w:tcPr>
            <w:tcW w:w="8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Retail deposits and other core deposit sources including deposit listing services are used by the Company to manage its overall liquidity position. While the Company typically does not seek wholesale funding such as brokered deposits, the ability to raise them remains an important part of its liquidity contingency planning. While management closely monitors and forecasts the Company’s liquidity position, it is affected by asset growth, deposit withdrawals and other contractual obligations and commitments. The accuracy of management’s forecast assumptions may increase or decrease the Company’s overall available liquidity.</w:t>
      </w:r>
    </w:p>
    <w:p>
      <w:pPr>
        <w:spacing w:after="0" w:line="18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At September 30, 2014, the Company had $361.8 million of immediately accessible liquidity, defined as additional cash that could be raised within seven days through collateralized borrowings, brokered deposits or security sales. This position represented 46.3% of total assets. The Company also had $83.5 million of cash and cash equivalents at September 30, 2014.</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Management believes that there are adequate funding sources to meet its liquidity needs for the foreseeable future. Primary funding sources are the repayment of principal and interest on loans, the renewal of time deposits, the potential for growth in the deposit base, and the credit availability from the FHLB. Management does not believe that the terms and conditions that will be present at the renewal of these funding sources will significantly impact the Company’s operations, due to its management of the maturities of its assets and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carrying amount and unpaid principal balance of junior subordinated debentures totaled $8.5 million and $16.5 million, respectively, as of September 30, 2014. This debt represents qualifying Tier 1 capital for the Company, up to a maximum of 25% of total Tier 1 capital. At September 30, 2014, the carrying amounts of the junior subordinated notes, net of the Company’s $496 thousand investment in the affiliated trusts, qualified as Tier 1 capital.</w:t>
      </w:r>
    </w:p>
    <w:p>
      <w:pPr>
        <w:spacing w:after="0" w:line="17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At September 30, 2014, shareholders’ equity was $113.2 million, an increase of $1.2 million, or 1.1%, from June 30, 2014. Book value per outstanding common share was $11.05 at September 30, 2014 and at June 30, 2014. Tier 1 capital to total average assets of the Company was 15.89% as of September 30, 2014 and 15.90% at June 30, 2014.</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to the risk-based capital requirements, the Federal Reserve requires top-rated bank holding companies to maintain a minimum leverage capital ratio of Tier 1 capital (defined by reference to the risk-based capital guidelines) to its average total consolidated assets of at least 3.0%. For most other bank holding companies (including the Company), the minimum leverage capital ratio is 4.0%. Bank holding companies with supervisory, financial, operational or managerial weaknesses, as well as bank holding companies that are anticipating or experiencing significant growth, are expected to maintain capital ratios well above the minimum levels.</w:t>
      </w:r>
    </w:p>
    <w:p>
      <w:pPr>
        <w:spacing w:after="0" w:line="1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FDIC has adopted a statement of policy regarding the capital adequacy of state-chartered banks and promulgated regulations to implement the system of prompt corrective action established by Section 38 of the Federal Deposit Insurance Act (“FDIA”). Under these regulations, a bank is “well capitalized” if it has: (i) a total risk-based capital ratio of 10.0% or greater; (ii) a Tier 1 risk-based capital ratio of 6.0% or greater; (iii) a leverage capital ratio of 5.0% or greater; and (iv) is not subject to any written agreement, order, capital directive or prompt corrective action directive to meet and maintain a specific capital level for any capital measure. A bank is “adequately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00"/>
          </w:cols>
          <w:pgMar w:left="240" w:top="337" w:right="259" w:bottom="0" w:gutter="0" w:footer="0" w:header="0"/>
        </w:sectPr>
      </w:pPr>
    </w:p>
    <w:bookmarkStart w:id="24" w:name="page25"/>
    <w:bookmarkEnd w:id="24"/>
    <w:p>
      <w:pPr>
        <w:ind w:right="280"/>
        <w:spacing w:after="0" w:line="282" w:lineRule="auto"/>
        <w:rPr>
          <w:sz w:val="20"/>
          <w:szCs w:val="20"/>
          <w:color w:val="auto"/>
        </w:rPr>
      </w:pPr>
      <w:r>
        <w:rPr>
          <w:rFonts w:ascii="Times New Roman" w:cs="Times New Roman" w:eastAsia="Times New Roman" w:hAnsi="Times New Roman"/>
          <w:sz w:val="18"/>
          <w:szCs w:val="18"/>
          <w:color w:val="auto"/>
        </w:rPr>
        <w:t>capitalized” if it has: (1) a total risk-based capital ratio of 8.0% or greater; (2) a Tier 1 risk-based capital ratio of 4.0% or greater; and (3) a leverage capital ratio of 4.0% or greater (3.0% under certain circumstances) and does not meet the definition of a “well capitalized bank.”</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FDIC also must take into consideration: (i) concentrations of credit risk; (ii) interest rate risk; and (iii) risks from non-traditional activities, as well as an institution’s ability to manage those risks when determining the adequacy of an institution’s capital. This evaluation will be made as a part of the institution’s regular safety and soundness examination. The Bank is currently considered well-capitalized under all regulatory definitions.</w:t>
      </w:r>
    </w:p>
    <w:p>
      <w:pPr>
        <w:spacing w:after="0" w:line="176"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Basel Committee on Banking Supervision has also released new capital requirements, known as Basel III, setting forth higher capital requirements, enhanced risk coverage, a global leverage ratio, provisions for counter-cyclical capital, and liquidity standards.</w:t>
      </w:r>
    </w:p>
    <w:p>
      <w:pPr>
        <w:ind w:right="20"/>
        <w:spacing w:after="0" w:line="251" w:lineRule="auto"/>
        <w:rPr>
          <w:sz w:val="20"/>
          <w:szCs w:val="20"/>
          <w:color w:val="auto"/>
        </w:rPr>
      </w:pPr>
      <w:r>
        <w:rPr>
          <w:rFonts w:ascii="Times New Roman" w:cs="Times New Roman" w:eastAsia="Times New Roman" w:hAnsi="Times New Roman"/>
          <w:sz w:val="18"/>
          <w:szCs w:val="18"/>
          <w:color w:val="auto"/>
        </w:rPr>
        <w:t>On July 2, 2013, the Federal Reserve, along with the other federal banking agencies, issued a final rule (the “Final Capital Rule”) implementing the Basel III capital standards and establishing the minimum capital requirements for banks and bank holding companies required under the Dodd-Frank Act. The majority of the provisions of the Final Capital Rule apply to bank holding companies and banks with consolidated assets of $500 million or more, such as the Company and the Bank. The Final Capital Rule establishes a new capital risk-based capital ratio, a minimum common equity Tier 1 capital ratio of 6.5% of risk-weighted assets to be a “well capitalized” institution, and increase the minimum total Tier 1 capital ratio to be a “well capitalized” institution from 6.0% to 8.0%. Additionally, the Final Capital Rule requires that an institution establish a capital conservation buffer of common equity Tier 1 capital in an amount above the minimum risk-based capital requirements for “adequately capitalized” institutions equal to 2.5% of total risk weight assets, or face restrictions on capital distributions and executive bonuses. The Final Capital Rule increases the required capital for certain categories of assets, including higher-risk construction real estate loans and certain exposures related to securitizations. Under the Final Capital Rule, the Company may make a one-time, permanent election to continue to exclude accumulated other comprehensive income from capital. If the Company does not make this election, unrealized gains and losses would be included in the calculation of its regulatory capital.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must comply with the Final Capital Rule beginning on January 1, 2015.</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Bank and the Company are subject to capital commitments with the Federal Reserve and the Bureau that require higher minimum capital ratios. These commitments require that the Company and the Bank (i) maintain a Tier 1 leverage ratio of at least 10%; and (ii) maintain a total risk-based capital ratio of at least 15%. The Bank and the Company were in compliance with these commitments at September 30, 2014.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and the Bank’s regulatory capital ratios are set forth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vMerge w:val="restart"/>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ind w:left="476"/>
              <w:spacing w:after="0" w:line="149" w:lineRule="exact"/>
              <w:rPr>
                <w:sz w:val="20"/>
                <w:szCs w:val="20"/>
                <w:color w:val="auto"/>
              </w:rPr>
            </w:pPr>
            <w:r>
              <w:rPr>
                <w:rFonts w:ascii="Times New Roman" w:cs="Times New Roman" w:eastAsia="Times New Roman" w:hAnsi="Times New Roman"/>
                <w:sz w:val="14"/>
                <w:szCs w:val="14"/>
                <w:b w:val="1"/>
                <w:bCs w:val="1"/>
                <w:color w:val="auto"/>
                <w:w w:val="98"/>
              </w:rPr>
              <w:t>To Be Well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7"/>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left="415"/>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7"/>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Prompt Correction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Requirements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Action Provisions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Ratio</w:t>
            </w:r>
          </w:p>
        </w:tc>
        <w:tc>
          <w:tcPr>
            <w:tcW w:w="3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Ratio</w:t>
            </w:r>
          </w:p>
        </w:tc>
        <w:tc>
          <w:tcPr>
            <w:tcW w:w="34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76"/>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bottom w:val="single" w:sz="8" w:color="auto"/>
            </w:tcBorders>
            <w:gridSpan w:val="5"/>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gridSpan w:val="5"/>
          </w:tcPr>
          <w:p>
            <w:pPr>
              <w:jc w:val="center"/>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2014:</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Company</w:t>
            </w:r>
          </w:p>
        </w:tc>
        <w:tc>
          <w:tcPr>
            <w:tcW w:w="180" w:type="dxa"/>
            <w:vAlign w:val="bottom"/>
            <w:shd w:val="clear" w:color="auto" w:fill="CCEEFF"/>
          </w:tcPr>
          <w:p>
            <w:pPr>
              <w:jc w:val="right"/>
              <w:ind w:right="1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353"/>
              <w:spacing w:after="0" w:line="176" w:lineRule="exact"/>
              <w:rPr>
                <w:sz w:val="20"/>
                <w:szCs w:val="20"/>
                <w:color w:val="auto"/>
              </w:rPr>
            </w:pPr>
            <w:r>
              <w:rPr>
                <w:rFonts w:ascii="Times New Roman" w:cs="Times New Roman" w:eastAsia="Times New Roman" w:hAnsi="Times New Roman"/>
                <w:sz w:val="18"/>
                <w:szCs w:val="18"/>
                <w:color w:val="auto"/>
              </w:rPr>
              <w:t>122,688</w:t>
            </w:r>
          </w:p>
        </w:tc>
        <w:tc>
          <w:tcPr>
            <w:tcW w:w="114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22.97%</w:t>
            </w:r>
          </w:p>
        </w:tc>
        <w:tc>
          <w:tcPr>
            <w:tcW w:w="1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475"/>
              <w:spacing w:after="0" w:line="176" w:lineRule="exact"/>
              <w:rPr>
                <w:sz w:val="20"/>
                <w:szCs w:val="20"/>
                <w:color w:val="auto"/>
              </w:rPr>
            </w:pPr>
            <w:r>
              <w:rPr>
                <w:rFonts w:ascii="Times New Roman" w:cs="Times New Roman" w:eastAsia="Times New Roman" w:hAnsi="Times New Roman"/>
                <w:sz w:val="18"/>
                <w:szCs w:val="18"/>
                <w:color w:val="auto"/>
              </w:rPr>
              <w:t>42,733</w:t>
            </w:r>
          </w:p>
        </w:tc>
        <w:tc>
          <w:tcPr>
            <w:tcW w:w="1020" w:type="dxa"/>
            <w:vAlign w:val="bottom"/>
            <w:gridSpan w:val="4"/>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&gt;8.0%</w:t>
            </w:r>
          </w:p>
        </w:tc>
        <w:tc>
          <w:tcPr>
            <w:tcW w:w="1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416"/>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Bank</w:t>
            </w:r>
          </w:p>
        </w:tc>
        <w:tc>
          <w:tcPr>
            <w:tcW w:w="180" w:type="dxa"/>
            <w:vAlign w:val="bottom"/>
          </w:tcPr>
          <w:p>
            <w:pPr>
              <w:spacing w:after="0"/>
              <w:rPr>
                <w:sz w:val="15"/>
                <w:szCs w:val="15"/>
                <w:color w:val="auto"/>
              </w:rPr>
            </w:pPr>
          </w:p>
        </w:tc>
        <w:tc>
          <w:tcPr>
            <w:tcW w:w="1300" w:type="dxa"/>
            <w:vAlign w:val="bottom"/>
          </w:tcPr>
          <w:p>
            <w:pPr>
              <w:jc w:val="right"/>
              <w:ind w:right="353"/>
              <w:spacing w:after="0" w:line="176" w:lineRule="exact"/>
              <w:rPr>
                <w:sz w:val="20"/>
                <w:szCs w:val="20"/>
                <w:color w:val="auto"/>
              </w:rPr>
            </w:pPr>
            <w:r>
              <w:rPr>
                <w:rFonts w:ascii="Times New Roman" w:cs="Times New Roman" w:eastAsia="Times New Roman" w:hAnsi="Times New Roman"/>
                <w:sz w:val="18"/>
                <w:szCs w:val="18"/>
                <w:color w:val="auto"/>
              </w:rPr>
              <w:t>105,067</w:t>
            </w:r>
          </w:p>
        </w:tc>
        <w:tc>
          <w:tcPr>
            <w:tcW w:w="11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19.57%</w:t>
            </w:r>
          </w:p>
        </w:tc>
        <w:tc>
          <w:tcPr>
            <w:tcW w:w="180" w:type="dxa"/>
            <w:vAlign w:val="bottom"/>
          </w:tcPr>
          <w:p>
            <w:pPr>
              <w:spacing w:after="0"/>
              <w:rPr>
                <w:sz w:val="15"/>
                <w:szCs w:val="15"/>
                <w:color w:val="auto"/>
              </w:rPr>
            </w:pPr>
          </w:p>
        </w:tc>
        <w:tc>
          <w:tcPr>
            <w:tcW w:w="1400" w:type="dxa"/>
            <w:vAlign w:val="bottom"/>
          </w:tcPr>
          <w:p>
            <w:pPr>
              <w:jc w:val="right"/>
              <w:ind w:right="475"/>
              <w:spacing w:after="0" w:line="176" w:lineRule="exact"/>
              <w:rPr>
                <w:sz w:val="20"/>
                <w:szCs w:val="20"/>
                <w:color w:val="auto"/>
              </w:rPr>
            </w:pPr>
            <w:r>
              <w:rPr>
                <w:rFonts w:ascii="Times New Roman" w:cs="Times New Roman" w:eastAsia="Times New Roman" w:hAnsi="Times New Roman"/>
                <w:sz w:val="18"/>
                <w:szCs w:val="18"/>
                <w:color w:val="auto"/>
              </w:rPr>
              <w:t>42,940</w:t>
            </w:r>
          </w:p>
        </w:tc>
        <w:tc>
          <w:tcPr>
            <w:tcW w:w="1020" w:type="dxa"/>
            <w:vAlign w:val="bottom"/>
            <w:gridSpan w:val="4"/>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&gt;8.0%</w:t>
            </w:r>
          </w:p>
        </w:tc>
        <w:tc>
          <w:tcPr>
            <w:tcW w:w="180" w:type="dxa"/>
            <w:vAlign w:val="bottom"/>
          </w:tcPr>
          <w:p>
            <w:pPr>
              <w:spacing w:after="0"/>
              <w:rPr>
                <w:sz w:val="15"/>
                <w:szCs w:val="15"/>
                <w:color w:val="auto"/>
              </w:rPr>
            </w:pPr>
          </w:p>
        </w:tc>
        <w:tc>
          <w:tcPr>
            <w:tcW w:w="1340" w:type="dxa"/>
            <w:vAlign w:val="bottom"/>
          </w:tcPr>
          <w:p>
            <w:pPr>
              <w:jc w:val="right"/>
              <w:ind w:right="416"/>
              <w:spacing w:after="0" w:line="176" w:lineRule="exact"/>
              <w:rPr>
                <w:sz w:val="20"/>
                <w:szCs w:val="20"/>
                <w:color w:val="auto"/>
              </w:rPr>
            </w:pPr>
            <w:r>
              <w:rPr>
                <w:rFonts w:ascii="Times New Roman" w:cs="Times New Roman" w:eastAsia="Times New Roman" w:hAnsi="Times New Roman"/>
                <w:sz w:val="18"/>
                <w:szCs w:val="18"/>
                <w:color w:val="auto"/>
              </w:rPr>
              <w:t>53,675</w:t>
            </w:r>
          </w:p>
        </w:tc>
        <w:tc>
          <w:tcPr>
            <w:tcW w:w="900" w:type="dxa"/>
            <w:vAlign w:val="bottom"/>
            <w:gridSpan w:val="6"/>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Company</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53"/>
              <w:spacing w:after="0" w:line="176" w:lineRule="exact"/>
              <w:rPr>
                <w:sz w:val="20"/>
                <w:szCs w:val="20"/>
                <w:color w:val="auto"/>
              </w:rPr>
            </w:pPr>
            <w:r>
              <w:rPr>
                <w:rFonts w:ascii="Times New Roman" w:cs="Times New Roman" w:eastAsia="Times New Roman" w:hAnsi="Times New Roman"/>
                <w:sz w:val="18"/>
                <w:szCs w:val="18"/>
                <w:color w:val="auto"/>
              </w:rPr>
              <w:t>121,119</w:t>
            </w:r>
          </w:p>
        </w:tc>
        <w:tc>
          <w:tcPr>
            <w:tcW w:w="114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22.67%</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475"/>
              <w:spacing w:after="0" w:line="176" w:lineRule="exact"/>
              <w:rPr>
                <w:sz w:val="20"/>
                <w:szCs w:val="20"/>
                <w:color w:val="auto"/>
              </w:rPr>
            </w:pPr>
            <w:r>
              <w:rPr>
                <w:rFonts w:ascii="Times New Roman" w:cs="Times New Roman" w:eastAsia="Times New Roman" w:hAnsi="Times New Roman"/>
                <w:sz w:val="18"/>
                <w:szCs w:val="18"/>
                <w:color w:val="auto"/>
              </w:rPr>
              <w:t>21,366</w:t>
            </w:r>
          </w:p>
        </w:tc>
        <w:tc>
          <w:tcPr>
            <w:tcW w:w="1020" w:type="dxa"/>
            <w:vAlign w:val="bottom"/>
            <w:gridSpan w:val="4"/>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&gt;4.0%</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416"/>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Bank</w:t>
            </w:r>
          </w:p>
        </w:tc>
        <w:tc>
          <w:tcPr>
            <w:tcW w:w="180" w:type="dxa"/>
            <w:vAlign w:val="bottom"/>
          </w:tcPr>
          <w:p>
            <w:pPr>
              <w:spacing w:after="0"/>
              <w:rPr>
                <w:sz w:val="15"/>
                <w:szCs w:val="15"/>
                <w:color w:val="auto"/>
              </w:rPr>
            </w:pPr>
          </w:p>
        </w:tc>
        <w:tc>
          <w:tcPr>
            <w:tcW w:w="1300" w:type="dxa"/>
            <w:vAlign w:val="bottom"/>
          </w:tcPr>
          <w:p>
            <w:pPr>
              <w:jc w:val="right"/>
              <w:ind w:right="353"/>
              <w:spacing w:after="0" w:line="176" w:lineRule="exact"/>
              <w:rPr>
                <w:sz w:val="20"/>
                <w:szCs w:val="20"/>
                <w:color w:val="auto"/>
              </w:rPr>
            </w:pPr>
            <w:r>
              <w:rPr>
                <w:rFonts w:ascii="Times New Roman" w:cs="Times New Roman" w:eastAsia="Times New Roman" w:hAnsi="Times New Roman"/>
                <w:sz w:val="18"/>
                <w:szCs w:val="18"/>
                <w:color w:val="auto"/>
              </w:rPr>
              <w:t>101,309</w:t>
            </w:r>
          </w:p>
        </w:tc>
        <w:tc>
          <w:tcPr>
            <w:tcW w:w="11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18.87%</w:t>
            </w:r>
          </w:p>
        </w:tc>
        <w:tc>
          <w:tcPr>
            <w:tcW w:w="180" w:type="dxa"/>
            <w:vAlign w:val="bottom"/>
          </w:tcPr>
          <w:p>
            <w:pPr>
              <w:spacing w:after="0"/>
              <w:rPr>
                <w:sz w:val="15"/>
                <w:szCs w:val="15"/>
                <w:color w:val="auto"/>
              </w:rPr>
            </w:pPr>
          </w:p>
        </w:tc>
        <w:tc>
          <w:tcPr>
            <w:tcW w:w="1400" w:type="dxa"/>
            <w:vAlign w:val="bottom"/>
          </w:tcPr>
          <w:p>
            <w:pPr>
              <w:jc w:val="right"/>
              <w:ind w:right="475"/>
              <w:spacing w:after="0" w:line="176" w:lineRule="exact"/>
              <w:rPr>
                <w:sz w:val="20"/>
                <w:szCs w:val="20"/>
                <w:color w:val="auto"/>
              </w:rPr>
            </w:pPr>
            <w:r>
              <w:rPr>
                <w:rFonts w:ascii="Times New Roman" w:cs="Times New Roman" w:eastAsia="Times New Roman" w:hAnsi="Times New Roman"/>
                <w:sz w:val="18"/>
                <w:szCs w:val="18"/>
                <w:color w:val="auto"/>
              </w:rPr>
              <w:t>21,470</w:t>
            </w:r>
          </w:p>
        </w:tc>
        <w:tc>
          <w:tcPr>
            <w:tcW w:w="1020" w:type="dxa"/>
            <w:vAlign w:val="bottom"/>
            <w:gridSpan w:val="4"/>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&gt;4.0%</w:t>
            </w:r>
          </w:p>
        </w:tc>
        <w:tc>
          <w:tcPr>
            <w:tcW w:w="180" w:type="dxa"/>
            <w:vAlign w:val="bottom"/>
          </w:tcPr>
          <w:p>
            <w:pPr>
              <w:spacing w:after="0"/>
              <w:rPr>
                <w:sz w:val="15"/>
                <w:szCs w:val="15"/>
                <w:color w:val="auto"/>
              </w:rPr>
            </w:pPr>
          </w:p>
        </w:tc>
        <w:tc>
          <w:tcPr>
            <w:tcW w:w="1340" w:type="dxa"/>
            <w:vAlign w:val="bottom"/>
          </w:tcPr>
          <w:p>
            <w:pPr>
              <w:jc w:val="right"/>
              <w:ind w:right="416"/>
              <w:spacing w:after="0" w:line="176" w:lineRule="exact"/>
              <w:rPr>
                <w:sz w:val="20"/>
                <w:szCs w:val="20"/>
                <w:color w:val="auto"/>
              </w:rPr>
            </w:pPr>
            <w:r>
              <w:rPr>
                <w:rFonts w:ascii="Times New Roman" w:cs="Times New Roman" w:eastAsia="Times New Roman" w:hAnsi="Times New Roman"/>
                <w:sz w:val="18"/>
                <w:szCs w:val="18"/>
                <w:color w:val="auto"/>
              </w:rPr>
              <w:t>32,205</w:t>
            </w:r>
          </w:p>
        </w:tc>
        <w:tc>
          <w:tcPr>
            <w:tcW w:w="900" w:type="dxa"/>
            <w:vAlign w:val="bottom"/>
            <w:gridSpan w:val="6"/>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&gt;6.0%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Company</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53"/>
              <w:spacing w:after="0" w:line="176" w:lineRule="exact"/>
              <w:rPr>
                <w:sz w:val="20"/>
                <w:szCs w:val="20"/>
                <w:color w:val="auto"/>
              </w:rPr>
            </w:pPr>
            <w:r>
              <w:rPr>
                <w:rFonts w:ascii="Times New Roman" w:cs="Times New Roman" w:eastAsia="Times New Roman" w:hAnsi="Times New Roman"/>
                <w:sz w:val="18"/>
                <w:szCs w:val="18"/>
                <w:color w:val="auto"/>
              </w:rPr>
              <w:t>121,119</w:t>
            </w:r>
          </w:p>
        </w:tc>
        <w:tc>
          <w:tcPr>
            <w:tcW w:w="114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15.89%</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475"/>
              <w:spacing w:after="0" w:line="176" w:lineRule="exact"/>
              <w:rPr>
                <w:sz w:val="20"/>
                <w:szCs w:val="20"/>
                <w:color w:val="auto"/>
              </w:rPr>
            </w:pPr>
            <w:r>
              <w:rPr>
                <w:rFonts w:ascii="Times New Roman" w:cs="Times New Roman" w:eastAsia="Times New Roman" w:hAnsi="Times New Roman"/>
                <w:sz w:val="18"/>
                <w:szCs w:val="18"/>
                <w:color w:val="auto"/>
              </w:rPr>
              <w:t>30,485</w:t>
            </w:r>
          </w:p>
        </w:tc>
        <w:tc>
          <w:tcPr>
            <w:tcW w:w="1020" w:type="dxa"/>
            <w:vAlign w:val="bottom"/>
            <w:gridSpan w:val="4"/>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&gt;4.0%</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416"/>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Bank</w:t>
            </w:r>
          </w:p>
        </w:tc>
        <w:tc>
          <w:tcPr>
            <w:tcW w:w="180" w:type="dxa"/>
            <w:vAlign w:val="bottom"/>
          </w:tcPr>
          <w:p>
            <w:pPr>
              <w:spacing w:after="0"/>
              <w:rPr>
                <w:sz w:val="15"/>
                <w:szCs w:val="15"/>
                <w:color w:val="auto"/>
              </w:rPr>
            </w:pPr>
          </w:p>
        </w:tc>
        <w:tc>
          <w:tcPr>
            <w:tcW w:w="1300" w:type="dxa"/>
            <w:vAlign w:val="bottom"/>
          </w:tcPr>
          <w:p>
            <w:pPr>
              <w:jc w:val="right"/>
              <w:ind w:right="353"/>
              <w:spacing w:after="0" w:line="176" w:lineRule="exact"/>
              <w:rPr>
                <w:sz w:val="20"/>
                <w:szCs w:val="20"/>
                <w:color w:val="auto"/>
              </w:rPr>
            </w:pPr>
            <w:r>
              <w:rPr>
                <w:rFonts w:ascii="Times New Roman" w:cs="Times New Roman" w:eastAsia="Times New Roman" w:hAnsi="Times New Roman"/>
                <w:sz w:val="18"/>
                <w:szCs w:val="18"/>
                <w:color w:val="auto"/>
              </w:rPr>
              <w:t>101,309</w:t>
            </w:r>
          </w:p>
        </w:tc>
        <w:tc>
          <w:tcPr>
            <w:tcW w:w="11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13.31%</w:t>
            </w:r>
          </w:p>
        </w:tc>
        <w:tc>
          <w:tcPr>
            <w:tcW w:w="180" w:type="dxa"/>
            <w:vAlign w:val="bottom"/>
          </w:tcPr>
          <w:p>
            <w:pPr>
              <w:spacing w:after="0"/>
              <w:rPr>
                <w:sz w:val="15"/>
                <w:szCs w:val="15"/>
                <w:color w:val="auto"/>
              </w:rPr>
            </w:pPr>
          </w:p>
        </w:tc>
        <w:tc>
          <w:tcPr>
            <w:tcW w:w="1400" w:type="dxa"/>
            <w:vAlign w:val="bottom"/>
          </w:tcPr>
          <w:p>
            <w:pPr>
              <w:jc w:val="right"/>
              <w:ind w:right="475"/>
              <w:spacing w:after="0" w:line="176" w:lineRule="exact"/>
              <w:rPr>
                <w:sz w:val="20"/>
                <w:szCs w:val="20"/>
                <w:color w:val="auto"/>
              </w:rPr>
            </w:pPr>
            <w:r>
              <w:rPr>
                <w:rFonts w:ascii="Times New Roman" w:cs="Times New Roman" w:eastAsia="Times New Roman" w:hAnsi="Times New Roman"/>
                <w:sz w:val="18"/>
                <w:szCs w:val="18"/>
                <w:color w:val="auto"/>
              </w:rPr>
              <w:t>30,450</w:t>
            </w:r>
          </w:p>
        </w:tc>
        <w:tc>
          <w:tcPr>
            <w:tcW w:w="1020" w:type="dxa"/>
            <w:vAlign w:val="bottom"/>
            <w:gridSpan w:val="4"/>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&gt;4.0%</w:t>
            </w:r>
          </w:p>
        </w:tc>
        <w:tc>
          <w:tcPr>
            <w:tcW w:w="180" w:type="dxa"/>
            <w:vAlign w:val="bottom"/>
          </w:tcPr>
          <w:p>
            <w:pPr>
              <w:spacing w:after="0"/>
              <w:rPr>
                <w:sz w:val="15"/>
                <w:szCs w:val="15"/>
                <w:color w:val="auto"/>
              </w:rPr>
            </w:pPr>
          </w:p>
        </w:tc>
        <w:tc>
          <w:tcPr>
            <w:tcW w:w="1340" w:type="dxa"/>
            <w:vAlign w:val="bottom"/>
          </w:tcPr>
          <w:p>
            <w:pPr>
              <w:jc w:val="right"/>
              <w:ind w:right="416"/>
              <w:spacing w:after="0" w:line="176" w:lineRule="exact"/>
              <w:rPr>
                <w:sz w:val="20"/>
                <w:szCs w:val="20"/>
                <w:color w:val="auto"/>
              </w:rPr>
            </w:pPr>
            <w:r>
              <w:rPr>
                <w:rFonts w:ascii="Times New Roman" w:cs="Times New Roman" w:eastAsia="Times New Roman" w:hAnsi="Times New Roman"/>
                <w:sz w:val="18"/>
                <w:szCs w:val="18"/>
                <w:color w:val="auto"/>
              </w:rPr>
              <w:t>38,063</w:t>
            </w:r>
          </w:p>
        </w:tc>
        <w:tc>
          <w:tcPr>
            <w:tcW w:w="900" w:type="dxa"/>
            <w:vAlign w:val="bottom"/>
            <w:gridSpan w:val="6"/>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June 30, 2014:</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Company</w:t>
            </w:r>
          </w:p>
        </w:tc>
        <w:tc>
          <w:tcPr>
            <w:tcW w:w="180" w:type="dxa"/>
            <w:vAlign w:val="bottom"/>
          </w:tcPr>
          <w:p>
            <w:pPr>
              <w:jc w:val="right"/>
              <w:ind w:right="1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353"/>
              <w:spacing w:after="0" w:line="176" w:lineRule="exact"/>
              <w:rPr>
                <w:sz w:val="20"/>
                <w:szCs w:val="20"/>
                <w:color w:val="auto"/>
              </w:rPr>
            </w:pPr>
            <w:r>
              <w:rPr>
                <w:rFonts w:ascii="Times New Roman" w:cs="Times New Roman" w:eastAsia="Times New Roman" w:hAnsi="Times New Roman"/>
                <w:sz w:val="18"/>
                <w:szCs w:val="18"/>
                <w:color w:val="auto"/>
              </w:rPr>
              <w:t>120,818</w:t>
            </w:r>
          </w:p>
        </w:tc>
        <w:tc>
          <w:tcPr>
            <w:tcW w:w="11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23.69%</w:t>
            </w:r>
          </w:p>
        </w:tc>
        <w:tc>
          <w:tcPr>
            <w:tcW w:w="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475"/>
              <w:spacing w:after="0" w:line="176" w:lineRule="exact"/>
              <w:rPr>
                <w:sz w:val="20"/>
                <w:szCs w:val="20"/>
                <w:color w:val="auto"/>
              </w:rPr>
            </w:pPr>
            <w:r>
              <w:rPr>
                <w:rFonts w:ascii="Times New Roman" w:cs="Times New Roman" w:eastAsia="Times New Roman" w:hAnsi="Times New Roman"/>
                <w:sz w:val="18"/>
                <w:szCs w:val="18"/>
                <w:color w:val="auto"/>
              </w:rPr>
              <w:t>40,808</w:t>
            </w:r>
          </w:p>
        </w:tc>
        <w:tc>
          <w:tcPr>
            <w:tcW w:w="1020" w:type="dxa"/>
            <w:vAlign w:val="bottom"/>
            <w:gridSpan w:val="4"/>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&gt;8.0%</w:t>
            </w:r>
          </w:p>
        </w:tc>
        <w:tc>
          <w:tcPr>
            <w:tcW w:w="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416"/>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3"/>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Bank</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53"/>
              <w:spacing w:after="0" w:line="176" w:lineRule="exact"/>
              <w:rPr>
                <w:sz w:val="20"/>
                <w:szCs w:val="20"/>
                <w:color w:val="auto"/>
              </w:rPr>
            </w:pPr>
            <w:r>
              <w:rPr>
                <w:rFonts w:ascii="Times New Roman" w:cs="Times New Roman" w:eastAsia="Times New Roman" w:hAnsi="Times New Roman"/>
                <w:sz w:val="18"/>
                <w:szCs w:val="18"/>
                <w:color w:val="auto"/>
              </w:rPr>
              <w:t>103,160</w:t>
            </w:r>
          </w:p>
        </w:tc>
        <w:tc>
          <w:tcPr>
            <w:tcW w:w="114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20.12%</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75"/>
              <w:spacing w:after="0" w:line="176" w:lineRule="exact"/>
              <w:rPr>
                <w:sz w:val="20"/>
                <w:szCs w:val="20"/>
                <w:color w:val="auto"/>
              </w:rPr>
            </w:pPr>
            <w:r>
              <w:rPr>
                <w:rFonts w:ascii="Times New Roman" w:cs="Times New Roman" w:eastAsia="Times New Roman" w:hAnsi="Times New Roman"/>
                <w:sz w:val="18"/>
                <w:szCs w:val="18"/>
                <w:color w:val="auto"/>
              </w:rPr>
              <w:t>41,027</w:t>
            </w:r>
          </w:p>
        </w:tc>
        <w:tc>
          <w:tcPr>
            <w:tcW w:w="1020" w:type="dxa"/>
            <w:vAlign w:val="bottom"/>
            <w:gridSpan w:val="4"/>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&gt;8.0%</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16"/>
              <w:spacing w:after="0" w:line="176" w:lineRule="exact"/>
              <w:rPr>
                <w:sz w:val="20"/>
                <w:szCs w:val="20"/>
                <w:color w:val="auto"/>
              </w:rPr>
            </w:pPr>
            <w:r>
              <w:rPr>
                <w:rFonts w:ascii="Times New Roman" w:cs="Times New Roman" w:eastAsia="Times New Roman" w:hAnsi="Times New Roman"/>
                <w:sz w:val="18"/>
                <w:szCs w:val="18"/>
                <w:color w:val="auto"/>
              </w:rPr>
              <w:t>51,284</w:t>
            </w:r>
          </w:p>
        </w:tc>
        <w:tc>
          <w:tcPr>
            <w:tcW w:w="900" w:type="dxa"/>
            <w:vAlign w:val="bottom"/>
            <w:gridSpan w:val="6"/>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Company</w:t>
            </w:r>
          </w:p>
        </w:tc>
        <w:tc>
          <w:tcPr>
            <w:tcW w:w="180" w:type="dxa"/>
            <w:vAlign w:val="bottom"/>
          </w:tcPr>
          <w:p>
            <w:pPr>
              <w:spacing w:after="0"/>
              <w:rPr>
                <w:sz w:val="15"/>
                <w:szCs w:val="15"/>
                <w:color w:val="auto"/>
              </w:rPr>
            </w:pPr>
          </w:p>
        </w:tc>
        <w:tc>
          <w:tcPr>
            <w:tcW w:w="1300" w:type="dxa"/>
            <w:vAlign w:val="bottom"/>
          </w:tcPr>
          <w:p>
            <w:pPr>
              <w:jc w:val="right"/>
              <w:ind w:right="353"/>
              <w:spacing w:after="0" w:line="176" w:lineRule="exact"/>
              <w:rPr>
                <w:sz w:val="20"/>
                <w:szCs w:val="20"/>
                <w:color w:val="auto"/>
              </w:rPr>
            </w:pPr>
            <w:r>
              <w:rPr>
                <w:rFonts w:ascii="Times New Roman" w:cs="Times New Roman" w:eastAsia="Times New Roman" w:hAnsi="Times New Roman"/>
                <w:sz w:val="18"/>
                <w:szCs w:val="18"/>
                <w:color w:val="auto"/>
              </w:rPr>
              <w:t>119,421</w:t>
            </w:r>
          </w:p>
        </w:tc>
        <w:tc>
          <w:tcPr>
            <w:tcW w:w="11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23.41%</w:t>
            </w:r>
          </w:p>
        </w:tc>
        <w:tc>
          <w:tcPr>
            <w:tcW w:w="180" w:type="dxa"/>
            <w:vAlign w:val="bottom"/>
          </w:tcPr>
          <w:p>
            <w:pPr>
              <w:spacing w:after="0"/>
              <w:rPr>
                <w:sz w:val="15"/>
                <w:szCs w:val="15"/>
                <w:color w:val="auto"/>
              </w:rPr>
            </w:pPr>
          </w:p>
        </w:tc>
        <w:tc>
          <w:tcPr>
            <w:tcW w:w="1400" w:type="dxa"/>
            <w:vAlign w:val="bottom"/>
          </w:tcPr>
          <w:p>
            <w:pPr>
              <w:jc w:val="right"/>
              <w:ind w:right="475"/>
              <w:spacing w:after="0" w:line="176" w:lineRule="exact"/>
              <w:rPr>
                <w:sz w:val="20"/>
                <w:szCs w:val="20"/>
                <w:color w:val="auto"/>
              </w:rPr>
            </w:pPr>
            <w:r>
              <w:rPr>
                <w:rFonts w:ascii="Times New Roman" w:cs="Times New Roman" w:eastAsia="Times New Roman" w:hAnsi="Times New Roman"/>
                <w:sz w:val="18"/>
                <w:szCs w:val="18"/>
                <w:color w:val="auto"/>
              </w:rPr>
              <w:t>20,404</w:t>
            </w:r>
          </w:p>
        </w:tc>
        <w:tc>
          <w:tcPr>
            <w:tcW w:w="1020" w:type="dxa"/>
            <w:vAlign w:val="bottom"/>
            <w:gridSpan w:val="4"/>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&gt;4.0%</w:t>
            </w:r>
          </w:p>
        </w:tc>
        <w:tc>
          <w:tcPr>
            <w:tcW w:w="180" w:type="dxa"/>
            <w:vAlign w:val="bottom"/>
          </w:tcPr>
          <w:p>
            <w:pPr>
              <w:spacing w:after="0"/>
              <w:rPr>
                <w:sz w:val="15"/>
                <w:szCs w:val="15"/>
                <w:color w:val="auto"/>
              </w:rPr>
            </w:pPr>
          </w:p>
        </w:tc>
        <w:tc>
          <w:tcPr>
            <w:tcW w:w="1340" w:type="dxa"/>
            <w:vAlign w:val="bottom"/>
          </w:tcPr>
          <w:p>
            <w:pPr>
              <w:jc w:val="right"/>
              <w:ind w:right="416"/>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3"/>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Bank</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53"/>
              <w:spacing w:after="0" w:line="176" w:lineRule="exact"/>
              <w:rPr>
                <w:sz w:val="20"/>
                <w:szCs w:val="20"/>
                <w:color w:val="auto"/>
              </w:rPr>
            </w:pPr>
            <w:r>
              <w:rPr>
                <w:rFonts w:ascii="Times New Roman" w:cs="Times New Roman" w:eastAsia="Times New Roman" w:hAnsi="Times New Roman"/>
                <w:sz w:val="18"/>
                <w:szCs w:val="18"/>
                <w:color w:val="auto"/>
              </w:rPr>
              <w:t>99,256</w:t>
            </w:r>
          </w:p>
        </w:tc>
        <w:tc>
          <w:tcPr>
            <w:tcW w:w="114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19.35%</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75"/>
              <w:spacing w:after="0" w:line="176" w:lineRule="exact"/>
              <w:rPr>
                <w:sz w:val="20"/>
                <w:szCs w:val="20"/>
                <w:color w:val="auto"/>
              </w:rPr>
            </w:pPr>
            <w:r>
              <w:rPr>
                <w:rFonts w:ascii="Times New Roman" w:cs="Times New Roman" w:eastAsia="Times New Roman" w:hAnsi="Times New Roman"/>
                <w:sz w:val="18"/>
                <w:szCs w:val="18"/>
                <w:color w:val="auto"/>
              </w:rPr>
              <w:t>20,514</w:t>
            </w:r>
          </w:p>
        </w:tc>
        <w:tc>
          <w:tcPr>
            <w:tcW w:w="1020" w:type="dxa"/>
            <w:vAlign w:val="bottom"/>
            <w:gridSpan w:val="4"/>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&gt;4.0%</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16"/>
              <w:spacing w:after="0" w:line="176" w:lineRule="exact"/>
              <w:rPr>
                <w:sz w:val="20"/>
                <w:szCs w:val="20"/>
                <w:color w:val="auto"/>
              </w:rPr>
            </w:pPr>
            <w:r>
              <w:rPr>
                <w:rFonts w:ascii="Times New Roman" w:cs="Times New Roman" w:eastAsia="Times New Roman" w:hAnsi="Times New Roman"/>
                <w:sz w:val="18"/>
                <w:szCs w:val="18"/>
                <w:color w:val="auto"/>
              </w:rPr>
              <w:t>30,771</w:t>
            </w:r>
          </w:p>
        </w:tc>
        <w:tc>
          <w:tcPr>
            <w:tcW w:w="900" w:type="dxa"/>
            <w:vAlign w:val="bottom"/>
            <w:gridSpan w:val="6"/>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&gt;6.0%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Company</w:t>
            </w:r>
          </w:p>
        </w:tc>
        <w:tc>
          <w:tcPr>
            <w:tcW w:w="180" w:type="dxa"/>
            <w:vAlign w:val="bottom"/>
          </w:tcPr>
          <w:p>
            <w:pPr>
              <w:spacing w:after="0"/>
              <w:rPr>
                <w:sz w:val="15"/>
                <w:szCs w:val="15"/>
                <w:color w:val="auto"/>
              </w:rPr>
            </w:pPr>
          </w:p>
        </w:tc>
        <w:tc>
          <w:tcPr>
            <w:tcW w:w="1300" w:type="dxa"/>
            <w:vAlign w:val="bottom"/>
          </w:tcPr>
          <w:p>
            <w:pPr>
              <w:jc w:val="right"/>
              <w:ind w:right="353"/>
              <w:spacing w:after="0" w:line="176" w:lineRule="exact"/>
              <w:rPr>
                <w:sz w:val="20"/>
                <w:szCs w:val="20"/>
                <w:color w:val="auto"/>
              </w:rPr>
            </w:pPr>
            <w:r>
              <w:rPr>
                <w:rFonts w:ascii="Times New Roman" w:cs="Times New Roman" w:eastAsia="Times New Roman" w:hAnsi="Times New Roman"/>
                <w:sz w:val="18"/>
                <w:szCs w:val="18"/>
                <w:color w:val="auto"/>
              </w:rPr>
              <w:t>119,421</w:t>
            </w:r>
          </w:p>
        </w:tc>
        <w:tc>
          <w:tcPr>
            <w:tcW w:w="11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15.90%</w:t>
            </w:r>
          </w:p>
        </w:tc>
        <w:tc>
          <w:tcPr>
            <w:tcW w:w="180" w:type="dxa"/>
            <w:vAlign w:val="bottom"/>
          </w:tcPr>
          <w:p>
            <w:pPr>
              <w:spacing w:after="0"/>
              <w:rPr>
                <w:sz w:val="15"/>
                <w:szCs w:val="15"/>
                <w:color w:val="auto"/>
              </w:rPr>
            </w:pPr>
          </w:p>
        </w:tc>
        <w:tc>
          <w:tcPr>
            <w:tcW w:w="1400" w:type="dxa"/>
            <w:vAlign w:val="bottom"/>
          </w:tcPr>
          <w:p>
            <w:pPr>
              <w:jc w:val="right"/>
              <w:ind w:right="475"/>
              <w:spacing w:after="0" w:line="176" w:lineRule="exact"/>
              <w:rPr>
                <w:sz w:val="20"/>
                <w:szCs w:val="20"/>
                <w:color w:val="auto"/>
              </w:rPr>
            </w:pPr>
            <w:r>
              <w:rPr>
                <w:rFonts w:ascii="Times New Roman" w:cs="Times New Roman" w:eastAsia="Times New Roman" w:hAnsi="Times New Roman"/>
                <w:sz w:val="18"/>
                <w:szCs w:val="18"/>
                <w:color w:val="auto"/>
              </w:rPr>
              <w:t>30,049</w:t>
            </w:r>
          </w:p>
        </w:tc>
        <w:tc>
          <w:tcPr>
            <w:tcW w:w="1020" w:type="dxa"/>
            <w:vAlign w:val="bottom"/>
            <w:gridSpan w:val="4"/>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&gt;4.0%</w:t>
            </w:r>
          </w:p>
        </w:tc>
        <w:tc>
          <w:tcPr>
            <w:tcW w:w="180" w:type="dxa"/>
            <w:vAlign w:val="bottom"/>
          </w:tcPr>
          <w:p>
            <w:pPr>
              <w:spacing w:after="0"/>
              <w:rPr>
                <w:sz w:val="15"/>
                <w:szCs w:val="15"/>
                <w:color w:val="auto"/>
              </w:rPr>
            </w:pPr>
          </w:p>
        </w:tc>
        <w:tc>
          <w:tcPr>
            <w:tcW w:w="1340" w:type="dxa"/>
            <w:vAlign w:val="bottom"/>
          </w:tcPr>
          <w:p>
            <w:pPr>
              <w:jc w:val="right"/>
              <w:ind w:right="416"/>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3"/>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w w:val="90"/>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Bank</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53"/>
              <w:spacing w:after="0" w:line="176" w:lineRule="exact"/>
              <w:rPr>
                <w:sz w:val="20"/>
                <w:szCs w:val="20"/>
                <w:color w:val="auto"/>
              </w:rPr>
            </w:pPr>
            <w:r>
              <w:rPr>
                <w:rFonts w:ascii="Times New Roman" w:cs="Times New Roman" w:eastAsia="Times New Roman" w:hAnsi="Times New Roman"/>
                <w:sz w:val="18"/>
                <w:szCs w:val="18"/>
                <w:color w:val="auto"/>
              </w:rPr>
              <w:t>99,256</w:t>
            </w:r>
          </w:p>
        </w:tc>
        <w:tc>
          <w:tcPr>
            <w:tcW w:w="114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13.22%</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475"/>
              <w:spacing w:after="0" w:line="176" w:lineRule="exact"/>
              <w:rPr>
                <w:sz w:val="20"/>
                <w:szCs w:val="20"/>
                <w:color w:val="auto"/>
              </w:rPr>
            </w:pPr>
            <w:r>
              <w:rPr>
                <w:rFonts w:ascii="Times New Roman" w:cs="Times New Roman" w:eastAsia="Times New Roman" w:hAnsi="Times New Roman"/>
                <w:sz w:val="18"/>
                <w:szCs w:val="18"/>
                <w:color w:val="auto"/>
              </w:rPr>
              <w:t>30,028</w:t>
            </w:r>
          </w:p>
        </w:tc>
        <w:tc>
          <w:tcPr>
            <w:tcW w:w="1020" w:type="dxa"/>
            <w:vAlign w:val="bottom"/>
            <w:gridSpan w:val="4"/>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&gt;4.0%</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416"/>
              <w:spacing w:after="0" w:line="176" w:lineRule="exact"/>
              <w:rPr>
                <w:sz w:val="20"/>
                <w:szCs w:val="20"/>
                <w:color w:val="auto"/>
              </w:rPr>
            </w:pPr>
            <w:r>
              <w:rPr>
                <w:rFonts w:ascii="Times New Roman" w:cs="Times New Roman" w:eastAsia="Times New Roman" w:hAnsi="Times New Roman"/>
                <w:sz w:val="18"/>
                <w:szCs w:val="18"/>
                <w:color w:val="auto"/>
              </w:rPr>
              <w:t>37,536</w:t>
            </w:r>
          </w:p>
        </w:tc>
        <w:tc>
          <w:tcPr>
            <w:tcW w:w="900" w:type="dxa"/>
            <w:vAlign w:val="bottom"/>
            <w:gridSpan w:val="6"/>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Financial Instruments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is a party to financial instruments with off-balance sheet risk in the normal course of business to meet the financing needs of its customers. These financial instruments include commitments to extend credit, unused lines of credit and standby letters of credit.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I. “Notes to Unaudited Consolidated Financial Statements — Note 9: Commitments and Contingencies” for further discussion.</w:t>
      </w:r>
    </w:p>
    <w:p>
      <w:pPr>
        <w:sectPr>
          <w:pgSz w:w="11900" w:h="16838" w:orient="portrait"/>
          <w:cols w:equalWidth="0" w:num="1">
            <w:col w:w="11420"/>
          </w:cols>
          <w:pgMar w:left="240" w:top="121"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5" w:name="page26"/>
    <w:bookmarkEnd w:id="25"/>
    <w:p>
      <w:pPr>
        <w:spacing w:after="0" w:line="6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Net income increased by $1.3 million to $1.6 million for the quarter ended September 30, 2014, compared to $320 thousand for the quarter ended September 30, 2013. Pre-tax income for the quarter ended September 30, 2014 included $52 thousand of expenses related to severance. When compared to the prior year, increases in net income the three months ended September 30, 2014 resulted principally from higher transactional income on purchased loans and the positive effect of balance sheet growth.</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table details the “total return” on purchased loans, which includes transactional interest income of $2.0 million for the quarter ended September 30, 2014, an increase of $1.3 million from the quarter ended September 30, 2013. Including the loss or gain on the sales of purchased loans during the two quarters, the total transactional income increased by $1.1 million for the quarter ended September 30, 2014, compared to the quarter ended September 30, 2013.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Return (1)</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2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Return (1)</w:t>
            </w: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gridSpan w:val="6"/>
          </w:tcPr>
          <w:p>
            <w:pPr>
              <w:jc w:val="center"/>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Regularly scheduled interest and accretion</w:t>
            </w:r>
          </w:p>
        </w:tc>
        <w:tc>
          <w:tcPr>
            <w:tcW w:w="6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3,739</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Transactional income: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loan sales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real estate owned</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noninterest income</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accretion and loan fees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34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transactional income</w:t>
            </w:r>
          </w:p>
        </w:tc>
        <w:tc>
          <w:tcPr>
            <w:tcW w:w="4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3"/>
        </w:trPr>
        <w:tc>
          <w:tcPr>
            <w:tcW w:w="3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spacing w:after="0"/>
              <w:rPr>
                <w:sz w:val="19"/>
                <w:szCs w:val="19"/>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460" w:firstLine="8"/>
        <w:spacing w:after="0" w:line="282" w:lineRule="auto"/>
        <w:tabs>
          <w:tab w:leader="none" w:pos="2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return on purchased loans represents scheduled accretion, accelerated accretion, gains on asset sales, and other noninterest income recorded during the period divided by the average invested balance, on an annualized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interest income before provision for loan losses increased by $2.4 million, or 33.3%, to $9.5 million for the quarter ended September 30, 2014 compared to the quarter ended September 30, 2013, primarily due to higher transactional interest income from purchased loan payoffs and the positive effect of balance sheet growth. When compared to the quarter ended September 30, 2013, transactional interest income increased $1.3 million, having a 94 basis point effect on the net interest margin, which increased to 5.18% from 4.24%. The following table summarizes interest income and related yields recognized on the loan portfolios.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9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360" w:type="dxa"/>
            <w:vAlign w:val="bottom"/>
            <w:gridSpan w:val="2"/>
            <w:vMerge w:val="restart"/>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00" w:type="dxa"/>
            <w:vAlign w:val="bottom"/>
          </w:tcPr>
          <w:p>
            <w:pPr>
              <w:spacing w:after="0"/>
              <w:rPr>
                <w:sz w:val="10"/>
                <w:szCs w:val="10"/>
                <w:color w:val="auto"/>
              </w:rPr>
            </w:pPr>
          </w:p>
        </w:tc>
        <w:tc>
          <w:tcPr>
            <w:tcW w:w="114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20" w:type="dxa"/>
            <w:vAlign w:val="bottom"/>
          </w:tcPr>
          <w:p>
            <w:pPr>
              <w:spacing w:after="0"/>
              <w:rPr>
                <w:sz w:val="10"/>
                <w:szCs w:val="10"/>
                <w:color w:val="auto"/>
              </w:rPr>
            </w:pPr>
          </w:p>
        </w:tc>
        <w:tc>
          <w:tcPr>
            <w:tcW w:w="11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320" w:type="dxa"/>
            <w:vAlign w:val="bottom"/>
            <w:gridSpan w:val="2"/>
            <w:vMerge w:val="restart"/>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3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2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32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gridSpan w:val="5"/>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Community Banking</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Division</w:t>
            </w:r>
          </w:p>
        </w:tc>
        <w:tc>
          <w:tcPr>
            <w:tcW w:w="5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241,165</w:t>
            </w:r>
          </w:p>
        </w:tc>
        <w:tc>
          <w:tcPr>
            <w:tcW w:w="1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3,062</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242,700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LASG:</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Originated</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82,335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1,338</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47,208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22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12.76%</w:t>
            </w:r>
          </w:p>
        </w:tc>
        <w:tc>
          <w:tcPr>
            <w:tcW w:w="20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173,167</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LASG</w:t>
            </w: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22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5"/>
              </w:rPr>
              <w:t>220,375</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2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10,922</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5"/>
              </w:rPr>
              <w:t>463,075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quarter ended September 30, 2014, net interest income was negatively affected by a lower level of noncash accretion of fair value adjustments resulting from the merger than in the comparable 2013 quarter. The effect of such accretion will continue to diminish as financial instruments held at the merger mature or prepay. The following table summarizes the effects of such accretion.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1140" w:type="dxa"/>
            <w:vAlign w:val="bottom"/>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Effect on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1100" w:type="dxa"/>
            <w:vAlign w:val="bottom"/>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Effect on</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Yield / Rate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Yield / 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6"/>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119,298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526,356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77</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463,075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Interest-bearing deposits</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524,631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64</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463,128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Borrowed funds</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92</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64" w:right="199" w:bottom="0" w:gutter="0" w:footer="0" w:header="0"/>
        </w:sectPr>
      </w:pPr>
    </w:p>
    <w:bookmarkStart w:id="26" w:name="page27"/>
    <w:bookmarkEnd w:id="2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5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5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 effect of noncash accretion on:</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interest income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233</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344</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interest margin</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0.13%</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0.21%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interest rate spread and net interest margin increased by 96 basis points and 94 basis points, respectively, for the quarter ended September 30, 2014 compared to the quarter ended September 30, 2013. These increases were principally the result of the aforementioned increases in transactional income and loan volume. The following table sets forth the average balance sheets, interest income and interest expense, and average yields and costs for the three months ended September 30, 2014 and 2013.</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080" w:type="dxa"/>
            <w:vAlign w:val="bottom"/>
          </w:tcPr>
          <w:p>
            <w:pPr>
              <w:jc w:val="center"/>
              <w:ind w:left="15"/>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0"/>
                <w:szCs w:val="10"/>
                <w:color w:val="auto"/>
              </w:rPr>
            </w:pPr>
          </w:p>
        </w:tc>
        <w:tc>
          <w:tcPr>
            <w:tcW w:w="108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Yield/</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15"/>
                <w:szCs w:val="15"/>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112,250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119,298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(1) (2)</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526,356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463,075</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Regulatory stock</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investments (3)</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82,762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0.24%</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77,408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725,470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665,502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non-interest earning assets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34,012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762,918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702,551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&amp; Shareholders’ Equity:</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NOW accounts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63,608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86,294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85,688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Savings accounts</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33,926</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340,368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284,390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0.85%</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463,128</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Borrowed funds</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52,979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59,986</w:t>
            </w: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589,391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533,680</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Non-interest bearing liabilities: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Demand deposits and escrow accounts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53,245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50,391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5,561</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650,527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589,632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112,391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112,919</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9,471</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spread</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margin (4)</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8" w:lineRule="exact"/>
        <w:rPr>
          <w:sz w:val="20"/>
          <w:szCs w:val="20"/>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loans held for sale.</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Nonaccrual loans are included in the computation of average, but unpaid interest has not been included for purposes of determining interest income.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term investments include FHLB overnight deposits and other interest-bearing deposits.</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is calculated as net interest income divided by total interest-earning assets.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0" w:type="dxa"/>
            <w:vAlign w:val="bottom"/>
            <w:gridSpan w:val="4"/>
          </w:tcPr>
          <w:p>
            <w:pPr>
              <w:jc w:val="center"/>
              <w:ind w:left="1119"/>
              <w:spacing w:after="0"/>
              <w:rPr>
                <w:sz w:val="20"/>
                <w:szCs w:val="20"/>
                <w:color w:val="auto"/>
              </w:rPr>
            </w:pPr>
            <w:r>
              <w:rPr>
                <w:rFonts w:ascii="Times New Roman" w:cs="Times New Roman" w:eastAsia="Times New Roman" w:hAnsi="Times New Roman"/>
                <w:sz w:val="14"/>
                <w:szCs w:val="14"/>
                <w:b w:val="1"/>
                <w:bCs w:val="1"/>
                <w:color w:val="auto"/>
              </w:rPr>
              <w:t>Three Months Ended September 30, 2014</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Compared to the Three Months Ended September 30, 2013</w:t>
            </w:r>
          </w:p>
        </w:tc>
      </w:tr>
      <w:tr>
        <w:trPr>
          <w:trHeight w:val="142"/>
        </w:trPr>
        <w:tc>
          <w:tcPr>
            <w:tcW w:w="4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Change Due to Volume</w:t>
            </w:r>
          </w:p>
        </w:tc>
        <w:tc>
          <w:tcPr>
            <w:tcW w:w="24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Change Due to Rate</w:t>
            </w:r>
          </w:p>
        </w:tc>
        <w:tc>
          <w:tcPr>
            <w:tcW w:w="3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Total Change</w:t>
            </w:r>
          </w:p>
        </w:tc>
        <w:tc>
          <w:tcPr>
            <w:tcW w:w="12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60" w:type="dxa"/>
            <w:vAlign w:val="bottom"/>
            <w:gridSpan w:val="2"/>
          </w:tcPr>
          <w:p>
            <w:pPr>
              <w:jc w:val="center"/>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earning assets:</w:t>
            </w: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1,235</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1,230</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Regulatory stock</w:t>
            </w:r>
          </w:p>
        </w:tc>
        <w:tc>
          <w:tcPr>
            <w:tcW w:w="140" w:type="dxa"/>
            <w:vAlign w:val="bottom"/>
          </w:tcPr>
          <w:p>
            <w:pPr>
              <w:spacing w:after="0"/>
              <w:rPr>
                <w:sz w:val="18"/>
                <w:szCs w:val="18"/>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6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r>
      <w:tr>
        <w:trPr>
          <w:trHeight w:val="97"/>
        </w:trPr>
        <w:tc>
          <w:tcPr>
            <w:tcW w:w="4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bl>
    <w:p>
      <w:pPr>
        <w:sectPr>
          <w:pgSz w:w="11900" w:h="16900" w:orient="portrait"/>
          <w:cols w:equalWidth="0" w:num="1">
            <w:col w:w="11420"/>
          </w:cols>
          <w:pgMar w:left="240" w:top="140" w:right="2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4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increase (decrease) in interest income</w:t>
            </w:r>
          </w:p>
        </w:tc>
        <w:tc>
          <w:tcPr>
            <w:tcW w:w="7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20" w:type="dxa"/>
            <w:vAlign w:val="bottom"/>
            <w:tcBorders>
              <w:bottom w:val="single" w:sz="8" w:color="CCEEFF"/>
            </w:tcBorders>
          </w:tcPr>
          <w:p>
            <w:pPr>
              <w:spacing w:after="0"/>
              <w:rPr>
                <w:sz w:val="18"/>
                <w:szCs w:val="18"/>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bearing liabilities:</w:t>
            </w: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7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Borrowed funds</w:t>
            </w:r>
          </w:p>
        </w:tc>
        <w:tc>
          <w:tcPr>
            <w:tcW w:w="7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r>
      <w:tr>
        <w:trPr>
          <w:trHeight w:val="210"/>
        </w:trPr>
        <w:tc>
          <w:tcPr>
            <w:tcW w:w="4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(decrease) increase in interest expense</w:t>
            </w:r>
          </w:p>
        </w:tc>
        <w:tc>
          <w:tcPr>
            <w:tcW w:w="7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tcPr>
          <w:p>
            <w:pPr>
              <w:spacing w:after="0"/>
              <w:rPr>
                <w:sz w:val="18"/>
                <w:szCs w:val="18"/>
                <w:color w:val="auto"/>
              </w:rPr>
            </w:pPr>
          </w:p>
        </w:tc>
      </w:tr>
      <w:tr>
        <w:trPr>
          <w:trHeight w:val="210"/>
        </w:trPr>
        <w:tc>
          <w:tcPr>
            <w:tcW w:w="4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increase (decrease) in net interest income</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Loan Losses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Quarterly, the Company determines the amount of the allowance for loan losses that is appropriate to provide for losses inherent in the Company’s loan portfolios, with the provision for loan losses determined by the net change in the allowance for loan losses. For loans acquired with deteriorated credit quality, a provision for loan a loss is recorded when estimates of future cash flows are lower than had been previously expected. See Part I. Item I. “Notes to Unaudited Consolidated Financial Statements — Note 4: Loans, Allowance for Loan losses and Credit Quality” for further discussion.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provision for loan losses for periods subsequent to the merger with FHB Formation LLC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provision for loan losses for the three months ended September 30, 2014 and 2013 was $320 thousand and $77 thousand, respectively. The increase in the Company’s loan loss provision resulted principally from increases in impairment allowances on two commercial real estate loans.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Noninterest income decreased by $134 thousand for the current quarter, compared to the quarter ended September 30, 2013, principally due to a $136 thousand reduction in gains realized on sales of purchased loans.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Noninterest expense decreased by $115 thousand for the quarter, measured against the quarter ended September 30, 2013. Comparing the two quarters, variances of significance are:</w:t>
      </w:r>
    </w:p>
    <w:p>
      <w:pPr>
        <w:spacing w:after="0" w:line="162" w:lineRule="exact"/>
        <w:rPr>
          <w:sz w:val="20"/>
          <w:szCs w:val="20"/>
          <w:color w:val="auto"/>
        </w:rPr>
      </w:pPr>
    </w:p>
    <w:p>
      <w:pPr>
        <w:ind w:left="980" w:right="60" w:hanging="324"/>
        <w:spacing w:after="0" w:line="261" w:lineRule="auto"/>
        <w:tabs>
          <w:tab w:leader="none" w:pos="9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employee benefits decreased by $79 thousand, principally due to reductions in severance and overall employee head count, offset in part by higher incentive compensation expense;</w:t>
      </w:r>
    </w:p>
    <w:p>
      <w:pPr>
        <w:ind w:left="980" w:right="340" w:hanging="324"/>
        <w:spacing w:after="0" w:line="250" w:lineRule="auto"/>
        <w:tabs>
          <w:tab w:leader="none" w:pos="9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and equipment costs declined by $125 thousand, the result of a reduction in software maintenance and depreciation expense following the conversion of the Bank’s core systems platform to an outsourced model in May 2014. The decrease in equipment expense was offset in part by higher conversion-related data processing fees, which increased by $88 thousand;</w:t>
      </w:r>
    </w:p>
    <w:p>
      <w:pPr>
        <w:spacing w:after="0" w:line="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which tend to fluctuate from quarter to quarter, were lower by $68 thousand;</w:t>
      </w:r>
    </w:p>
    <w:p>
      <w:pPr>
        <w:spacing w:after="0" w:line="9" w:lineRule="exact"/>
        <w:rPr>
          <w:rFonts w:ascii="Times New Roman" w:cs="Times New Roman" w:eastAsia="Times New Roman" w:hAnsi="Times New Roman"/>
          <w:sz w:val="18"/>
          <w:szCs w:val="18"/>
          <w:color w:val="auto"/>
        </w:rPr>
      </w:pPr>
    </w:p>
    <w:p>
      <w:pPr>
        <w:ind w:left="980" w:right="220" w:hanging="324"/>
        <w:spacing w:after="0" w:line="250" w:lineRule="auto"/>
        <w:tabs>
          <w:tab w:leader="none" w:pos="9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expense decreased by $199 thousand, mainly due to lower loan acquisition and work-out expenses as well as a $78 thousand recovery of work-out expenses previously incurred;</w:t>
      </w:r>
    </w:p>
    <w:p>
      <w:pPr>
        <w:ind w:left="940" w:hanging="284"/>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$250 thousand insurance recovery was recognized in the quarter ended September 30, 2013.</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Company’s income tax expense was $924 thousand, or an effective rate of 36.0%, for the quarter ended September 30, 2014, as compared to $161 thousand, or an effective rate of 33.5%, for the quarter ended September 30, 2013. The increase in the Company’s effective tax rate was principally due to increased state income taxes resulting from changes in state apportionment.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maintains controls and procedures designed to ensure that information required to be disclosed in the reports the Company files or submits under the Securities Exchange Act of 1934 (“Exchange Act”) is recorded, processed, summarized and reported within the time periods specified in the rules and forms of the Securities and Exchange Commission, and that such information is accumulated and communicated to the Company’s management, including the Chief Executive Officer and Chief Financial Officer (the Company’s principal executive officer and principal financial officer, respectively), as appropriate to allow for timely decisions regarding timely disclosure. In designing and evaluating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ectPr>
          <w:pgSz w:w="11900" w:h="16838" w:orient="portrait"/>
          <w:cols w:equalWidth="0" w:num="1">
            <w:col w:w="11420"/>
          </w:cols>
          <w:pgMar w:left="240" w:top="140" w:right="239" w:bottom="0" w:gutter="0" w:footer="0" w:header="0"/>
        </w:sectPr>
      </w:pPr>
    </w:p>
    <w:bookmarkStart w:id="28" w:name="page29"/>
    <w:bookmarkEnd w:id="28"/>
    <w:p>
      <w:pPr>
        <w:spacing w:after="0" w:line="59"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The Company’s management, with the participation of the Chief Executive Officer and Chief Financial Officer, has evaluated the effectiveness of its disclosure controls and procedures (as defined in Rules 13a-15(e) and 15d-15(e) under the Exchange Act) as of the end of the period covered by this Quarterly Report on Form 10-Q.</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Based on this evaluation of the Company’s disclosure controls and procedures, the Chief Executive Officer and Chief Financial Officer have concluded that these disclosure controls and procedures were effective as of September 30, 2014.</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controls over financial reporting (as defined in Rule 13a-15(f) of the Exchange Act) that occurred during the quarter ended September 30, 2014 that have materially affected, or is reasonably likely to materially affect, the Company’s internal controls over financial reporting.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980"/>
        <w:spacing w:after="0" w:line="256" w:lineRule="auto"/>
        <w:rPr>
          <w:sz w:val="20"/>
          <w:szCs w:val="20"/>
          <w:color w:val="auto"/>
        </w:rPr>
      </w:pPr>
      <w:r>
        <w:rPr>
          <w:rFonts w:ascii="Times New Roman" w:cs="Times New Roman" w:eastAsia="Times New Roman" w:hAnsi="Times New Roman"/>
          <w:sz w:val="18"/>
          <w:szCs w:val="18"/>
          <w:color w:val="auto"/>
        </w:rPr>
        <w:t>On April 23, 2014, the Company announced that its Board of Directors authorized the Company to purchase up to 870,000 shares of its common stock, representing 8.3% of the Company’s outstanding common shares and approximately $8.4 million based on the Company’s closing stock price on April 22, 2014. Such purchases will be made in open market or in privately negotiated transactions from time to time and in such amounts as market conditions warrant. The timing and actual number of shares repurchased will depend on a variety of factors including price, corporate and regulatory requirements, market conditions, and other corporate liquidity requirements and priorities. The stock repurchase program may be suspended or terminated at any time without prior notice, and will expire on April 23, 2016.</w:t>
      </w:r>
    </w:p>
    <w:p>
      <w:pPr>
        <w:spacing w:after="0" w:line="188"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purchases made by us of our common stock during the quarter ended September 30, 2014.</w:t>
      </w:r>
    </w:p>
    <w:p>
      <w:pPr>
        <w:spacing w:after="0" w:line="143"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7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Average Price Per</w:t>
            </w:r>
          </w:p>
        </w:tc>
        <w:tc>
          <w:tcPr>
            <w:tcW w:w="1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73"/>
        </w:trPr>
        <w:tc>
          <w:tcPr>
            <w:tcW w:w="2460" w:type="dxa"/>
            <w:vAlign w:val="bottom"/>
            <w:gridSpan w:val="2"/>
            <w:vMerge w:val="continue"/>
          </w:tcPr>
          <w:p>
            <w:pPr>
              <w:spacing w:after="0"/>
              <w:rPr>
                <w:sz w:val="15"/>
                <w:szCs w:val="15"/>
                <w:color w:val="auto"/>
              </w:rPr>
            </w:pPr>
          </w:p>
        </w:tc>
        <w:tc>
          <w:tcPr>
            <w:tcW w:w="1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 Purchased (1)</w:t>
            </w:r>
          </w:p>
        </w:tc>
        <w:tc>
          <w:tcPr>
            <w:tcW w:w="160" w:type="dxa"/>
            <w:vAlign w:val="bottom"/>
          </w:tcPr>
          <w:p>
            <w:pPr>
              <w:spacing w:after="0"/>
              <w:rPr>
                <w:sz w:val="15"/>
                <w:szCs w:val="15"/>
                <w:color w:val="auto"/>
              </w:rPr>
            </w:pPr>
          </w:p>
        </w:tc>
        <w:tc>
          <w:tcPr>
            <w:tcW w:w="17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the Program</w:t>
            </w: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 1 –Jul. 31</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293,300</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5"/>
              </w:rPr>
              <w:t>576,700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 1 – Aug. 31</w:t>
            </w:r>
          </w:p>
        </w:tc>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12,300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9.34</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305,600</w:t>
            </w:r>
          </w:p>
        </w:tc>
        <w:tc>
          <w:tcPr>
            <w:tcW w:w="17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564,400</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 1 – Sep. 30</w:t>
            </w:r>
          </w:p>
        </w:tc>
        <w:tc>
          <w:tcPr>
            <w:tcW w:w="1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305,600</w:t>
            </w:r>
          </w:p>
        </w:tc>
        <w:tc>
          <w:tcPr>
            <w:tcW w:w="17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564,400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Based on trade date, not settlement date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760" w:type="dxa"/>
            <w:vAlign w:val="bottom"/>
          </w:tcPr>
          <w:p>
            <w:pPr>
              <w:spacing w:after="0"/>
              <w:rPr>
                <w:sz w:val="24"/>
                <w:szCs w:val="24"/>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320" w:type="dxa"/>
            <w:vAlign w:val="bottom"/>
          </w:tcPr>
          <w:p>
            <w:pPr>
              <w:spacing w:after="0"/>
              <w:rPr>
                <w:sz w:val="24"/>
                <w:szCs w:val="24"/>
                <w:color w:val="auto"/>
              </w:rPr>
            </w:pPr>
          </w:p>
        </w:tc>
        <w:tc>
          <w:tcPr>
            <w:tcW w:w="8900" w:type="dxa"/>
            <w:vAlign w:val="bottom"/>
            <w:vMerge w:val="restart"/>
          </w:tcPr>
          <w:p>
            <w:pPr>
              <w:ind w:left="4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No.</w:t>
            </w:r>
          </w:p>
        </w:tc>
        <w:tc>
          <w:tcPr>
            <w:tcW w:w="320" w:type="dxa"/>
            <w:vAlign w:val="bottom"/>
          </w:tcPr>
          <w:p>
            <w:pPr>
              <w:spacing w:after="0"/>
              <w:rPr>
                <w:sz w:val="15"/>
                <w:szCs w:val="15"/>
                <w:color w:val="auto"/>
              </w:rPr>
            </w:pPr>
          </w:p>
        </w:tc>
        <w:tc>
          <w:tcPr>
            <w:tcW w:w="8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16"/>
                <w:szCs w:val="16"/>
                <w:color w:val="auto"/>
              </w:rPr>
            </w:pPr>
          </w:p>
        </w:tc>
        <w:tc>
          <w:tcPr>
            <w:tcW w:w="8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Certification of the Chief Executive Officer pursuant to Section 302 of the Sarbanes-Oxley Act of 2002 (Rule 13a-14(a)). *</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60" w:type="dxa"/>
            <w:vAlign w:val="bottom"/>
            <w:gridSpan w:val="2"/>
          </w:tcPr>
          <w:p>
            <w:pPr>
              <w:jc w:val="center"/>
              <w:ind w:left="136"/>
              <w:spacing w:after="0"/>
              <w:rPr>
                <w:sz w:val="20"/>
                <w:szCs w:val="20"/>
                <w:color w:val="auto"/>
              </w:rPr>
            </w:pPr>
            <w:r>
              <w:rPr>
                <w:rFonts w:ascii="Times New Roman" w:cs="Times New Roman" w:eastAsia="Times New Roman" w:hAnsi="Times New Roman"/>
                <w:sz w:val="18"/>
                <w:szCs w:val="18"/>
                <w:color w:val="auto"/>
              </w:rPr>
              <w:t>31.2</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Section 302 of the Sarbanes-Oxley Act of 2002 (Rule 13a-14(a)). *</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60" w:type="dxa"/>
            <w:vAlign w:val="bottom"/>
            <w:gridSpan w:val="2"/>
          </w:tcPr>
          <w:p>
            <w:pPr>
              <w:jc w:val="center"/>
              <w:ind w:left="136"/>
              <w:spacing w:after="0"/>
              <w:rPr>
                <w:sz w:val="20"/>
                <w:szCs w:val="20"/>
                <w:color w:val="auto"/>
              </w:rPr>
            </w:pPr>
            <w:r>
              <w:rPr>
                <w:rFonts w:ascii="Times New Roman" w:cs="Times New Roman" w:eastAsia="Times New Roman" w:hAnsi="Times New Roman"/>
                <w:sz w:val="18"/>
                <w:szCs w:val="18"/>
                <w:color w:val="auto"/>
              </w:rPr>
              <w:t>32.1</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Certificate of the Chief Executive Officer Pursuant to 18 U.S.C. Section 1350, as adopted pursuant to Section 906 of the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Sarbanes-Oxley Act of 2002 (Rule 13a-14(b)). **</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60" w:type="dxa"/>
            <w:vAlign w:val="bottom"/>
            <w:gridSpan w:val="2"/>
          </w:tcPr>
          <w:p>
            <w:pPr>
              <w:jc w:val="center"/>
              <w:ind w:left="136"/>
              <w:spacing w:after="0"/>
              <w:rPr>
                <w:sz w:val="20"/>
                <w:szCs w:val="20"/>
                <w:color w:val="auto"/>
              </w:rPr>
            </w:pPr>
            <w:r>
              <w:rPr>
                <w:rFonts w:ascii="Times New Roman" w:cs="Times New Roman" w:eastAsia="Times New Roman" w:hAnsi="Times New Roman"/>
                <w:sz w:val="18"/>
                <w:szCs w:val="18"/>
                <w:color w:val="auto"/>
              </w:rPr>
              <w:t>32.2</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Certificate of the Chief Financial Officer Pursuant to 18 U.S.C. Section 1350, as adopted pursuant to Section 906 of the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Sarbanes-Oxley Act of 2002 (Rule 13a-14(b)). **</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260" w:type="dxa"/>
            <w:vAlign w:val="bottom"/>
            <w:gridSpan w:val="2"/>
          </w:tcPr>
          <w:p>
            <w:pPr>
              <w:jc w:val="center"/>
              <w:ind w:left="136"/>
              <w:spacing w:after="0"/>
              <w:rPr>
                <w:sz w:val="20"/>
                <w:szCs w:val="20"/>
                <w:color w:val="auto"/>
              </w:rPr>
            </w:pPr>
            <w:r>
              <w:rPr>
                <w:rFonts w:ascii="Times New Roman" w:cs="Times New Roman" w:eastAsia="Times New Roman" w:hAnsi="Times New Roman"/>
                <w:sz w:val="18"/>
                <w:szCs w:val="18"/>
                <w:color w:val="auto"/>
              </w:rPr>
              <w:t>101</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following materials from Northeast Bancorp’s Quarterly Report on Form 10-Q for the quarter ended September 30,</w:t>
            </w:r>
          </w:p>
        </w:tc>
        <w:tc>
          <w:tcPr>
            <w:tcW w:w="0" w:type="dxa"/>
            <w:vAlign w:val="bottom"/>
          </w:tcPr>
          <w:p>
            <w:pPr>
              <w:spacing w:after="0"/>
              <w:rPr>
                <w:sz w:val="1"/>
                <w:szCs w:val="1"/>
                <w:color w:val="auto"/>
              </w:rPr>
            </w:pPr>
          </w:p>
        </w:tc>
      </w:tr>
    </w:tbl>
    <w:p>
      <w:pPr>
        <w:sectPr>
          <w:pgSz w:w="11900" w:h="16897" w:orient="portrait"/>
          <w:cols w:equalWidth="0" w:num="1">
            <w:col w:w="11400"/>
          </w:cols>
          <w:pgMar w:left="240" w:top="121" w:right="259" w:bottom="0" w:gutter="0" w:footer="0" w:header="0"/>
        </w:sectPr>
      </w:pPr>
    </w:p>
    <w:bookmarkStart w:id="29" w:name="page30"/>
    <w:bookmarkEnd w:id="29"/>
    <w:p>
      <w:pPr>
        <w:ind w:left="2340" w:right="280"/>
        <w:spacing w:after="0" w:line="256" w:lineRule="auto"/>
        <w:rPr>
          <w:sz w:val="20"/>
          <w:szCs w:val="20"/>
          <w:color w:val="auto"/>
        </w:rPr>
      </w:pPr>
      <w:r>
        <w:rPr>
          <w:rFonts w:ascii="Times New Roman" w:cs="Times New Roman" w:eastAsia="Times New Roman" w:hAnsi="Times New Roman"/>
          <w:sz w:val="18"/>
          <w:szCs w:val="18"/>
          <w:color w:val="auto"/>
        </w:rPr>
        <w:t>2014 formatted in XBRL: (i) Consolidated Balance Sheets at September 30, 2014 and June 30, 2014; (ii) Consolidated Statements of Income for the three months ended September 30, 2014 and 2013; (iii) Consolidated Statements of Comprehensive Income for the three months ended September 30, 2014 and 2013; (iv) Consolidated Statements of Changes in Shareholders’ Equity for the three months ended September 30 2014 and 2013; (v) Consolidated Statements of Cash Flows for the three months ended September 30, 2014 and 2013; and (v)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Date: November 12, 2014</w:t>
            </w:r>
          </w:p>
        </w:tc>
        <w:tc>
          <w:tcPr>
            <w:tcW w:w="5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NORTHEAST BANCORP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 Richard Wayne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20" w:type="dxa"/>
            <w:vAlign w:val="bottom"/>
            <w:tcBorders>
              <w:top w:val="single" w:sz="8" w:color="auto"/>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rPr>
              <w:t>Richard Wayne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CEO</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 Claire S. Bean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20" w:type="dxa"/>
            <w:vAlign w:val="bottom"/>
            <w:tcBorders>
              <w:top w:val="single" w:sz="8" w:color="auto"/>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rPr>
              <w:t>Claire S. Bean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2"/>
          </w:tcPr>
          <w:p>
            <w:pPr>
              <w:ind w:left="422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4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400" w:type="dxa"/>
            <w:vAlign w:val="bottom"/>
            <w:gridSpan w:val="4"/>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00" w:type="dxa"/>
            <w:vAlign w:val="bottom"/>
            <w:gridSpan w:val="3"/>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NORTHEAST BANCORP</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gridSpan w:val="3"/>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54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ind w:right="339"/>
              <w:spacing w:after="0" w:line="191"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0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Certification of the Chief Executive Officer pursuant to Section 302 of the Sarbanes-Oxley Act of 2002 (Rule 13a-14(a)).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Section 302 of the Sarbanes-Oxley Act of 2002 (Rule 13a-14(a)).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Certificate of the Chief Executive Officer pursuant to 18 U.S.C. Section 1350, as adopted pursuant to Section 906 of the Sarbanes-Oxley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Act of 2002 (Rule 13a-14(b)). **</w:t>
            </w:r>
          </w:p>
        </w:tc>
        <w:tc>
          <w:tcPr>
            <w:tcW w:w="2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Certificate of the Chief Financial Officer pursuant to 18 U.S.C. Section 1350, as adopted pursuant to Section 906 of the Sarbanes-Oxley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Act of 2002 (Rule 13a-14(b)). **</w:t>
            </w:r>
          </w:p>
        </w:tc>
        <w:tc>
          <w:tcPr>
            <w:tcW w:w="2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-1956435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-1956435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520" w:right="80" w:hanging="1073"/>
        <w:spacing w:after="0" w:line="250" w:lineRule="auto"/>
        <w:tabs>
          <w:tab w:leader="none" w:pos="15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Northeast Bancorp’s Quarterly Report on Form 10-Q for the quarter ended September 30, 2014 formatted in XBRL: (i) Consolidated Balance Sheets at September 30, 2014 and June 30, 2014; (ii) Consolidated Statements of Income for the three months ended September 30, 2014 and 2013; (iii) Consolidated Statements of Comprehensive Income for the three months ended September 30, 2014 and 2013; (iv) Consolidated Statements of Changes in Shareholders’ Equity for the three months ended September 30 2014 and 2013; (v) Consolidated Statements of Cash Flows for the three months ended September 30, 2014 and 2013; and</w:t>
      </w:r>
    </w:p>
    <w:p>
      <w:pPr>
        <w:spacing w:after="0" w:line="2" w:lineRule="exact"/>
        <w:rPr>
          <w:rFonts w:ascii="Times New Roman" w:cs="Times New Roman" w:eastAsia="Times New Roman" w:hAnsi="Times New Roman"/>
          <w:sz w:val="18"/>
          <w:szCs w:val="18"/>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Notes to Unaudited Consolidated Financial Statements.</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0" w:name="page31"/>
    <w:bookmarkEnd w:id="3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2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Wayne,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Northeast Bancorp;</w:t>
      </w:r>
    </w:p>
    <w:p>
      <w:pPr>
        <w:spacing w:after="0" w:line="225" w:lineRule="exact"/>
        <w:rPr>
          <w:rFonts w:ascii="Times New Roman" w:cs="Times New Roman" w:eastAsia="Times New Roman" w:hAnsi="Times New Roman"/>
          <w:sz w:val="18"/>
          <w:szCs w:val="18"/>
          <w:color w:val="auto"/>
        </w:rPr>
      </w:pPr>
    </w:p>
    <w:p>
      <w:pPr>
        <w:ind w:left="340" w:right="160" w:hanging="332"/>
        <w:spacing w:after="0" w:line="313" w:lineRule="auto"/>
        <w:tabs>
          <w:tab w:leader="none" w:pos="3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62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340" w:right="80" w:hanging="8"/>
        <w:spacing w:after="0" w:line="266" w:lineRule="auto"/>
        <w:tabs>
          <w:tab w:leader="none" w:pos="66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340" w:right="60" w:hanging="8"/>
        <w:spacing w:after="0" w:line="266" w:lineRule="auto"/>
        <w:tabs>
          <w:tab w:leader="none" w:pos="67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right="100" w:hanging="8"/>
        <w:spacing w:after="0" w:line="282" w:lineRule="auto"/>
        <w:tabs>
          <w:tab w:leader="none" w:pos="67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140" w:hanging="8"/>
        <w:spacing w:after="0" w:line="266" w:lineRule="auto"/>
        <w:tabs>
          <w:tab w:leader="none" w:pos="67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5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40" w:hanging="8"/>
        <w:spacing w:after="0" w:line="282" w:lineRule="auto"/>
        <w:tabs>
          <w:tab w:leader="none" w:pos="66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80" w:hanging="8"/>
        <w:spacing w:after="0" w:line="282" w:lineRule="auto"/>
        <w:tabs>
          <w:tab w:leader="none" w:pos="67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2014</w:t>
            </w:r>
          </w:p>
        </w:tc>
        <w:tc>
          <w:tcPr>
            <w:tcW w:w="5700" w:type="dxa"/>
            <w:vAlign w:val="bottom"/>
            <w:tcBorders>
              <w:bottom w:val="single" w:sz="8" w:color="auto"/>
            </w:tcBorders>
          </w:tcPr>
          <w:p>
            <w:pPr>
              <w:jc w:val="right"/>
              <w:ind w:right="4290"/>
              <w:spacing w:after="0"/>
              <w:rPr>
                <w:sz w:val="20"/>
                <w:szCs w:val="20"/>
                <w:color w:val="auto"/>
              </w:rPr>
            </w:pPr>
            <w:r>
              <w:rPr>
                <w:rFonts w:ascii="Times New Roman" w:cs="Times New Roman" w:eastAsia="Times New Roman" w:hAnsi="Times New Roman"/>
                <w:sz w:val="18"/>
                <w:szCs w:val="18"/>
                <w:color w:val="auto"/>
                <w:w w:val="96"/>
              </w:rPr>
              <w:t>/s/ Richard Wayne</w:t>
            </w:r>
          </w:p>
        </w:tc>
        <w:tc>
          <w:tcPr>
            <w:tcW w:w="40" w:type="dxa"/>
            <w:vAlign w:val="bottom"/>
          </w:tcPr>
          <w:p>
            <w:pPr>
              <w:spacing w:after="0"/>
              <w:rPr>
                <w:sz w:val="20"/>
                <w:szCs w:val="20"/>
                <w:color w:val="auto"/>
              </w:rPr>
            </w:pPr>
          </w:p>
        </w:tc>
      </w:tr>
      <w:tr>
        <w:trPr>
          <w:trHeight w:val="191"/>
        </w:trPr>
        <w:tc>
          <w:tcPr>
            <w:tcW w:w="5720" w:type="dxa"/>
            <w:vAlign w:val="bottom"/>
          </w:tcPr>
          <w:p>
            <w:pPr>
              <w:spacing w:after="0"/>
              <w:rPr>
                <w:sz w:val="16"/>
                <w:szCs w:val="16"/>
                <w:color w:val="auto"/>
              </w:rPr>
            </w:pPr>
          </w:p>
        </w:tc>
        <w:tc>
          <w:tcPr>
            <w:tcW w:w="5700" w:type="dxa"/>
            <w:vAlign w:val="bottom"/>
          </w:tcPr>
          <w:p>
            <w:pPr>
              <w:jc w:val="right"/>
              <w:ind w:right="4270"/>
              <w:spacing w:after="0" w:line="191" w:lineRule="exact"/>
              <w:rPr>
                <w:sz w:val="20"/>
                <w:szCs w:val="20"/>
                <w:color w:val="auto"/>
              </w:rPr>
            </w:pPr>
            <w:r>
              <w:rPr>
                <w:rFonts w:ascii="Times New Roman" w:cs="Times New Roman" w:eastAsia="Times New Roman" w:hAnsi="Times New Roman"/>
                <w:sz w:val="18"/>
                <w:szCs w:val="18"/>
                <w:color w:val="auto"/>
              </w:rPr>
              <w:t>Richard Wayne</w:t>
            </w:r>
          </w:p>
        </w:tc>
        <w:tc>
          <w:tcPr>
            <w:tcW w:w="40" w:type="dxa"/>
            <w:vAlign w:val="bottom"/>
          </w:tcPr>
          <w:p>
            <w:pPr>
              <w:spacing w:after="0"/>
              <w:rPr>
                <w:sz w:val="16"/>
                <w:szCs w:val="16"/>
                <w:color w:val="auto"/>
              </w:rPr>
            </w:pPr>
          </w:p>
        </w:tc>
      </w:tr>
      <w:tr>
        <w:trPr>
          <w:trHeight w:val="234"/>
        </w:trPr>
        <w:tc>
          <w:tcPr>
            <w:tcW w:w="5720" w:type="dxa"/>
            <w:vAlign w:val="bottom"/>
          </w:tcPr>
          <w:p>
            <w:pPr>
              <w:spacing w:after="0"/>
              <w:rPr>
                <w:sz w:val="20"/>
                <w:szCs w:val="20"/>
                <w:color w:val="auto"/>
              </w:rPr>
            </w:pPr>
          </w:p>
        </w:tc>
        <w:tc>
          <w:tcPr>
            <w:tcW w:w="5700" w:type="dxa"/>
            <w:vAlign w:val="bottom"/>
          </w:tcPr>
          <w:p>
            <w:pPr>
              <w:jc w:val="right"/>
              <w:ind w:right="3670"/>
              <w:spacing w:after="0"/>
              <w:rPr>
                <w:sz w:val="20"/>
                <w:szCs w:val="20"/>
                <w:color w:val="auto"/>
              </w:rPr>
            </w:pPr>
            <w:r>
              <w:rPr>
                <w:rFonts w:ascii="Times New Roman" w:cs="Times New Roman" w:eastAsia="Times New Roman" w:hAnsi="Times New Roman"/>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31" w:name="page32"/>
    <w:bookmarkEnd w:id="31"/>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Claire Bean,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Northeast Bancorp;</w:t>
      </w:r>
    </w:p>
    <w:p>
      <w:pPr>
        <w:spacing w:after="0" w:line="225" w:lineRule="exact"/>
        <w:rPr>
          <w:rFonts w:ascii="Times New Roman" w:cs="Times New Roman" w:eastAsia="Times New Roman" w:hAnsi="Times New Roman"/>
          <w:sz w:val="18"/>
          <w:szCs w:val="18"/>
          <w:color w:val="auto"/>
        </w:rPr>
      </w:pPr>
    </w:p>
    <w:p>
      <w:pPr>
        <w:ind w:left="340" w:right="160" w:hanging="332"/>
        <w:spacing w:after="0" w:line="313" w:lineRule="auto"/>
        <w:tabs>
          <w:tab w:leader="none" w:pos="3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62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340" w:right="80" w:hanging="8"/>
        <w:spacing w:after="0" w:line="266" w:lineRule="auto"/>
        <w:tabs>
          <w:tab w:leader="none" w:pos="66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340" w:right="60" w:hanging="8"/>
        <w:spacing w:after="0" w:line="266" w:lineRule="auto"/>
        <w:tabs>
          <w:tab w:leader="none" w:pos="6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right="100" w:hanging="8"/>
        <w:spacing w:after="0" w:line="282" w:lineRule="auto"/>
        <w:tabs>
          <w:tab w:leader="none" w:pos="67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140" w:hanging="8"/>
        <w:spacing w:after="0" w:line="266" w:lineRule="auto"/>
        <w:tabs>
          <w:tab w:leader="none" w:pos="6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5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40" w:hanging="8"/>
        <w:spacing w:after="0" w:line="282" w:lineRule="auto"/>
        <w:tabs>
          <w:tab w:leader="none" w:pos="66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80" w:hanging="8"/>
        <w:spacing w:after="0" w:line="282" w:lineRule="auto"/>
        <w:tabs>
          <w:tab w:leader="none" w:pos="6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2014</w:t>
            </w:r>
          </w:p>
        </w:tc>
        <w:tc>
          <w:tcPr>
            <w:tcW w:w="5700" w:type="dxa"/>
            <w:vAlign w:val="bottom"/>
            <w:tcBorders>
              <w:bottom w:val="single" w:sz="8" w:color="auto"/>
            </w:tcBorders>
          </w:tcPr>
          <w:p>
            <w:pPr>
              <w:jc w:val="right"/>
              <w:ind w:right="4350"/>
              <w:spacing w:after="0"/>
              <w:rPr>
                <w:sz w:val="20"/>
                <w:szCs w:val="20"/>
                <w:color w:val="auto"/>
              </w:rPr>
            </w:pPr>
            <w:r>
              <w:rPr>
                <w:rFonts w:ascii="Times New Roman" w:cs="Times New Roman" w:eastAsia="Times New Roman" w:hAnsi="Times New Roman"/>
                <w:sz w:val="18"/>
                <w:szCs w:val="18"/>
                <w:color w:val="auto"/>
                <w:w w:val="98"/>
              </w:rPr>
              <w:t>/s/ Claire S. Bean</w:t>
            </w:r>
          </w:p>
        </w:tc>
        <w:tc>
          <w:tcPr>
            <w:tcW w:w="40" w:type="dxa"/>
            <w:vAlign w:val="bottom"/>
          </w:tcPr>
          <w:p>
            <w:pPr>
              <w:spacing w:after="0"/>
              <w:rPr>
                <w:sz w:val="20"/>
                <w:szCs w:val="20"/>
                <w:color w:val="auto"/>
              </w:rPr>
            </w:pPr>
          </w:p>
        </w:tc>
      </w:tr>
      <w:tr>
        <w:trPr>
          <w:trHeight w:val="191"/>
        </w:trPr>
        <w:tc>
          <w:tcPr>
            <w:tcW w:w="5720" w:type="dxa"/>
            <w:vAlign w:val="bottom"/>
          </w:tcPr>
          <w:p>
            <w:pPr>
              <w:spacing w:after="0"/>
              <w:rPr>
                <w:sz w:val="16"/>
                <w:szCs w:val="16"/>
                <w:color w:val="auto"/>
              </w:rPr>
            </w:pPr>
          </w:p>
        </w:tc>
        <w:tc>
          <w:tcPr>
            <w:tcW w:w="5700" w:type="dxa"/>
            <w:vAlign w:val="bottom"/>
          </w:tcPr>
          <w:p>
            <w:pPr>
              <w:jc w:val="right"/>
              <w:ind w:right="4350"/>
              <w:spacing w:after="0" w:line="191" w:lineRule="exact"/>
              <w:rPr>
                <w:sz w:val="20"/>
                <w:szCs w:val="20"/>
                <w:color w:val="auto"/>
              </w:rPr>
            </w:pPr>
            <w:r>
              <w:rPr>
                <w:rFonts w:ascii="Times New Roman" w:cs="Times New Roman" w:eastAsia="Times New Roman" w:hAnsi="Times New Roman"/>
                <w:sz w:val="18"/>
                <w:szCs w:val="18"/>
                <w:color w:val="auto"/>
              </w:rPr>
              <w:t>Claire S. Bean</w:t>
            </w:r>
          </w:p>
        </w:tc>
        <w:tc>
          <w:tcPr>
            <w:tcW w:w="40" w:type="dxa"/>
            <w:vAlign w:val="bottom"/>
          </w:tcPr>
          <w:p>
            <w:pPr>
              <w:spacing w:after="0"/>
              <w:rPr>
                <w:sz w:val="16"/>
                <w:szCs w:val="16"/>
                <w:color w:val="auto"/>
              </w:rPr>
            </w:pPr>
          </w:p>
        </w:tc>
      </w:tr>
      <w:tr>
        <w:trPr>
          <w:trHeight w:val="234"/>
        </w:trPr>
        <w:tc>
          <w:tcPr>
            <w:tcW w:w="5720" w:type="dxa"/>
            <w:vAlign w:val="bottom"/>
          </w:tcPr>
          <w:p>
            <w:pPr>
              <w:spacing w:after="0"/>
              <w:rPr>
                <w:sz w:val="20"/>
                <w:szCs w:val="20"/>
                <w:color w:val="auto"/>
              </w:rPr>
            </w:pPr>
          </w:p>
        </w:tc>
        <w:tc>
          <w:tcPr>
            <w:tcW w:w="5700" w:type="dxa"/>
            <w:vAlign w:val="bottom"/>
          </w:tcPr>
          <w:p>
            <w:pPr>
              <w:jc w:val="right"/>
              <w:ind w:right="371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32" w:name="page33"/>
    <w:bookmarkEnd w:id="32"/>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the Chief Executive Officer</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Northeast Bancorp. (the “Company”) on Form 10-Q for the quarterly period ended September 30, 2014 as filed with the Securities and Exchange Commission on the date hereof (the “Report”), I, Richard Wayne, as Chief Executive Officer of the Company, hereby certify pursuant to 18 U.S.C. 1350, as adopted pursuant to 906 of the Sarbanes-Oxley Act of 2002, that:</w:t>
      </w:r>
    </w:p>
    <w:p>
      <w:pPr>
        <w:spacing w:after="0" w:line="176" w:lineRule="exact"/>
        <w:rPr>
          <w:sz w:val="20"/>
          <w:szCs w:val="20"/>
          <w:color w:val="auto"/>
        </w:rPr>
      </w:pPr>
    </w:p>
    <w:p>
      <w:pPr>
        <w:ind w:left="620" w:hanging="288"/>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right="160" w:hanging="8"/>
        <w:spacing w:after="0" w:line="282" w:lineRule="auto"/>
        <w:tabs>
          <w:tab w:leader="none" w:pos="63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2014</w:t>
            </w:r>
          </w:p>
        </w:tc>
        <w:tc>
          <w:tcPr>
            <w:tcW w:w="5700" w:type="dxa"/>
            <w:vAlign w:val="bottom"/>
            <w:tcBorders>
              <w:bottom w:val="single" w:sz="8" w:color="auto"/>
            </w:tcBorders>
          </w:tcPr>
          <w:p>
            <w:pPr>
              <w:jc w:val="right"/>
              <w:ind w:right="4290"/>
              <w:spacing w:after="0"/>
              <w:rPr>
                <w:sz w:val="20"/>
                <w:szCs w:val="20"/>
                <w:color w:val="auto"/>
              </w:rPr>
            </w:pPr>
            <w:r>
              <w:rPr>
                <w:rFonts w:ascii="Times New Roman" w:cs="Times New Roman" w:eastAsia="Times New Roman" w:hAnsi="Times New Roman"/>
                <w:sz w:val="18"/>
                <w:szCs w:val="18"/>
                <w:color w:val="auto"/>
                <w:w w:val="96"/>
              </w:rPr>
              <w:t>/s/ Richard Wayne</w:t>
            </w:r>
          </w:p>
        </w:tc>
        <w:tc>
          <w:tcPr>
            <w:tcW w:w="40" w:type="dxa"/>
            <w:vAlign w:val="bottom"/>
          </w:tcPr>
          <w:p>
            <w:pPr>
              <w:spacing w:after="0"/>
              <w:rPr>
                <w:sz w:val="20"/>
                <w:szCs w:val="20"/>
                <w:color w:val="auto"/>
              </w:rPr>
            </w:pPr>
          </w:p>
        </w:tc>
      </w:tr>
      <w:tr>
        <w:trPr>
          <w:trHeight w:val="191"/>
        </w:trPr>
        <w:tc>
          <w:tcPr>
            <w:tcW w:w="5720" w:type="dxa"/>
            <w:vAlign w:val="bottom"/>
          </w:tcPr>
          <w:p>
            <w:pPr>
              <w:spacing w:after="0"/>
              <w:rPr>
                <w:sz w:val="16"/>
                <w:szCs w:val="16"/>
                <w:color w:val="auto"/>
              </w:rPr>
            </w:pPr>
          </w:p>
        </w:tc>
        <w:tc>
          <w:tcPr>
            <w:tcW w:w="5700" w:type="dxa"/>
            <w:vAlign w:val="bottom"/>
          </w:tcPr>
          <w:p>
            <w:pPr>
              <w:jc w:val="right"/>
              <w:ind w:right="4270"/>
              <w:spacing w:after="0" w:line="191" w:lineRule="exact"/>
              <w:rPr>
                <w:sz w:val="20"/>
                <w:szCs w:val="20"/>
                <w:color w:val="auto"/>
              </w:rPr>
            </w:pPr>
            <w:r>
              <w:rPr>
                <w:rFonts w:ascii="Times New Roman" w:cs="Times New Roman" w:eastAsia="Times New Roman" w:hAnsi="Times New Roman"/>
                <w:sz w:val="18"/>
                <w:szCs w:val="18"/>
                <w:color w:val="auto"/>
              </w:rPr>
              <w:t>Richard Wayne</w:t>
            </w:r>
          </w:p>
        </w:tc>
        <w:tc>
          <w:tcPr>
            <w:tcW w:w="40" w:type="dxa"/>
            <w:vAlign w:val="bottom"/>
          </w:tcPr>
          <w:p>
            <w:pPr>
              <w:spacing w:after="0"/>
              <w:rPr>
                <w:sz w:val="16"/>
                <w:szCs w:val="16"/>
                <w:color w:val="auto"/>
              </w:rPr>
            </w:pPr>
          </w:p>
        </w:tc>
      </w:tr>
      <w:tr>
        <w:trPr>
          <w:trHeight w:val="234"/>
        </w:trPr>
        <w:tc>
          <w:tcPr>
            <w:tcW w:w="5720" w:type="dxa"/>
            <w:vAlign w:val="bottom"/>
          </w:tcPr>
          <w:p>
            <w:pPr>
              <w:spacing w:after="0"/>
              <w:rPr>
                <w:sz w:val="20"/>
                <w:szCs w:val="20"/>
                <w:color w:val="auto"/>
              </w:rPr>
            </w:pPr>
          </w:p>
        </w:tc>
        <w:tc>
          <w:tcPr>
            <w:tcW w:w="5700" w:type="dxa"/>
            <w:vAlign w:val="bottom"/>
          </w:tcPr>
          <w:p>
            <w:pPr>
              <w:jc w:val="right"/>
              <w:ind w:right="3670"/>
              <w:spacing w:after="0"/>
              <w:rPr>
                <w:sz w:val="20"/>
                <w:szCs w:val="20"/>
                <w:color w:val="auto"/>
              </w:rPr>
            </w:pPr>
            <w:r>
              <w:rPr>
                <w:rFonts w:ascii="Times New Roman" w:cs="Times New Roman" w:eastAsia="Times New Roman" w:hAnsi="Times New Roman"/>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33" w:name="page34"/>
    <w:bookmarkEnd w:id="33"/>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the Chief Financial Officer</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Northeast Bancorp. (the “Company”) on Form 10-Q for the quarterly period ended September 30, 2014 as filed with the Securities and Exchange Commission on the date hereof (the “Report”), I, Claire Bean, as Chief Financial Officer of the Company, hereby certify pursuant to 18 U.S.C. 1350, as adopted pursuant to 906 of the Sarbanes-Oxley Act of 2002, that:</w:t>
      </w:r>
    </w:p>
    <w:p>
      <w:pPr>
        <w:spacing w:after="0" w:line="176" w:lineRule="exact"/>
        <w:rPr>
          <w:sz w:val="20"/>
          <w:szCs w:val="20"/>
          <w:color w:val="auto"/>
        </w:rPr>
      </w:pPr>
    </w:p>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right="160" w:hanging="8"/>
        <w:spacing w:after="0" w:line="282" w:lineRule="auto"/>
        <w:tabs>
          <w:tab w:leader="none" w:pos="63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2014</w:t>
            </w:r>
          </w:p>
        </w:tc>
        <w:tc>
          <w:tcPr>
            <w:tcW w:w="5700" w:type="dxa"/>
            <w:vAlign w:val="bottom"/>
            <w:tcBorders>
              <w:bottom w:val="single" w:sz="8" w:color="auto"/>
            </w:tcBorders>
          </w:tcPr>
          <w:p>
            <w:pPr>
              <w:jc w:val="right"/>
              <w:ind w:right="4350"/>
              <w:spacing w:after="0"/>
              <w:rPr>
                <w:sz w:val="20"/>
                <w:szCs w:val="20"/>
                <w:color w:val="auto"/>
              </w:rPr>
            </w:pPr>
            <w:r>
              <w:rPr>
                <w:rFonts w:ascii="Times New Roman" w:cs="Times New Roman" w:eastAsia="Times New Roman" w:hAnsi="Times New Roman"/>
                <w:sz w:val="18"/>
                <w:szCs w:val="18"/>
                <w:color w:val="auto"/>
                <w:w w:val="98"/>
              </w:rPr>
              <w:t>/s/ Claire S. Bean</w:t>
            </w:r>
          </w:p>
        </w:tc>
        <w:tc>
          <w:tcPr>
            <w:tcW w:w="40" w:type="dxa"/>
            <w:vAlign w:val="bottom"/>
          </w:tcPr>
          <w:p>
            <w:pPr>
              <w:spacing w:after="0"/>
              <w:rPr>
                <w:sz w:val="20"/>
                <w:szCs w:val="20"/>
                <w:color w:val="auto"/>
              </w:rPr>
            </w:pPr>
          </w:p>
        </w:tc>
      </w:tr>
      <w:tr>
        <w:trPr>
          <w:trHeight w:val="191"/>
        </w:trPr>
        <w:tc>
          <w:tcPr>
            <w:tcW w:w="5720" w:type="dxa"/>
            <w:vAlign w:val="bottom"/>
          </w:tcPr>
          <w:p>
            <w:pPr>
              <w:spacing w:after="0"/>
              <w:rPr>
                <w:sz w:val="16"/>
                <w:szCs w:val="16"/>
                <w:color w:val="auto"/>
              </w:rPr>
            </w:pPr>
          </w:p>
        </w:tc>
        <w:tc>
          <w:tcPr>
            <w:tcW w:w="5700" w:type="dxa"/>
            <w:vAlign w:val="bottom"/>
          </w:tcPr>
          <w:p>
            <w:pPr>
              <w:jc w:val="right"/>
              <w:ind w:right="4350"/>
              <w:spacing w:after="0" w:line="191" w:lineRule="exact"/>
              <w:rPr>
                <w:sz w:val="20"/>
                <w:szCs w:val="20"/>
                <w:color w:val="auto"/>
              </w:rPr>
            </w:pPr>
            <w:r>
              <w:rPr>
                <w:rFonts w:ascii="Times New Roman" w:cs="Times New Roman" w:eastAsia="Times New Roman" w:hAnsi="Times New Roman"/>
                <w:sz w:val="18"/>
                <w:szCs w:val="18"/>
                <w:color w:val="auto"/>
              </w:rPr>
              <w:t>Claire S. Bean</w:t>
            </w:r>
          </w:p>
        </w:tc>
        <w:tc>
          <w:tcPr>
            <w:tcW w:w="40" w:type="dxa"/>
            <w:vAlign w:val="bottom"/>
          </w:tcPr>
          <w:p>
            <w:pPr>
              <w:spacing w:after="0"/>
              <w:rPr>
                <w:sz w:val="16"/>
                <w:szCs w:val="16"/>
                <w:color w:val="auto"/>
              </w:rPr>
            </w:pPr>
          </w:p>
        </w:tc>
      </w:tr>
      <w:tr>
        <w:trPr>
          <w:trHeight w:val="234"/>
        </w:trPr>
        <w:tc>
          <w:tcPr>
            <w:tcW w:w="5720" w:type="dxa"/>
            <w:vAlign w:val="bottom"/>
          </w:tcPr>
          <w:p>
            <w:pPr>
              <w:spacing w:after="0"/>
              <w:rPr>
                <w:sz w:val="20"/>
                <w:szCs w:val="20"/>
                <w:color w:val="auto"/>
              </w:rPr>
            </w:pPr>
          </w:p>
        </w:tc>
        <w:tc>
          <w:tcPr>
            <w:tcW w:w="5700" w:type="dxa"/>
            <w:vAlign w:val="bottom"/>
          </w:tcPr>
          <w:p>
            <w:pPr>
              <w:jc w:val="right"/>
              <w:ind w:right="371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2"/>
    </w:lvl>
  </w:abstractNum>
  <w:abstractNum w:abstractNumId="2">
    <w:nsid w:val="7FDCC233"/>
    <w:multiLevelType w:val="hybridMultilevel"/>
    <w:lvl w:ilvl="0">
      <w:lvlJc w:val="left"/>
      <w:lvlText w:val="%1."/>
      <w:numFmt w:val="decimal"/>
      <w:start w:val="3"/>
    </w:lvl>
  </w:abstractNum>
  <w:abstractNum w:abstractNumId="3">
    <w:nsid w:val="1BEFD79F"/>
    <w:multiLevelType w:val="hybridMultilevel"/>
    <w:lvl w:ilvl="0">
      <w:lvlJc w:val="left"/>
      <w:lvlText w:val="%1."/>
      <w:numFmt w:val="decimal"/>
      <w:start w:val="4"/>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5"/>
    </w:lvl>
  </w:abstractNum>
  <w:abstractNum w:abstractNumId="7">
    <w:nsid w:val="25E45D32"/>
    <w:multiLevelType w:val="hybridMultilevel"/>
    <w:lvl w:ilvl="0">
      <w:lvlJc w:val="left"/>
      <w:lvlText w:val="%1."/>
      <w:numFmt w:val="decimal"/>
      <w:start w:val="6"/>
    </w:lvl>
  </w:abstractNum>
  <w:abstractNum w:abstractNumId="8">
    <w:nsid w:val="519B500D"/>
    <w:multiLevelType w:val="hybridMultilevel"/>
    <w:lvl w:ilvl="0">
      <w:lvlJc w:val="left"/>
      <w:lvlText w:val="%1."/>
      <w:numFmt w:val="decimal"/>
      <w:start w:val="7"/>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decimal"/>
      <w:start w:val="9"/>
    </w:lvl>
  </w:abstractNum>
  <w:abstractNum w:abstractNumId="11">
    <w:nsid w:val="7C83E458"/>
    <w:multiLevelType w:val="hybridMultilevel"/>
    <w:lvl w:ilvl="0">
      <w:lvlJc w:val="left"/>
      <w:lvlText w:val="%1."/>
      <w:numFmt w:val="decimal"/>
      <w:start w:val="10"/>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3"/>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lvl w:ilvl="1">
      <w:lvlJc w:val="left"/>
      <w:lvlText w:val="%2"/>
      <w:numFmt w:val="decimal"/>
      <w:start w:val="101"/>
    </w:lvl>
  </w:abstractNum>
  <w:abstractNum w:abstractNumId="21">
    <w:nsid w:val="75A2A8D4"/>
    <w:multiLevelType w:val="hybridMultilevel"/>
    <w:lvl w:ilvl="0">
      <w:lvlJc w:val="left"/>
      <w:lvlText w:val="**"/>
      <w:numFmt w:val="bullet"/>
      <w:start w:val="1"/>
    </w:lvl>
    <w:lvl w:ilvl="1">
      <w:lvlJc w:val="left"/>
      <w:lvlText w:val="%2"/>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2019-12-05T23:55:47Z</dcterms:created>
  <dcterms:modified xsi:type="dcterms:W3CDTF">2019-12-05T23:55:47Z</dcterms:modified>
</cp:coreProperties>
</file>