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2180" w:hanging="432"/>
        <w:spacing w:after="0" w:line="253"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440"/>
        <w:spacing w:after="0"/>
        <w:tabs>
          <w:tab w:leader="none" w:pos="3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83185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NORTHEAST BANCORP</w:t>
      </w:r>
    </w:p>
    <w:p>
      <w:pPr>
        <w:spacing w:after="0" w:line="50"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6420" w:type="dxa"/>
            <w:vAlign w:val="bottom"/>
          </w:tcPr>
          <w:p>
            <w:pPr>
              <w:ind w:left="234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480" w:type="dxa"/>
            <w:vAlign w:val="bottom"/>
          </w:tcPr>
          <w:p>
            <w:pPr>
              <w:spacing w:after="0"/>
              <w:rPr>
                <w:sz w:val="20"/>
                <w:szCs w:val="20"/>
                <w:color w:val="auto"/>
              </w:rPr>
            </w:pPr>
          </w:p>
        </w:tc>
      </w:tr>
      <w:tr>
        <w:trPr>
          <w:trHeight w:val="232"/>
        </w:trPr>
        <w:tc>
          <w:tcPr>
            <w:tcW w:w="64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3"/>
              </w:rPr>
              <w:t>Maine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01-0425066</w:t>
            </w:r>
          </w:p>
        </w:tc>
      </w:tr>
      <w:tr>
        <w:trPr>
          <w:trHeight w:val="216"/>
        </w:trPr>
        <w:tc>
          <w:tcPr>
            <w:tcW w:w="64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4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incorporation or organization)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4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500 Canal Street, Lewiston, Maine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04240</w:t>
            </w:r>
          </w:p>
        </w:tc>
      </w:tr>
      <w:tr>
        <w:trPr>
          <w:trHeight w:val="216"/>
        </w:trPr>
        <w:tc>
          <w:tcPr>
            <w:tcW w:w="6420" w:type="dxa"/>
            <w:vAlign w:val="bottom"/>
          </w:tcPr>
          <w:p>
            <w:pPr>
              <w:jc w:val="center"/>
              <w:ind w:right="33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234"/>
        </w:trPr>
        <w:tc>
          <w:tcPr>
            <w:tcW w:w="6420" w:type="dxa"/>
            <w:vAlign w:val="bottom"/>
          </w:tcPr>
          <w:p>
            <w:pPr>
              <w:ind w:left="234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(207) 786-3245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2" w:lineRule="exact"/>
        <w:rPr>
          <w:sz w:val="24"/>
          <w:szCs w:val="24"/>
          <w:color w:val="auto"/>
        </w:rPr>
      </w:pPr>
    </w:p>
    <w:tbl>
      <w:tblPr>
        <w:tblLayout w:type="fixed"/>
        <w:tblInd w:w="144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3280" w:type="dxa"/>
            <w:vAlign w:val="bottom"/>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7"/>
        </w:trPr>
        <w:tc>
          <w:tcPr>
            <w:tcW w:w="5420" w:type="dxa"/>
            <w:vAlign w:val="bottom"/>
            <w:gridSpan w:val="3"/>
          </w:tcPr>
          <w:p>
            <w:pPr>
              <w:jc w:val="center"/>
              <w:ind w:right="2560"/>
              <w:spacing w:after="0"/>
              <w:rPr>
                <w:sz w:val="20"/>
                <w:szCs w:val="20"/>
                <w:color w:val="auto"/>
              </w:rPr>
            </w:pPr>
            <w:r>
              <w:rPr>
                <w:rFonts w:ascii="Arial" w:cs="Arial" w:eastAsia="Arial" w:hAnsi="Arial"/>
                <w:sz w:val="18"/>
                <w:szCs w:val="18"/>
                <w:color w:val="auto"/>
                <w:w w:val="91"/>
              </w:rPr>
              <w:t>Voting Common Stock, $1.00 par value</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-109220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92" w:right="239" w:bottom="0" w:gutter="0" w:footer="0" w:header="0"/>
        </w:sectPr>
      </w:pPr>
    </w:p>
    <w:p>
      <w:pPr>
        <w:spacing w:after="0" w:line="8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700" w:space="160"/>
            <w:col w:w="6240" w:space="720"/>
            <w:col w:w="1720" w:space="720"/>
            <w:col w:w="160"/>
          </w:cols>
          <w:pgMar w:left="240" w:top="692" w:right="23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320"/>
            <w:col w:w="6240" w:space="720"/>
            <w:col w:w="2080" w:space="360"/>
            <w:col w:w="160"/>
          </w:cols>
          <w:pgMar w:left="240" w:top="692"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w:t>
      </w:r>
    </w:p>
    <w:p>
      <w:pPr>
        <w:spacing w:after="0" w:line="18" w:lineRule="exact"/>
        <w:rPr>
          <w:sz w:val="24"/>
          <w:szCs w:val="24"/>
          <w:color w:val="auto"/>
        </w:rPr>
      </w:pPr>
    </w:p>
    <w:p>
      <w:pPr>
        <w:spacing w:after="0" w:line="207" w:lineRule="exact"/>
        <w:tabs>
          <w:tab w:leader="none" w:pos="18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MS PGothic" w:cs="MS PGothic" w:eastAsia="MS PGothic" w:hAnsi="MS PGothic"/>
          <w:sz w:val="18"/>
          <w:szCs w:val="18"/>
          <w:color w:val="auto"/>
        </w:rPr>
        <w:t>☐</w:t>
      </w:r>
    </w:p>
    <w:p>
      <w:pPr>
        <w:spacing w:after="0" w:line="12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The aggregate market value of the registrant’s voting and non-voting common stock held by non-affiliates, computed by reference to the last reported sales price of the registrant’s voting common stock on the NASDAQ Global Market on December 31, 2017 was approximately $190,494,104.</w:t>
      </w:r>
    </w:p>
    <w:p>
      <w:pPr>
        <w:spacing w:after="0" w:line="2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As of September 7, 2018, the registrant had outstanding 8,230,417 shares of voting common stock, $1.00 par value per share, and 820,742 shares of non-voting common stock, $1.00 par value per share.</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Portions of the registrant’s proxy statement for the 2018 Annual Meeting of Shareholders to be held on November 16, 2018 are incorporated by reference in Items 10, 11, 12, 13 and 14 of Part III of this Annual Report on Form 10-K. The registrant intends to file such proxy statement with the Securities and Exchange Commission no later than 120 days after the end of its fiscal year ended June 30, 2018.</w:t>
      </w:r>
    </w:p>
    <w:p>
      <w:pPr>
        <w:sectPr>
          <w:pgSz w:w="11900" w:h="16838" w:orient="portrait"/>
          <w:cols w:equalWidth="0" w:num="1">
            <w:col w:w="11420"/>
          </w:cols>
          <w:pgMar w:left="240" w:top="692"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520" w:type="dxa"/>
            <w:vAlign w:val="bottom"/>
            <w:gridSpan w:val="8"/>
          </w:tcPr>
          <w:p>
            <w:pPr>
              <w:jc w:val="center"/>
              <w:ind w:right="4520"/>
              <w:spacing w:after="0"/>
              <w:rPr>
                <w:sz w:val="20"/>
                <w:szCs w:val="20"/>
                <w:color w:val="auto"/>
              </w:rPr>
            </w:pPr>
            <w:r>
              <w:rPr>
                <w:rFonts w:ascii="Arial" w:cs="Arial" w:eastAsia="Arial" w:hAnsi="Arial"/>
                <w:sz w:val="18"/>
                <w:szCs w:val="18"/>
                <w:color w:val="auto"/>
                <w:w w:val="90"/>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824"/>
        </w:trPr>
        <w:tc>
          <w:tcPr>
            <w:tcW w:w="138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260" w:type="dxa"/>
            <w:vAlign w:val="bottom"/>
            <w:gridSpan w:val="5"/>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1A.</w:t>
              </w:r>
            </w:hyperlink>
          </w:p>
        </w:tc>
        <w:tc>
          <w:tcPr>
            <w:tcW w:w="1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8940" w:type="dxa"/>
            <w:vAlign w:val="bottom"/>
            <w:gridSpan w:val="1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17</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1B.</w:t>
              </w:r>
            </w:hyperlink>
          </w:p>
        </w:tc>
        <w:tc>
          <w:tcPr>
            <w:tcW w:w="160" w:type="dxa"/>
            <w:vAlign w:val="bottom"/>
            <w:gridSpan w:val="2"/>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Unresolved Staff Comments</w:t>
              </w:r>
            </w:hyperlink>
          </w:p>
        </w:tc>
        <w:tc>
          <w:tcPr>
            <w:tcW w:w="780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260" w:type="dxa"/>
            <w:vAlign w:val="bottom"/>
            <w:gridSpan w:val="5"/>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912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260" w:type="dxa"/>
            <w:vAlign w:val="bottom"/>
            <w:gridSpan w:val="5"/>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52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260" w:type="dxa"/>
            <w:vAlign w:val="bottom"/>
            <w:gridSpan w:val="5"/>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808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412"/>
        </w:trPr>
        <w:tc>
          <w:tcPr>
            <w:tcW w:w="138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260" w:type="dxa"/>
            <w:vAlign w:val="bottom"/>
            <w:gridSpan w:val="5"/>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Shareholder Matters and Issuer Purchases of Equity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260" w:type="dxa"/>
            <w:vAlign w:val="bottom"/>
            <w:gridSpan w:val="5"/>
          </w:tcPr>
          <w:p>
            <w:pPr>
              <w:spacing w:after="0"/>
              <w:rPr>
                <w:sz w:val="24"/>
                <w:szCs w:val="24"/>
                <w:color w:val="auto"/>
              </w:rPr>
            </w:pP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7.</w:t>
              </w:r>
            </w:hyperlink>
          </w:p>
        </w:tc>
        <w:tc>
          <w:tcPr>
            <w:tcW w:w="260" w:type="dxa"/>
            <w:vAlign w:val="bottom"/>
            <w:gridSpan w:val="5"/>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5"/>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Item 7A.</w:t>
              </w:r>
            </w:hyperlink>
          </w:p>
        </w:tc>
        <w:tc>
          <w:tcPr>
            <w:tcW w:w="14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8.</w:t>
              </w:r>
            </w:hyperlink>
          </w:p>
        </w:tc>
        <w:tc>
          <w:tcPr>
            <w:tcW w:w="120" w:type="dxa"/>
            <w:vAlign w:val="bottom"/>
            <w:tcBorders>
              <w:top w:val="single" w:sz="8" w:color="0000EE"/>
            </w:tcBorders>
            <w:gridSpan w:val="4"/>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50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Item 9.</w:t>
              </w:r>
            </w:hyperlink>
          </w:p>
        </w:tc>
        <w:tc>
          <w:tcPr>
            <w:tcW w:w="260" w:type="dxa"/>
            <w:vAlign w:val="bottom"/>
            <w:gridSpan w:val="5"/>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95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98">
              <w:r>
                <w:rPr>
                  <w:rFonts w:ascii="Arial" w:cs="Arial" w:eastAsia="Arial" w:hAnsi="Arial"/>
                  <w:sz w:val="18"/>
                  <w:szCs w:val="18"/>
                  <w:color w:val="0000EE"/>
                  <w:w w:val="95"/>
                </w:rPr>
                <w:t>Item 9A.</w:t>
              </w:r>
            </w:hyperlink>
          </w:p>
        </w:tc>
        <w:tc>
          <w:tcPr>
            <w:tcW w:w="1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8">
              <w:r>
                <w:rPr>
                  <w:rFonts w:ascii="Arial" w:cs="Arial" w:eastAsia="Arial" w:hAnsi="Arial"/>
                  <w:sz w:val="18"/>
                  <w:szCs w:val="18"/>
                  <w:color w:val="0000EE"/>
                  <w:w w:val="88"/>
                </w:rPr>
                <w:t>Controls and Procedures</w:t>
              </w:r>
            </w:hyperlink>
          </w:p>
        </w:tc>
        <w:tc>
          <w:tcPr>
            <w:tcW w:w="808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95</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Item 9B.</w:t>
              </w:r>
            </w:hyperlink>
          </w:p>
        </w:tc>
        <w:tc>
          <w:tcPr>
            <w:tcW w:w="160" w:type="dxa"/>
            <w:vAlign w:val="bottom"/>
            <w:gridSpan w:val="2"/>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412"/>
        </w:trPr>
        <w:tc>
          <w:tcPr>
            <w:tcW w:w="580" w:type="dxa"/>
            <w:vAlign w:val="bottom"/>
            <w:gridSpan w:val="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Part III</w:t>
              </w:r>
            </w:hyperlink>
          </w:p>
        </w:tc>
        <w:tc>
          <w:tcPr>
            <w:tcW w:w="640" w:type="dxa"/>
            <w:vAlign w:val="bottom"/>
            <w:tcBorders>
              <w:top w:val="single" w:sz="8" w:color="0000EE"/>
            </w:tcBorders>
            <w:gridSpan w:val="4"/>
          </w:tcPr>
          <w:p>
            <w:pPr>
              <w:spacing w:after="0"/>
              <w:rPr>
                <w:sz w:val="24"/>
                <w:szCs w:val="24"/>
                <w:color w:val="auto"/>
              </w:rPr>
            </w:pPr>
          </w:p>
        </w:tc>
        <w:tc>
          <w:tcPr>
            <w:tcW w:w="1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10.</w:t>
              </w:r>
            </w:hyperlink>
          </w:p>
        </w:tc>
        <w:tc>
          <w:tcPr>
            <w:tcW w:w="986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11.</w:t>
              </w:r>
            </w:hyperlink>
          </w:p>
        </w:tc>
        <w:tc>
          <w:tcPr>
            <w:tcW w:w="986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Item 12.</w:t>
              </w:r>
            </w:hyperlink>
          </w:p>
        </w:tc>
        <w:tc>
          <w:tcPr>
            <w:tcW w:w="180" w:type="dxa"/>
            <w:vAlign w:val="bottom"/>
            <w:gridSpan w:val="3"/>
          </w:tcPr>
          <w:p>
            <w:pPr>
              <w:spacing w:after="0"/>
              <w:rPr>
                <w:sz w:val="24"/>
                <w:szCs w:val="24"/>
                <w:color w:val="auto"/>
              </w:rPr>
            </w:pP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Security Ownership of Certain Beneficial Owners and Management and Related Shareholder Matters</w:t>
              </w:r>
            </w:hyperlink>
          </w:p>
        </w:tc>
        <w:tc>
          <w:tcPr>
            <w:tcW w:w="25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Item 13.</w:t>
              </w:r>
            </w:hyperlink>
          </w:p>
        </w:tc>
        <w:tc>
          <w:tcPr>
            <w:tcW w:w="180" w:type="dxa"/>
            <w:vAlign w:val="bottom"/>
            <w:gridSpan w:val="3"/>
          </w:tcPr>
          <w:p>
            <w:pPr>
              <w:spacing w:after="0"/>
              <w:rPr>
                <w:sz w:val="24"/>
                <w:szCs w:val="24"/>
                <w:color w:val="auto"/>
              </w:rPr>
            </w:pP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Certain Relationships and Related Transactions, and Director Independence</w:t>
              </w:r>
            </w:hyperlink>
          </w:p>
        </w:tc>
        <w:tc>
          <w:tcPr>
            <w:tcW w:w="44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41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14.</w:t>
              </w:r>
            </w:hyperlink>
          </w:p>
        </w:tc>
        <w:tc>
          <w:tcPr>
            <w:tcW w:w="986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97</w:t>
              </w:r>
            </w:hyperlink>
          </w:p>
        </w:tc>
      </w:tr>
      <w:tr>
        <w:trPr>
          <w:trHeight w:val="412"/>
        </w:trPr>
        <w:tc>
          <w:tcPr>
            <w:tcW w:w="58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Part IV</w:t>
              </w:r>
            </w:hyperlink>
          </w:p>
        </w:tc>
        <w:tc>
          <w:tcPr>
            <w:tcW w:w="600" w:type="dxa"/>
            <w:vAlign w:val="bottom"/>
            <w:tcBorders>
              <w:top w:val="single" w:sz="8" w:color="0000EE"/>
            </w:tcBorders>
            <w:gridSpan w:val="2"/>
          </w:tcPr>
          <w:p>
            <w:pPr>
              <w:spacing w:after="0"/>
              <w:rPr>
                <w:sz w:val="24"/>
                <w:szCs w:val="24"/>
                <w:color w:val="auto"/>
              </w:rPr>
            </w:pPr>
          </w:p>
        </w:tc>
        <w:tc>
          <w:tcPr>
            <w:tcW w:w="20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986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98</w:t>
              </w:r>
            </w:hyperlink>
          </w:p>
        </w:tc>
      </w:tr>
      <w:tr>
        <w:trPr>
          <w:trHeight w:val="45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4"/>
                <w:szCs w:val="24"/>
                <w:color w:val="auto"/>
              </w:rPr>
            </w:pPr>
          </w:p>
        </w:tc>
        <w:tc>
          <w:tcPr>
            <w:tcW w:w="2560" w:type="dxa"/>
            <w:vAlign w:val="bottom"/>
            <w:gridSpan w:val="4"/>
          </w:tcPr>
          <w:p>
            <w:pPr>
              <w:jc w:val="right"/>
              <w:ind w:right="108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report contains certain "forward-looking statements" within the meaning of Section 27A of the Securities Act of 1933, as amended and Section 21E of the Securities Exchange Act of 1934, as amended, such as statements relating to the financial condition, prospective results of operations, future performance or expectations, plans, objectives, prospects, loan loss allowance adequacy, simulation of changes in interest rates, capital spending, finance sources and revenue sources of Northeast Bancorp ("we," "our," "us," "Northeast" or the "Company"). These statements relate to expectations concerning matters that are not historical facts. Accordingly, statements that are based on management's projections, estimates, assumptions, and judgments constitute forward-looking statements. These forward 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Such forward-looking statements reflect our current views and expectations based largely on information currently available to our management, and on our current expectations, assumptions, plans, estimates, judgments, and projections about our business and our industry, and they involve inherent risks and uncertainties.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the factors referenced in this report under Item 1A. "Risk Factors changes in interest rates and real estate values; competitive pressures from other financial institutions; the effects of a deterioration in general economic conditions on a national basis or in the local markets in which the Company operates, including changes that adversely affect borrowers' ability to service and repay our loans; changes in loan defaults and charge-off rates; changes in the value of securities and other assets, adequacy of loan loss reserves, or deposit levels necessitating increased borrowing to fund loans and investments; changes in government regulation; the risk that we may not be successful in the implementation of our business strategy; the risk that intangibles recorded in the Company's financial statements will become impaired; and changes in assumptions used in making such forward-looking statements. These forward-looking statements speak only as of the date of this report and the Company does not undertake any obligation to update or revise any of these forward-looking statements to reflect events or circumstances occurring after the date of this report.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Northeast Bancorp, incorporated under Maine law in 1987, is a bank holding company, registered with the Board of Governors of the Federal Reserve System (the "Federal Reserve") under the Bank Holding Company Act of 1956, as amended. The Company's primary subsidiary and principal asset is its wholly-owned banking subsidiary, Northeast Bank (the "Bank" or "Northeast Bank"), a Maine state-chartered bank originally organized in 1872.</w:t>
      </w:r>
    </w:p>
    <w:p>
      <w:pPr>
        <w:spacing w:after="0" w:line="166"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On December 29, 2010, the merger of the Company and FHB Formation LLC (the "Merger"), a Delaware limited liability company ("FHB"), was consummated. In connection with the transaction, as part of the regulatory approval process, the Company and the Bank made certain commitments to the Federal Reserve, the most significant of which are (i) to maintain a Tier 1 leverage ratio of at least 10%, (ii) to maintain a total capital ratio of at least 15%,</w:t>
      </w:r>
    </w:p>
    <w:p>
      <w:pPr>
        <w:ind w:right="220" w:firstLine="8"/>
        <w:spacing w:after="0" w:line="271"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capital. On June 28, 2013, the Federal Reserve approved the amendment of the commitment to hold commercial real estate loans to within 300% of total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2018, the Company, on a consolidated basis, had total assets of $1.2 billion, total deposits of $954.9 million, and shareholders' equity of $138.4 million. We gather retail deposits through the Community Banking Division's ten full-service branches in Maine and through our online deposit program, ableBanking; originate loans through the Community Banking Division; purchase and originate commercial loans on a nationwide basis through the Bank’s Loan Acquisition and Servicing Group ("LASG"); and originate Small Business Administration and United States Department of Agriculture (“SBA”) loans on a nationwide basis through the Bank’s national SBA group ("SBA Division").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the Bank on a consolidated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 and Competition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LASG and SBA Division activities are nationwide. The LASG competes primarily with community banks, regional banks and private equity funds operating nationwide in its bid to acquire primarily commercial real estate loans. We believe that we often have a competitive advantage in bidding against private equity funds on performing loans because those funds generally have higher funding costs and, therefore, higher expectations for return on investment than we do. Furthermore, private equity funds typically do not compete for small balance commercial loans and typically pursue larger, bulk transactions. Due to improving credit quality over the past several years and the low interest rate environment, the supply of loans available for purchase has declined, competition has increased, and spreads have tightened. Despite these trends, we believe that the LASG continues to have a competitive advantage in bidding against other banks because we have a specialized group with experience in purchasing commercial real estate loans. Additionally, most banks we compete against are community banks looking to acquire loans in their market; these banks usually have specific criteria for their acquisition activities and do not pursue pools with collateral or geographic diversity.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SBA Division competes primarily with community banks, regional banks, national/global banks, and non-bank licensed lenders on a nationwide basis. Capitalizing on our LASG origination loan infrastructure, the SBA Division is in a position to review and act quickly on a variety of lending opportunities. Risk management, approvals, underwriting and other due diligence for these loans is similar to that for the LASG loans. We believe that the SBA Division has an advantage in originating commercial real estate loans because of its ability to utilize in-house staff to quickly and accurately screen loan opportunities, which accelerates the underwriting process.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Community Banking Division’s market area includes the six New England states, with the majority of its activities centered in the western and central regions of the State of Maine. We encounter significant competition in the Community Banking Division market area in originating loans, attracting deposits, and selling other customer products and services. Our competitors include savings banks, commercial banks, credit unions, mutual funds, insurance companies, brokerage and investment banking companies, finance companies, and other financial intermediaries. Many of our primary competitors there have substantially greater resources, larger established customer bases, higher lending limits, extensive branch networks, numerous ATMs and greater advertising and marketing budgets. They may also offer services that we do not currently provide. ableBanking has a nationwide scope in its deposit gathering activities and competes with banks and credit unions, as well as other, larger, online direct banks having a national reach.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 our loan-related activities through three primary channels: the LASG, the SBA Division, and the Community Banking Division. The LASG purchases primarily performing commercial real estate loans, on a nationwide basis, typically at a discount from their unpaid principal balances, producing yields higher than those normally achieved on the Company's originated loan portfolio. The LASG also originates commercial real estate and commercial and industrial loans on a nationwide basis. The SBA Division originates loans to small businesses, primarily through the SBA 7(a) program, which provides the partial guarantee of the SBA. The Community Banking Division originates loans directly to consumers and businesses located in its market area. At June 30, 2018, our total loan portfolio (excluding loans held for sale) was $871.8 million, of which $688.3 million, or 79.0%, was purchased or originated by the LASG, $60.2 million, or 6.9%, was originated by the SBA Division, and $123.3 million, or 14.1%, was originated by the Community Banking Division.</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certain information concerning our portfolio loan purchases and originations for the periods indicated (including loans held for sale):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5"/>
          </w:tcPr>
          <w:p>
            <w:pPr>
              <w:jc w:val="right"/>
              <w:ind w:right="1140"/>
              <w:spacing w:after="0"/>
              <w:rPr>
                <w:sz w:val="20"/>
                <w:szCs w:val="20"/>
                <w:color w:val="auto"/>
              </w:rPr>
            </w:pPr>
            <w:r>
              <w:rPr>
                <w:rFonts w:ascii="Arial" w:cs="Arial" w:eastAsia="Arial" w:hAnsi="Arial"/>
                <w:sz w:val="18"/>
                <w:szCs w:val="18"/>
                <w:color w:val="auto"/>
              </w:rPr>
              <w:t>Years Ended June 30,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bottom w:val="single" w:sz="8" w:color="auto"/>
            </w:tcBorders>
            <w:vMerge w:val="restart"/>
          </w:tcPr>
          <w:p>
            <w:pPr>
              <w:jc w:val="right"/>
              <w:ind w:right="70"/>
              <w:spacing w:after="0"/>
              <w:rPr>
                <w:sz w:val="20"/>
                <w:szCs w:val="20"/>
                <w:color w:val="auto"/>
              </w:rPr>
            </w:pPr>
            <w:r>
              <w:rPr>
                <w:rFonts w:ascii="Arial" w:cs="Arial" w:eastAsia="Arial" w:hAnsi="Arial"/>
                <w:sz w:val="14"/>
                <w:szCs w:val="14"/>
                <w:color w:val="auto"/>
                <w:w w:val="72"/>
              </w:rPr>
              <w:t>in</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Loans, including loans held for sale, beginning of year</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783,894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699,955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Additions: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LASG Purchases and Originations: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Originations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224,546</w:t>
            </w:r>
          </w:p>
        </w:tc>
        <w:tc>
          <w:tcPr>
            <w:tcW w:w="3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237,691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Subtotal</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348,657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350,498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SBA Division Funded Originations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42,368</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Community Bank Originations: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mortgages held for sale</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63,321</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Residential mortgages held for investment</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1,094</w:t>
            </w:r>
          </w:p>
        </w:tc>
        <w:tc>
          <w:tcPr>
            <w:tcW w:w="3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3,785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315</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6,565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1,670</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Total originations and purchases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457,706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516,741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Reductions:</w:t>
            </w:r>
          </w:p>
        </w:tc>
        <w:tc>
          <w:tcPr>
            <w:tcW w:w="1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Sales of residential loans held for sale</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(63,005)</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(74,662)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SBA and portfolio loans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(32,088)</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Charge-offs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Pay-downs and amortization, net</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(267,203)</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Total reductions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(362,643)</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(432,802)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Loans, including loans held for sale, end of year</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878,957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783,894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Annual percentage increase in loans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12.13%</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individually underwrite all loans that we originate and purchase. Our loan underwriting policies are reviewed and approved annually by our Board of Directors (the “Board”). Each loan, regardless of whether it is originated or purchased, must meet underwriting criteria set forth in our lending policies and the requirements of applicable federal and state regulations. All loans are subject to approval procedures and amount limitations, and the Board approves loan relationships exceeding certain prescribed dollar limits. We supplement our own supervision of the loan underwriting and approval process with periodic loan audits by internal personnel and outside professionals experienced in loan review. As of June 30, 2018, the Bank’s legal lending limit was $32.4 million.</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typically retain servicing rights for all loans that we originate or purchase, except for residential loans that we originate and sell servicing released in the secondary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LASG Purchases and Originations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Loans originated or purchased by the LASG were $688.3 million as of June 30, 2018, which consisted of $495.4 million of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loans, $171.9 million of commercial and industrial loans, and $21.0 million of one- to four-family residential loans. The following table summarizes the LASG loan portfolio as of June 30,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Originated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210"/>
        </w:trPr>
        <w:tc>
          <w:tcPr>
            <w:tcW w:w="4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Non-owner occupied commercial real estate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150,805</w:t>
            </w:r>
          </w:p>
        </w:tc>
        <w:tc>
          <w:tcPr>
            <w:tcW w:w="42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137,463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288,268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125,246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81,916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207,162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171,868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1-4 family residential</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21,037</w:t>
            </w: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290,972</w:t>
            </w:r>
          </w:p>
        </w:tc>
        <w:tc>
          <w:tcPr>
            <w:tcW w:w="1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397,363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688,335</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inception of the LASG through June 30, 2018, we have purchased loans with an aggregate investment of $723 million, of which $124.1 million was purchased during fiscal 2018. We have also originated LASG loans totaling $809 million, of which $224.5 million was originated in fiscal 2018. As of June 30, 2018, the unpaid principal balance of loans purchased or originated by the LASG ranged from $2 thousand to $10.0 million and have an average balance of $735 thousand. The real estate loans were secured principally by retail, industrial, hospitality, multi-family and office properties in 41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LASG loan portfolio stratified by book value as of June 30, 2018, excluding deferred fees and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Range</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00" w:type="dxa"/>
            <w:vAlign w:val="bottom"/>
            <w:gridSpan w:val="2"/>
          </w:tcPr>
          <w:p>
            <w:pPr>
              <w:ind w:left="780"/>
              <w:spacing w:after="0"/>
              <w:rPr>
                <w:sz w:val="20"/>
                <w:szCs w:val="20"/>
                <w:color w:val="auto"/>
              </w:rPr>
            </w:pPr>
            <w:r>
              <w:rPr>
                <w:rFonts w:ascii="Arial" w:cs="Arial" w:eastAsia="Arial" w:hAnsi="Arial"/>
                <w:sz w:val="18"/>
                <w:szCs w:val="18"/>
                <w:color w:val="auto"/>
              </w:rPr>
              <w:t>Amount</w:t>
            </w:r>
          </w:p>
        </w:tc>
        <w:tc>
          <w:tcPr>
            <w:tcW w:w="3060" w:type="dxa"/>
            <w:vAlign w:val="bottom"/>
            <w:gridSpan w:val="2"/>
          </w:tcPr>
          <w:p>
            <w:pPr>
              <w:jc w:val="right"/>
              <w:ind w:right="1040"/>
              <w:spacing w:after="0"/>
              <w:rPr>
                <w:sz w:val="20"/>
                <w:szCs w:val="20"/>
                <w:color w:val="auto"/>
              </w:rPr>
            </w:pPr>
            <w:r>
              <w:rPr>
                <w:rFonts w:ascii="Arial" w:cs="Arial" w:eastAsia="Arial" w:hAnsi="Arial"/>
                <w:sz w:val="18"/>
                <w:szCs w:val="18"/>
                <w:color w:val="auto"/>
              </w:rPr>
              <w:t>Percent of Total</w:t>
            </w:r>
          </w:p>
        </w:tc>
      </w:tr>
      <w:tr>
        <w:trPr>
          <w:trHeight w:val="210"/>
        </w:trPr>
        <w:tc>
          <w:tcPr>
            <w:tcW w:w="2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$0 - $1,000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86"/>
              </w:rPr>
              <w:t>188,663</w:t>
            </w:r>
          </w:p>
        </w:tc>
        <w:tc>
          <w:tcPr>
            <w:tcW w:w="1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27.46%</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$1,00 - $3,000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w w:val="86"/>
              </w:rPr>
              <w:t>272,846</w:t>
            </w:r>
          </w:p>
        </w:tc>
        <w:tc>
          <w:tcPr>
            <w:tcW w:w="180" w:type="dxa"/>
            <w:vAlign w:val="bottom"/>
          </w:tcPr>
          <w:p>
            <w:pPr>
              <w:spacing w:after="0"/>
              <w:rPr>
                <w:sz w:val="18"/>
                <w:szCs w:val="18"/>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39.72%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$3,000 - $6,000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114,092</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$6,000 - $9,000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00" w:type="dxa"/>
            <w:vAlign w:val="bottom"/>
            <w:gridSpan w:val="2"/>
          </w:tcPr>
          <w:p>
            <w:pPr>
              <w:ind w:left="2040"/>
              <w:spacing w:after="0"/>
              <w:rPr>
                <w:sz w:val="20"/>
                <w:szCs w:val="20"/>
                <w:color w:val="auto"/>
              </w:rPr>
            </w:pPr>
            <w:r>
              <w:rPr>
                <w:rFonts w:ascii="Arial" w:cs="Arial" w:eastAsia="Arial" w:hAnsi="Arial"/>
                <w:sz w:val="18"/>
                <w:szCs w:val="18"/>
                <w:color w:val="auto"/>
              </w:rPr>
              <w:t>92,329</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13.44%</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Greater than $9,000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18,999</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520" w:type="dxa"/>
            <w:vAlign w:val="bottom"/>
          </w:tcPr>
          <w:p>
            <w:pPr>
              <w:ind w:left="1940"/>
              <w:spacing w:after="0"/>
              <w:rPr>
                <w:sz w:val="20"/>
                <w:szCs w:val="20"/>
                <w:color w:val="auto"/>
              </w:rPr>
            </w:pPr>
            <w:r>
              <w:rPr>
                <w:rFonts w:ascii="Arial" w:cs="Arial" w:eastAsia="Arial" w:hAnsi="Arial"/>
                <w:sz w:val="18"/>
                <w:szCs w:val="18"/>
                <w:color w:val="auto"/>
                <w:w w:val="86"/>
              </w:rPr>
              <w:t>686,929</w:t>
            </w:r>
          </w:p>
        </w:tc>
        <w:tc>
          <w:tcPr>
            <w:tcW w:w="180" w:type="dxa"/>
            <w:vAlign w:val="bottom"/>
          </w:tcPr>
          <w:p>
            <w:pPr>
              <w:spacing w:after="0"/>
              <w:rPr>
                <w:sz w:val="18"/>
                <w:szCs w:val="18"/>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LASG loan portfolio by location and type of collateral as of June 30, 2018, excluding deferred fees and costs: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Collateral Type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Amount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Percent of Total</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Amount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Percent of Total</w:t>
            </w:r>
          </w:p>
        </w:tc>
      </w:tr>
      <w:tr>
        <w:trPr>
          <w:trHeight w:val="210"/>
        </w:trPr>
        <w:tc>
          <w:tcPr>
            <w:tcW w:w="2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(Dollars 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Multifamily</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59,697</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NY</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18.06%</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Office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68,984</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10.04%</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131,134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19.09%</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Hospitality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51,630</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NJ</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24,564</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141,020</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20.53%</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IL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29,075</w:t>
            </w: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81,830</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AZ</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23,468</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Portfolio finance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166,783</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24.28%</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35,736</w:t>
            </w: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63,750</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FL</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26,331</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53,235</w:t>
            </w:r>
          </w:p>
        </w:tc>
        <w:tc>
          <w:tcPr>
            <w:tcW w:w="2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Non-real estate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149,198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21.72%</w:t>
            </w: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686,929</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All other states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143,358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20.87%</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4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686,929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100.00%</w:t>
            </w: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40"/>
        <w:spacing w:after="0" w:line="277" w:lineRule="auto"/>
        <w:rPr>
          <w:sz w:val="20"/>
          <w:szCs w:val="20"/>
          <w:color w:val="auto"/>
        </w:rPr>
      </w:pPr>
      <w:r>
        <w:rPr>
          <w:rFonts w:ascii="Arial" w:cs="Arial" w:eastAsia="Arial" w:hAnsi="Arial"/>
          <w:sz w:val="18"/>
          <w:szCs w:val="18"/>
          <w:i w:val="1"/>
          <w:iCs w:val="1"/>
          <w:color w:val="auto"/>
        </w:rPr>
        <w:t xml:space="preserve">Loan Purchase Strategies. </w:t>
      </w:r>
      <w:r>
        <w:rPr>
          <w:rFonts w:ascii="Arial" w:cs="Arial" w:eastAsia="Arial" w:hAnsi="Arial"/>
          <w:sz w:val="18"/>
          <w:szCs w:val="18"/>
          <w:color w:val="auto"/>
        </w:rPr>
        <w:t>The LASG's loan purchasing strategy involves the acquisition of commercial loans, typically secured by real estate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assets located throughout the United States.</w:t>
      </w:r>
    </w:p>
    <w:p>
      <w:pPr>
        <w:sectPr>
          <w:pgSz w:w="11900" w:h="16838" w:orient="portrait"/>
          <w:cols w:equalWidth="0" w:num="1">
            <w:col w:w="11380"/>
          </w:cols>
          <w:pgMar w:left="240" w:top="118" w:right="27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acquire commercial loans typically at a discount to their unpaid principal balances. While we acquire loans on a nationwide basis, we seek to avoid significant concentration in any geographic region or in any one collateral type. We do not seek acquisition opportunities for which the primary collateral is land, construction, or one- to four-family residential property, although in a very limited number of cases, loans secured by such collateral may be included in a pool of otherwise desirable loans. Purchased loans are sourced on a nationwide basis from banks, insurance companies, investment funds and government agencies, either directly or indirectly through advisors.</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focus on servicing released, whole loan or lead participation transactions so that we can control the management of the portfolio through our experienced asset management professionals. Purchased loans can be acquired as a single relationship or combined with other borrowers in a larger pool. Loans are bid to a minimal acceptable yield to maturity based on the overall risk of the loan, including expected repayment terms and the underlying collateral value. Updated loan-to-value ratios and loan terms both influence the amount of discount the Bank requires in determining whether a loan meets the Bank's guidelines. We often achieve actual results in excess of our minimal acceptable yield to maturity when a loan is prepaid.</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June 30, 2018, purchased loans had an unpaid principal balance of $326.9 million and a book value of $291.0 million, representing a total discount of 11.0%.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purchased loan portfolio as of June 30, 2018 by original purchase price percentage: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420"/>
              <w:spacing w:after="0"/>
              <w:rPr>
                <w:sz w:val="20"/>
                <w:szCs w:val="20"/>
                <w:color w:val="auto"/>
              </w:rPr>
            </w:pPr>
            <w:r>
              <w:rPr>
                <w:rFonts w:ascii="Arial" w:cs="Arial" w:eastAsia="Arial" w:hAnsi="Arial"/>
                <w:sz w:val="18"/>
                <w:szCs w:val="18"/>
                <w:color w:val="auto"/>
              </w:rPr>
              <w:t>Initial Investment as a % of</w:t>
            </w: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40" w:type="dxa"/>
            <w:vAlign w:val="bottom"/>
          </w:tcPr>
          <w:p>
            <w:pPr>
              <w:ind w:left="500"/>
              <w:spacing w:after="0"/>
              <w:rPr>
                <w:sz w:val="20"/>
                <w:szCs w:val="20"/>
                <w:color w:val="auto"/>
              </w:rPr>
            </w:pPr>
            <w:r>
              <w:rPr>
                <w:rFonts w:ascii="Arial" w:cs="Arial" w:eastAsia="Arial" w:hAnsi="Arial"/>
                <w:sz w:val="18"/>
                <w:szCs w:val="18"/>
                <w:color w:val="auto"/>
              </w:rPr>
              <w:t>Unpaid Principal Balance</w:t>
            </w:r>
          </w:p>
        </w:tc>
        <w:tc>
          <w:tcPr>
            <w:tcW w:w="180" w:type="dxa"/>
            <w:vAlign w:val="bottom"/>
          </w:tcPr>
          <w:p>
            <w:pPr>
              <w:spacing w:after="0"/>
              <w:rPr>
                <w:sz w:val="20"/>
                <w:szCs w:val="20"/>
                <w:color w:val="auto"/>
              </w:rPr>
            </w:pPr>
          </w:p>
        </w:tc>
        <w:tc>
          <w:tcPr>
            <w:tcW w:w="2020" w:type="dxa"/>
            <w:vAlign w:val="bottom"/>
          </w:tcPr>
          <w:p>
            <w:pPr>
              <w:ind w:left="1140"/>
              <w:spacing w:after="0"/>
              <w:rPr>
                <w:sz w:val="20"/>
                <w:szCs w:val="20"/>
                <w:color w:val="auto"/>
              </w:rPr>
            </w:pPr>
            <w:r>
              <w:rPr>
                <w:rFonts w:ascii="Arial" w:cs="Arial" w:eastAsia="Arial" w:hAnsi="Arial"/>
                <w:sz w:val="18"/>
                <w:szCs w:val="18"/>
                <w:color w:val="auto"/>
              </w:rPr>
              <w:t>Amount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2"/>
          </w:tcPr>
          <w:p>
            <w:pPr>
              <w:jc w:val="right"/>
              <w:ind w:right="1040"/>
              <w:spacing w:after="0"/>
              <w:rPr>
                <w:sz w:val="20"/>
                <w:szCs w:val="20"/>
                <w:color w:val="auto"/>
              </w:rPr>
            </w:pPr>
            <w:r>
              <w:rPr>
                <w:rFonts w:ascii="Arial" w:cs="Arial" w:eastAsia="Arial" w:hAnsi="Arial"/>
                <w:sz w:val="18"/>
                <w:szCs w:val="18"/>
                <w:color w:val="auto"/>
              </w:rPr>
              <w:t>Percent of Total</w:t>
            </w:r>
          </w:p>
        </w:tc>
      </w:tr>
      <w:tr>
        <w:trPr>
          <w:trHeight w:val="210"/>
        </w:trPr>
        <w:tc>
          <w:tcPr>
            <w:tcW w:w="2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0% - 60%</w:t>
            </w:r>
          </w:p>
        </w:tc>
        <w:tc>
          <w:tcPr>
            <w:tcW w:w="2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60% - 70%</w:t>
            </w: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7,463</w:t>
            </w:r>
          </w:p>
        </w:tc>
        <w:tc>
          <w:tcPr>
            <w:tcW w:w="180" w:type="dxa"/>
            <w:vAlign w:val="bottom"/>
          </w:tcPr>
          <w:p>
            <w:pPr>
              <w:spacing w:after="0"/>
              <w:rPr>
                <w:sz w:val="18"/>
                <w:szCs w:val="18"/>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70% - 80%</w:t>
            </w:r>
          </w:p>
        </w:tc>
        <w:tc>
          <w:tcPr>
            <w:tcW w:w="180" w:type="dxa"/>
            <w:vAlign w:val="bottom"/>
            <w:tcBorders>
              <w:right w:val="single" w:sz="8" w:color="CCEEFF"/>
            </w:tcBorders>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19,527</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80% - 90%</w:t>
            </w: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83,307</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28.63%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&gt;90%</w:t>
            </w:r>
          </w:p>
        </w:tc>
        <w:tc>
          <w:tcPr>
            <w:tcW w:w="180" w:type="dxa"/>
            <w:vAlign w:val="bottom"/>
            <w:tcBorders>
              <w:right w:val="single" w:sz="8" w:color="CCEEFF"/>
            </w:tcBorders>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176,017</w:t>
            </w:r>
          </w:p>
        </w:tc>
        <w:tc>
          <w:tcPr>
            <w:tcW w:w="1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60.49%</w:t>
            </w:r>
          </w:p>
        </w:tc>
      </w:tr>
      <w:tr>
        <w:trPr>
          <w:trHeight w:val="20"/>
        </w:trPr>
        <w:tc>
          <w:tcPr>
            <w:tcW w:w="28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840" w:type="dxa"/>
            <w:vAlign w:val="bottom"/>
          </w:tcPr>
          <w:p>
            <w:pPr>
              <w:ind w:left="180"/>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290,972</w:t>
            </w:r>
          </w:p>
        </w:tc>
        <w:tc>
          <w:tcPr>
            <w:tcW w:w="180" w:type="dxa"/>
            <w:vAlign w:val="bottom"/>
          </w:tcPr>
          <w:p>
            <w:pPr>
              <w:spacing w:after="0"/>
              <w:rPr>
                <w:sz w:val="18"/>
                <w:szCs w:val="18"/>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Secondary Market for Commercial Loans. </w:t>
      </w:r>
      <w:r>
        <w:rPr>
          <w:rFonts w:ascii="Arial" w:cs="Arial" w:eastAsia="Arial" w:hAnsi="Arial"/>
          <w:sz w:val="17"/>
          <w:szCs w:val="17"/>
          <w:color w:val="auto"/>
        </w:rPr>
        <w:t>Commercial whole loans are typically sold either directly by sellers or through loan sale advisors. Because a</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database for commercial whole loan transactions does not exist, we attempt to compile our own statistics by both polling major loan sale advisors to obtain their aggregate trading volume and tracking the deal flow that we see directly via a proprietary database. This data reflects only a portion of the total market, as commercial whole loans that are sold in private direct sales or through other loan sale advisors are not included in our surveys. In recent years, the ratio of performing loans to total loans in the market has increased, in part, because sellers have worked through their most troubled, non-performing loans or are looking to minimize the discount they would receive in a secondary market transaction. While the 2008-2010 economic crisis led to a high level of trading volume, we also expect the market to remain active in times of economic prosperity, as sellers tend to have additional reserve capacity to sell their unwanted assets. Furthermore, we believe that the continued consolidation of the banking industry will create secondary market activity as acquirers often sell non-strategic borrowing relationships or assets that create excess loan concentrations.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Underwriting of Purchased Loans. </w:t>
      </w:r>
      <w:r>
        <w:rPr>
          <w:rFonts w:ascii="Arial" w:cs="Arial" w:eastAsia="Arial" w:hAnsi="Arial"/>
          <w:sz w:val="18"/>
          <w:szCs w:val="18"/>
          <w:color w:val="auto"/>
        </w:rPr>
        <w:t>We review many loan purchase opportunities and commence underwriting on a relatively small percentage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loans are underwritten by a team of in-house, seasoned analysts before being considered for approval. Prior to commencing underwriting, loans are analyzed for performance characteristics, loan terms, collateral quality, and price expectations. We also consider whether the loans would make our total purchased loan portfolio more or less diverse with respect to geography, loan type and collateral type. The opportunity is underwritten once it has been identified as fitting our investment parameters. While the extent of underwriting may vary based on investment size, procedures generally include the following:</w:t>
      </w:r>
    </w:p>
    <w:p>
      <w:pPr>
        <w:spacing w:after="0" w:line="19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loan analyst reviews and analyzes the seller credit file and our own internal and third party research in order to assess credit risk;</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the assistance of local counsel, where appropriate, an in-house attorney makes a determination regarding the quality of loan documentation and enforceability of loan terms;</w:t>
      </w:r>
    </w:p>
    <w:p>
      <w:pPr>
        <w:spacing w:after="0" w:line="170"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in-house real estate specialist performs real estate collateral evaluations, which includes conducting original market research for trends and sale and lease comparables, and develops a valuation based on current data reflecting what we believe are recent trends;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environmental assessment is performed on real estate collateral where appropriate;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660" w:right="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property inspection is generally performed on all real estate collateral securing a loan, focusing on several characteristics, including, among other things, the physical quality of the property, current occupancy, general quality and occupancy within the neighborhood, market position and nearby property listings;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underwriting package containing the analysis and results is reviewed and submitted for approval by the LASG Credit Committee.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Collateral Valuation. </w:t>
      </w:r>
      <w:r>
        <w:rPr>
          <w:rFonts w:ascii="Arial" w:cs="Arial" w:eastAsia="Arial" w:hAnsi="Arial"/>
          <w:sz w:val="18"/>
          <w:szCs w:val="18"/>
          <w:color w:val="auto"/>
        </w:rPr>
        <w:t>The estimated value of the real property collateralizing the loan is determined by the LASG's in-house real estate group,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among other factors, the type of property, its condition, location and its highest and best use in its marketplace. An inspection is conducted for the real property securing all loans bid upon. For loans that exceed a certain dollar threshold as prescribed in our credit policy, members of the LASG typically conduct an in-person site inspection.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generally view cash flow from operations as the primary source of repayment on purchased loans. The LASG analyzes the current and likely future cash flows generated by the collateral to repay the loan. Also considered are minimum debt service coverage ratios, consisting of the ratio of net operating income to total scheduled principal and interest payments. Consideration of the debt service coverage ratio is critical to the pricing and rating of purchased and originated loans, and is analyzed carefully. For purchased loans, care is taken to ensure that, unless significantly offset by other factors in the credit, the purchase price results in an adjusted debt service coverage ratio that is within the Bank’s lending limits. Moreover, if the debt service coverage ratio based on the contractual payments, regardless of the Bank’s exposure, is significantly below 1.0x, then steps are taken to document alternative sources of repayment or develop a realistic plan to ensure continued performance of the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Loan Pricing. </w:t>
      </w:r>
      <w:r>
        <w:rPr>
          <w:rFonts w:ascii="Arial" w:cs="Arial" w:eastAsia="Arial" w:hAnsi="Arial"/>
          <w:sz w:val="18"/>
          <w:szCs w:val="18"/>
          <w:color w:val="auto"/>
        </w:rPr>
        <w:t>In determining the amount that we are willing to bid to acquire individual loans or loan pools, the LASG considers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Collateral securing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resources of the borrower or guarantors,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Recourse nature of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Age and performance of the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Length of time during which the loan has performed in accordance with its repayment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Yield expected to be earned;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Servicing restrictions, if any.</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to the factors listed above and despite the fact that purchased loans are typically performing loans, the LASG also estimates the amount that we may realize through collection efforts or foreclosure and sale of the collateral, net of expenses, and the length of time and costs required to complete the collection or foreclosure process in the event a loan becomes non-performing or is non-performing at the time of purchase.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Loan Originations. </w:t>
      </w:r>
      <w:r>
        <w:rPr>
          <w:rFonts w:ascii="Arial" w:cs="Arial" w:eastAsia="Arial" w:hAnsi="Arial"/>
          <w:sz w:val="18"/>
          <w:szCs w:val="18"/>
          <w:color w:val="auto"/>
        </w:rPr>
        <w:t>In addition to purchasing loans, the LASG also originates commercial loans on a nationwide basis. Capitalizing on our purchased loan</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the LASG is in a position to review and act quickly on a variety of lending opportunities. Risk management, approvals, underwriting and other due diligence for these loans is similar to that for purchased loans, other than the appraisal and documentation process, which mirrors the Community Banking Division’s practice of employing local attorneys and real estate appraisers to assist in the process. We believe that the LASG has an advantage in originating commercial loans because of its ability to utilize in-house staff to quickly and accurately screen loan opportunities and accelerate the underwriting process.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purchased and originated loans with an in-house team of experienced asset managers who actively manage</w:t>
      </w:r>
      <w:r>
        <w:rPr>
          <w:rFonts w:ascii="Arial" w:cs="Arial" w:eastAsia="Arial" w:hAnsi="Arial"/>
          <w:sz w:val="18"/>
          <w:szCs w:val="18"/>
          <w:i w:val="1"/>
          <w:iCs w:val="1"/>
          <w:color w:val="auto"/>
        </w:rPr>
        <w:t xml:space="preserve"> </w:t>
      </w:r>
      <w:r>
        <w:rPr>
          <w:rFonts w:ascii="Arial" w:cs="Arial" w:eastAsia="Arial" w:hAnsi="Arial"/>
          <w:sz w:val="18"/>
          <w:szCs w:val="18"/>
          <w:color w:val="auto"/>
        </w:rPr>
        <w:t>the loan 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SBA Division, launched in November 2014, originates loans to small businesses nationwide, most often through the SBA's 7(a) program,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partial government guarantee. Our loans are typically secured by liens on business assets and mortgages on commercial properties, and also benefit from SBA guarantees. We seek to build a loan portfolio that is diverse with respect to geography, loan type and collateral type.</w:t>
      </w:r>
    </w:p>
    <w:p>
      <w:pPr>
        <w:sectPr>
          <w:pgSz w:w="11900" w:h="16838" w:orient="portrait"/>
          <w:cols w:equalWidth="0" w:num="1">
            <w:col w:w="11400"/>
          </w:cols>
          <w:pgMar w:left="240" w:top="118"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SBA Division loan portfolio as of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Non-owner occupied 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Owner occupied commercial real estate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1-4 family 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2340"/>
        <w:spacing w:after="0"/>
        <w:rPr>
          <w:sz w:val="20"/>
          <w:szCs w:val="20"/>
          <w:color w:val="auto"/>
        </w:rPr>
      </w:pPr>
      <w:r>
        <w:rPr>
          <w:rFonts w:ascii="Arial" w:cs="Arial" w:eastAsia="Arial" w:hAnsi="Arial"/>
          <w:sz w:val="18"/>
          <w:szCs w:val="18"/>
          <w:color w:val="auto"/>
        </w:rPr>
        <w:t>SBA Division</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986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ind w:left="1060" w:hanging="1057"/>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29,488</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24,483</w:t>
      </w:r>
    </w:p>
    <w:p>
      <w:pPr>
        <w:spacing w:after="0" w:line="3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5"/>
          <w:szCs w:val="15"/>
          <w:color w:val="auto"/>
        </w:rPr>
        <w:t>6,057</w:t>
      </w:r>
    </w:p>
    <w:p>
      <w:pPr>
        <w:spacing w:after="0" w:line="43"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6"/>
          <w:szCs w:val="16"/>
          <w:color w:val="auto"/>
        </w:rPr>
        <w:t>128</w:t>
      </w:r>
    </w:p>
    <w:p>
      <w:pPr>
        <w:spacing w:after="0" w:line="32" w:lineRule="exact"/>
        <w:rPr>
          <w:sz w:val="20"/>
          <w:szCs w:val="20"/>
          <w:color w:val="auto"/>
        </w:rPr>
      </w:pPr>
    </w:p>
    <w:p>
      <w:pPr>
        <w:ind w:left="1060" w:hanging="1057"/>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60,156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986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6780" w:space="720"/>
            <w:col w:w="3900"/>
          </w:cols>
          <w:pgMar w:left="240" w:top="118" w:right="259" w:bottom="1440" w:gutter="0" w:footer="0" w:header="0"/>
          <w:type w:val="continuous"/>
        </w:sectPr>
      </w:pPr>
    </w:p>
    <w:p>
      <w:pPr>
        <w:spacing w:after="0" w:line="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Company's SBA loan portfolio includes owner and non-owner occupied loans as defined under regulatory call report instructions. The regulatory call report instructions primarily consider the primary source of repayment on the loan for this determination. However, these loans meet the SBA requirements to be considered owner occupied as the owner or controlling entity are actively involved in the daily operations of the underlying core business.</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addition to the loans held in the SBA Division loan portfolio, as of June 30, 2018, $3.8 million in the loans held for sale portfolio were attributable to the SBA Division, consisting of the guaranteed portion of the SBA Division loans that we expect to sell in the secondary market.</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Secondary Market for SBA Guarantees. </w:t>
      </w:r>
      <w:r>
        <w:rPr>
          <w:rFonts w:ascii="Arial" w:cs="Arial" w:eastAsia="Arial" w:hAnsi="Arial"/>
          <w:sz w:val="18"/>
          <w:szCs w:val="18"/>
          <w:color w:val="auto"/>
        </w:rPr>
        <w:t>We typically sell the SBA-guaranteed portion of our variable-rate originations (generally 75%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at a premium in the secondary market. We generally retain a 25% unguaranteed interest and the accompanying servicing rights to the entire loan. We hold most fixed-rate SBA loan originations in portfolio.</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Underwriting of SBA Division Loans. </w:t>
      </w:r>
      <w:r>
        <w:rPr>
          <w:rFonts w:ascii="Arial" w:cs="Arial" w:eastAsia="Arial" w:hAnsi="Arial"/>
          <w:sz w:val="18"/>
          <w:szCs w:val="18"/>
          <w:color w:val="auto"/>
        </w:rPr>
        <w:t>Our loan policies and procedures establish guidelines governing our SBA lending program. Generally, these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the types of loans that we seek, target markets, underwriting and collateral requirements, terms, interest rate and yield considerations and compliance with laws and regulations. All loans or credit lines are subject to approval procedures and amount limitations. Our policies are reviewed and approved at least annually by our Board to ensure that we are following SBA underwriting guidelines.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Loan Servicing. </w:t>
      </w:r>
      <w:r>
        <w:rPr>
          <w:rFonts w:ascii="Arial" w:cs="Arial" w:eastAsia="Arial" w:hAnsi="Arial"/>
          <w:sz w:val="18"/>
          <w:szCs w:val="18"/>
          <w:color w:val="auto"/>
        </w:rPr>
        <w:t>We conduct all loan servicing for SBA Division loans with an in-house team of experienced asset managers who actively manage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Asset managers initiate and maintain regular borrower contact, and ensure that the loan credit analysis is accurate. Collateral valuations, property inspections, and other collateral characteristics are updated periodically as a result of our ongoing in-house real estate analysis. All asset management activity and analysis is contained within a central database.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Banking Division Originations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Loan Portfolio. </w:t>
      </w:r>
      <w:r>
        <w:rPr>
          <w:rFonts w:ascii="Arial" w:cs="Arial" w:eastAsia="Arial" w:hAnsi="Arial"/>
          <w:sz w:val="18"/>
          <w:szCs w:val="18"/>
          <w:color w:val="auto"/>
        </w:rPr>
        <w:t>The Community Banking Division’s loan portfolio consists primarily of loans to businesses and consumers in the Community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Division's market area.</w:t>
      </w:r>
    </w:p>
    <w:p>
      <w:pPr>
        <w:spacing w:after="0" w:line="170" w:lineRule="exact"/>
        <w:rPr>
          <w:sz w:val="20"/>
          <w:szCs w:val="20"/>
          <w:color w:val="auto"/>
        </w:rPr>
      </w:pPr>
    </w:p>
    <w:p>
      <w:pPr>
        <w:ind w:left="340" w:right="120" w:hanging="332"/>
        <w:spacing w:after="0" w:line="255"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Residential Mortgage Loans. </w:t>
      </w:r>
      <w:r>
        <w:rPr>
          <w:rFonts w:ascii="Arial" w:cs="Arial" w:eastAsia="Arial" w:hAnsi="Arial"/>
          <w:sz w:val="18"/>
          <w:szCs w:val="18"/>
          <w:color w:val="auto"/>
        </w:rPr>
        <w:t>We originate residential mortgage loans secured by one- to four-family properties primarily throughout Maine. Such loans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originated for sale in the secondary market or to be held on the Bank's balance sheet. We also offer home equity loans and home equity lines of credit, which are secured by first or second mortgages on one- to four-family owner-occupied properties and are held on our balance sheet. At June 30, 2018, portfolio residential loans totaled $79.1 million, or 9.1% of total loans. Of the residential loans we held for investment at June 30, 2018, approximately 54.5% were adjustable rate. Included in residential loans are home equity lines of credit and other second mortgage loans aggregating approximately $10.5 million.</w:t>
      </w:r>
    </w:p>
    <w:p>
      <w:pPr>
        <w:spacing w:after="0" w:line="193" w:lineRule="exact"/>
        <w:rPr>
          <w:rFonts w:ascii="Arial" w:cs="Arial" w:eastAsia="Arial" w:hAnsi="Arial"/>
          <w:sz w:val="18"/>
          <w:szCs w:val="18"/>
          <w:i w:val="1"/>
          <w:iCs w:val="1"/>
          <w:color w:val="auto"/>
        </w:rPr>
      </w:pPr>
    </w:p>
    <w:p>
      <w:pPr>
        <w:ind w:left="340" w:hanging="332"/>
        <w:spacing w:after="0" w:line="302"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Commercial Real Estate Loans. </w:t>
      </w:r>
      <w:r>
        <w:rPr>
          <w:rFonts w:ascii="Arial" w:cs="Arial" w:eastAsia="Arial" w:hAnsi="Arial"/>
          <w:sz w:val="16"/>
          <w:szCs w:val="16"/>
          <w:color w:val="auto"/>
        </w:rPr>
        <w:t>We originate multi-family and other commercial real estate loans secured by property located primarily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Community Banking Division's market area. At June 30, 2018, commercial real estate loans outstanding were $30.1 million, or 3.4% of total loans. Although the largest commercial real estate loan originated by the Community Banking Division had a principal balance of $1.7 million at June 30, 2018, the majority of the commercial real estate loans originated by the Community Banking Division had principal balances less than $500 thousand.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360" w:hanging="332"/>
        <w:spacing w:after="0" w:line="302"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We originate commercial and industrial loans, including term loans, lines of credit and equipment and 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to businesses located primarily in the Community Banking Division's market area. At June 30, 2018, commercial and industrial loans outstanding were $10.9 million, or 1.3% of total loans. At June 30, 2018, there were 98 commercial and industrial loans outstanding with an average principal balance of $112 thousand. The largest of these commercial and industrial loans had a principal balance of $1.9 million at June 30, 2018.</w:t>
      </w:r>
    </w:p>
    <w:p>
      <w:pPr>
        <w:spacing w:after="0" w:line="154" w:lineRule="exact"/>
        <w:rPr>
          <w:rFonts w:ascii="Arial" w:cs="Arial" w:eastAsia="Arial" w:hAnsi="Arial"/>
          <w:sz w:val="16"/>
          <w:szCs w:val="16"/>
          <w:i w:val="1"/>
          <w:iCs w:val="1"/>
          <w:color w:val="auto"/>
        </w:rPr>
      </w:pPr>
    </w:p>
    <w:p>
      <w:pPr>
        <w:ind w:left="340" w:right="280" w:hanging="332"/>
        <w:spacing w:after="0" w:line="277"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Loans. </w:t>
      </w:r>
      <w:r>
        <w:rPr>
          <w:rFonts w:ascii="Arial" w:cs="Arial" w:eastAsia="Arial" w:hAnsi="Arial"/>
          <w:sz w:val="18"/>
          <w:szCs w:val="18"/>
          <w:color w:val="auto"/>
        </w:rPr>
        <w:t>We originate, on a direct basis, automobile, boat and recreational vehicle loans. At June 30, 2018, consumer loans outstanding were</w:t>
      </w:r>
      <w:r>
        <w:rPr>
          <w:rFonts w:ascii="Arial" w:cs="Arial" w:eastAsia="Arial" w:hAnsi="Arial"/>
          <w:sz w:val="18"/>
          <w:szCs w:val="18"/>
          <w:i w:val="1"/>
          <w:iCs w:val="1"/>
          <w:color w:val="auto"/>
        </w:rPr>
        <w:t xml:space="preserve"> </w:t>
      </w:r>
      <w:r>
        <w:rPr>
          <w:rFonts w:ascii="Arial" w:cs="Arial" w:eastAsia="Arial" w:hAnsi="Arial"/>
          <w:sz w:val="18"/>
          <w:szCs w:val="18"/>
          <w:color w:val="auto"/>
        </w:rPr>
        <w:t>$3.2 million, or 0.4% of total loans.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Underwriting of Loans. </w:t>
      </w:r>
      <w:r>
        <w:rPr>
          <w:rFonts w:ascii="Arial" w:cs="Arial" w:eastAsia="Arial" w:hAnsi="Arial"/>
          <w:sz w:val="18"/>
          <w:szCs w:val="18"/>
          <w:color w:val="auto"/>
        </w:rPr>
        <w:t>Most residential loans, including those held for investment, are originated in accordance with the standards of the Federal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Association, the Federal Home Loan Mortgage Corporation, the Federal Housing Authority, or other third party correspondent lenders. Our underwriting process for all other loans originated by the Community Banking Division is as follows:</w:t>
      </w:r>
    </w:p>
    <w:p>
      <w:pPr>
        <w:spacing w:after="0" w:line="181" w:lineRule="exact"/>
        <w:rPr>
          <w:sz w:val="20"/>
          <w:szCs w:val="20"/>
          <w:color w:val="auto"/>
        </w:rPr>
      </w:pPr>
    </w:p>
    <w:p>
      <w:pPr>
        <w:ind w:left="340" w:right="2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Most of our Community Banking Division originated loans are sourced through relationships between loan officers and third-party referral sources or current or previous customers.</w:t>
      </w:r>
    </w:p>
    <w:p>
      <w:pPr>
        <w:spacing w:after="0" w:line="170" w:lineRule="exact"/>
        <w:rPr>
          <w:rFonts w:ascii="Arial" w:cs="Arial" w:eastAsia="Arial" w:hAnsi="Arial"/>
          <w:sz w:val="18"/>
          <w:szCs w:val="18"/>
          <w:color w:val="auto"/>
        </w:rPr>
      </w:pPr>
    </w:p>
    <w:p>
      <w:pPr>
        <w:ind w:left="340" w:right="460" w:hanging="332"/>
        <w:spacing w:after="0" w:line="31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After a loan officer has taken basic information from the borrower, the request is submitted to the Community Banking Division's loan production department. The loan production department obtains comprehensive information from the borrower and third parties, and conducts verification and analysis of the borrower information, which is assembled into a single underwriting package that is submitted for final approval.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Activities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securities portfolio and short-term investments provide and maintain liquidity, assist in managing the interest rate sensitivity of our balance sheet, and serve as collateral for certain of our obligations. Individual investment decisions are made based on the credit quality of the investment, liquidity requirements, potential returns, cash flow targets, and consistency with our asset/liability management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Deposits have traditionally been the primary source of the Bank's funds for lending and other investment purposes. In addition to deposits, the Bank obtains funds from the amortization and prepayment of loans and mortgage-backed securities, the sale, call or maturity of securities, advances from the Federal Home Loan Bank of Boston (the "FHLBB"), other term borrowings and cash flows generated by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offer a full line of deposit products to customers in western and south-central Maine through our ten-branch network. Our deposit products consist of demand deposit, NOW, money market, savings and certificate of deposit accounts. Our customers access their funds through ATMs, MasterCard® Debit Cards, Automated Clearing House funds (electronic transfers) and checks. We also offer telephone banking, online banking and bill payment, mobile banking and remote deposit capture services. Interest rates on our deposits are based upon factors that include prevailing loan demand, deposit maturities, alternative costs of funds, interest rates offered by competing financial institutions and other financial service firms, and general economic conditions. At June 30, 2018, we had core deposits of $954.9 million, representing 100% of total deposits. We define core deposits as non-maturity deposits and non-brokered insured time deposits.</w:t>
      </w:r>
    </w:p>
    <w:p>
      <w:pPr>
        <w:spacing w:after="0" w:line="18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online deposit program, ableBanking, provides an additional channel through which to obtain core deposits to support our growth. ableBanking, which was launched in late fiscal 2012 as a division of Northeast Bank, had $323.5 million in money market and time deposits as of June 30, 2018. We also use deposit listing services to gather deposits from time to time, in support of our liquidity and asset/liability management objectives. At June 30, 2018, listing service deposits totaled $181.5 million, bearing a weighted-average remaining term of 0.98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While we currently consider core deposits (defined as non-maturity deposits and non-brokered insured time deposits) as our primary source of funding to support asset growth, advances from the FHLBB and other sources of wholesale funding remain an important part of our liquidity contingency planning. Northeast Bank may borrow up to 50% of its total assets from the FHLBB, and borrowings are typically collateralized by mortgage loans and securities pledged to the FHLBB. At June 30, 2018, we had $48.7 million of available borrowing capacity based on collateral. Northeast Bank can also borrow from the Federal Reserve Bank of Boston, with any such borrowing collateralized by consumer loans pledged to the Federal Reserve.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foreseeable future, we expect to rely less on borrowings than other banks of similar size, because of our regulatory commitment to fund 100% of our loans with core deposits, although the availability of FHLBB and Federal Reserve Bank of Boston advances and other sources of wholesale funding remain an important part of our liquidity contingency planning.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2018, the Company employed 167 full-time and 18 part-time employees. The Company's employees are not represented by any collective bargaining unit. The Company believes that its relations with its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Bank had three wholly-owned non-bank subsidiaries: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 Elm Realty, LLC, which was established to hold commercial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500 Pine Realty, LLC, which was established to hold residential real estate acquired as a result of loan workouts.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 Dogwood Realty, LLC, which was established to hold commercial real estate acquired as a result of loan workouts.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addresses elements of the regulatory framework applicable to bank holding companies and their subsidiaries. This regulatory framework is intended primarily to protect the safety and soundness of depository institutions, the federal deposit insurance fund, and depositors, rather than the shareholders of a bank holding company such as the Company. This summary is not a comprehensive analysis of all applicable laws, and is qualified by reference to the applicable statutes and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Company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bank holding company, the Company is subject to regulation, supervision and examination by the Federal Reserve, which has the authority, among other things, to order bank holding companies to cease and desist from unsafe or unsound banking practices; to assess civil money penalties; and to order termination of non-banking activities or termination of ownership and control of a non-banking subsidiary by a bank holding company.</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Source of Strength. </w:t>
      </w:r>
      <w:r>
        <w:rPr>
          <w:rFonts w:ascii="Arial" w:cs="Arial" w:eastAsia="Arial" w:hAnsi="Arial"/>
          <w:sz w:val="18"/>
          <w:szCs w:val="18"/>
          <w:color w:val="auto"/>
        </w:rPr>
        <w:t>Under the Federal Deposit Insurance Act (the “FDIA”), as amended by the Dodd-Frank Wall Street Reform and Consumer Protection Act</w:t>
      </w:r>
      <w:r>
        <w:rPr>
          <w:rFonts w:ascii="Arial" w:cs="Arial" w:eastAsia="Arial" w:hAnsi="Arial"/>
          <w:sz w:val="18"/>
          <w:szCs w:val="18"/>
          <w:i w:val="1"/>
          <w:iCs w:val="1"/>
          <w:color w:val="auto"/>
        </w:rPr>
        <w:t xml:space="preserve"> </w:t>
      </w:r>
      <w:r>
        <w:rPr>
          <w:rFonts w:ascii="Arial" w:cs="Arial" w:eastAsia="Arial" w:hAnsi="Arial"/>
          <w:sz w:val="18"/>
          <w:szCs w:val="18"/>
          <w:color w:val="auto"/>
        </w:rPr>
        <w:t>(the “Dodd-Frank Act”), the Company is required to serve as a source of financial strength for the Bank in the event of the financial distress of the Bank. This provision codifies the longstanding policy of the Federal Reserve. In addition, any capital loans by a bank holding company to any of its bank subsidiaries are subordinate to the payment of deposits and to certain other indebtedness. In the event of a bank holding company’s bankruptcy, any commitment by the bank holding company to a federal bank regulatory agency to maintain the capital of a bank subsidiary will be assumed by the bankruptcy trustee and entitled to a priority of payment.</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Acquisitions and Activities</w:t>
      </w:r>
      <w:r>
        <w:rPr>
          <w:rFonts w:ascii="Arial" w:cs="Arial" w:eastAsia="Arial" w:hAnsi="Arial"/>
          <w:sz w:val="16"/>
          <w:szCs w:val="16"/>
          <w:color w:val="auto"/>
        </w:rPr>
        <w:t>. The Bank Holding Company Act of 1956 (the “BHCA”) prohibits a bank holding company, without prior approval of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Reserve, from acquiring all or substantially all the assets of a bank; acquiring control of a bank; merging or consolidating with another bank holding company; or acquiring direct or indirect ownership or control of any voting shares of another bank or bank holding company if, after such acquisition, the acquiring bank holding company would control more than 5% of any class of the voting shares of such other bank or bank holding company.</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BHCA also prohibits a bank holding company from engaging directly or indirectly in activities other than those of banking, managing or controlling banks or furnishing services to its subsidiary banks. However, a bank holding company may engage in and may own shares of companies engaged in certain activities that the Federal Reserve has determined to be closely related to banking or managing and controlling banks as to be a proper incident thereto.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Limitations on Acquisitions of Company Common Stock. </w:t>
      </w:r>
      <w:r>
        <w:rPr>
          <w:rFonts w:ascii="Arial" w:cs="Arial" w:eastAsia="Arial" w:hAnsi="Arial"/>
          <w:sz w:val="16"/>
          <w:szCs w:val="16"/>
          <w:color w:val="auto"/>
        </w:rPr>
        <w:t>The Change in Bank Control Act prohibits a person or group of persons from acquiring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a bank holding company unless the Federal Reserve has been notified and has not objected to the transaction. Under a rebuttable presumption established by the Federal Reserve, the acquisition of 10% or more of a class of voting securities of a bank holding company with a class of securities registered under Section 12 of the Securities Exchange Act of 1934, as amended, would constitute the acquisition of control of a bank holding company.</w:t>
      </w:r>
    </w:p>
    <w:p>
      <w:pPr>
        <w:spacing w:after="0" w:line="15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addition, the BHCA prohibits any company from acquiring control of a bank or bank holding company without first having obtained the approval of the Federal Reserve. Among other circumstances, under the BHCA, a company has control of a bank or bank holding company if the company owns, controls or holds with power to vote 25% or more of a class of voting securities of the bank or bank holding company; controls in any manner the election of a majority of directors or trustees of the bank or bank holding company; or the Federal Reserve has determined, after notice and opportunity for hearing, that the company has the power to exercise a controlling influence over the management or policies of the bank or bank holding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Bank</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a Maine-chartered bank, the Bank is subject to supervision, regulation and examination by the Maine Bureau of Financial Institutions (the “Bureau”) and the Federal Deposit Insurance Corporation (the “FDIC”). The Federal Reserve may directly examine the subsidiaries of the Company, including the Bank. The enforcement powers available to federal and state banking regulators include, among other things, the ability to issue cease and desist or removal orders, to terminate insurance of deposits, to assess civil money penalties, to issue directives to increase capital, to place the bank into receivership, and to initiate injunctive actions against banking organizations and institution-affiliated parties.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Deposit Insurance. </w:t>
      </w:r>
      <w:r>
        <w:rPr>
          <w:rFonts w:ascii="Arial" w:cs="Arial" w:eastAsia="Arial" w:hAnsi="Arial"/>
          <w:sz w:val="18"/>
          <w:szCs w:val="18"/>
          <w:color w:val="auto"/>
        </w:rPr>
        <w:t>The deposit obligations of the Bank are insured up to applicable limits by the FDIC’s Deposit Insurance Fund (“DIF”) and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insurance assessments to maintain the DIF. The Dodd-Frank Act permanently increased the FDIC deposit insurance limit to $250,000 per depositor for deposits maintained in the same right and capacity at a particular insured depository institution. On March 15, 2016, the FDIC’s Board of Directors approved a final rule to increase the DIF’s reserve ratio to the statutorily required minimum ratio of 1.35% of estimated insured deposits. Small banks, which are generally those banks with under $10 billion in assets, will receive credits to offset the portion of their assessments that help to raise the reserve ratio from 1.15 percent to 1.35%. After the reserve ratio reaches 1.38%, the FDIC will automatically apply a small bank’s credits to reduce its regular assessment up to the entire amount of the assessment.</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Deposit insurance assessments are based on assets. To determine its deposit insurance assessment, the Bank computes the base amount of its average consolidated assets less its average tangible equity (defined as the amount of Tier 1 capital) and the applicable assessment rate. On April 26, 2016, the FDIC’s Board of Directors adopted a final rule that changed the manner in which deposit insurance assessment rates are calculated for established small banks, generally those banks with less than $10 billion of assets that have been insured for at least five years. Under the final rule, beginning the first assessment period after June 30, 2016, assessments for established small banks with a CAMELS rating of 1 or 2 will range from 1.5 to 16 basis points, after adjustments, while assessment rates for established small institutions with a CAMELS composite rating of 4 or 5 may range from 11 to 30 basis points, after adjustments. Assessments for established banks with a CAMELS rating of 3 will range from 3 to 30 basis points.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FDIC has the power to adjust deposit insurance assessment rates at any time. In addition, under the Federal Deposit Insurance Act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 For the year ended June 30, 2018, the FDIC insurance expense for the Bank was $317 thousand.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Acquisitions and Branching</w:t>
      </w:r>
      <w:r>
        <w:rPr>
          <w:rFonts w:ascii="Arial" w:cs="Arial" w:eastAsia="Arial" w:hAnsi="Arial"/>
          <w:sz w:val="18"/>
          <w:szCs w:val="18"/>
          <w:color w:val="auto"/>
        </w:rPr>
        <w:t>. Prior approval from the Bureau and the FDIC is required in order for the Bank to acquire another bank or establish a new branch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 Well-capitalized and well-managed banks may acquire other banks in any state, subject to certain deposit concentration limits and other conditions, pursuant to the Riegle-Neal Interstate Banking and Branching Efficiency Act of 1994, as amended by the Dodd-Frank Act. In addition, the Dodd-Frank Act authorizes a state-chartered bank, such as the Bank, to establish new branches on an interstate basis to the same extent a bank chartered by the host state may establish branches.</w:t>
      </w:r>
    </w:p>
    <w:p>
      <w:pPr>
        <w:spacing w:after="0" w:line="18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Activities and Investments of Insured State-Chartered Banks</w:t>
      </w:r>
      <w:r>
        <w:rPr>
          <w:rFonts w:ascii="Arial" w:cs="Arial" w:eastAsia="Arial" w:hAnsi="Arial"/>
          <w:sz w:val="18"/>
          <w:szCs w:val="18"/>
          <w:color w:val="auto"/>
        </w:rPr>
        <w:t>. Section 24 of the FDIA generally limits the types of equity investment an FDIC-insured state-chartered bank, such as the Bank, may make and the kinds of activities in which such a bank may engage, as a principal, to those that are permissible for national banks. Further, the Gramm-Leach-Bliley Act of 1999 (“GLBA”) permits national banks and state banks, to the extent permitted under state law, to engage—via financial subsidiaries—in certain activities that are permissible for subsidiaries of a financial holding company. In order to form a financial subsidiary, a state-chartered bank must be well capitalized, and such banks would be subject to certain capital deduction, risk management and affiliate transaction rules, among other things.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Lending Restrictions</w:t>
      </w:r>
      <w:r>
        <w:rPr>
          <w:rFonts w:ascii="Arial" w:cs="Arial" w:eastAsia="Arial" w:hAnsi="Arial"/>
          <w:sz w:val="17"/>
          <w:szCs w:val="17"/>
          <w:color w:val="auto"/>
        </w:rPr>
        <w:t>. Federal law limits a bank’s authority to extend credit to its directors, executive officers and 10% or more shareholders, as well as to</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 The Dodd-Frank Act explicitly provides that an extension of credit to an insider includes credit exposure arising from a derivatives transaction, repurchase agreement, reverse repurchase agreement, securities lending transaction or securities borrowing transaction. Additionally, the Dodd-Frank Act requires that asset sale transactions with insiders must be on market terms, and if the transaction represents more than 10% of the capital and surplus of the bank, approved by a majority of the disinterested directors of the bank.</w:t>
      </w:r>
    </w:p>
    <w:p>
      <w:pPr>
        <w:spacing w:after="0" w:line="18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Brokered Deposits</w:t>
      </w:r>
      <w:r>
        <w:rPr>
          <w:rFonts w:ascii="Arial" w:cs="Arial" w:eastAsia="Arial" w:hAnsi="Arial"/>
          <w:sz w:val="17"/>
          <w:szCs w:val="17"/>
          <w:color w:val="auto"/>
        </w:rPr>
        <w:t>. Section 29 of the FDIA and FDIC regulations generally limit the ability of an insured depository institution to accept, renew or roll over</w:t>
      </w:r>
      <w:r>
        <w:rPr>
          <w:rFonts w:ascii="Arial" w:cs="Arial" w:eastAsia="Arial" w:hAnsi="Arial"/>
          <w:sz w:val="17"/>
          <w:szCs w:val="17"/>
          <w:i w:val="1"/>
          <w:iCs w:val="1"/>
          <w:color w:val="auto"/>
        </w:rPr>
        <w:t xml:space="preserve"> </w:t>
      </w:r>
      <w:r>
        <w:rPr>
          <w:rFonts w:ascii="Arial" w:cs="Arial" w:eastAsia="Arial" w:hAnsi="Arial"/>
          <w:sz w:val="17"/>
          <w:szCs w:val="17"/>
          <w:color w:val="auto"/>
        </w:rPr>
        <w:t>any brokered deposit unless the institution’s capital category is “well capitalized” or, with the FDIC’s approval, “adequately capitalized.” Depository institutions that have brokered deposits in excess of 10% of total assets will be subject to increased FDIC deposit insurance assessments. However, for institutions that are well capitalized and have a CAMELS composite rating of 1 or 2, reciprocal deposits are deducted from brokered deposits. In addition, the Economic Growth, Regulatory Relief, and Consumer Protection Act provides that reciprocal deposits are not treated as brokered deposits in the case of a "well capitalized" institution that received a “outstanding” or “good” rating on its most recent examination to the extent the amount of such deposits does not exceed the lesser of $5 billion or 20% of the bank’s total liabilities.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Community Reinvestment Act</w:t>
      </w:r>
      <w:r>
        <w:rPr>
          <w:rFonts w:ascii="Arial" w:cs="Arial" w:eastAsia="Arial" w:hAnsi="Arial"/>
          <w:sz w:val="17"/>
          <w:szCs w:val="17"/>
          <w:color w:val="auto"/>
        </w:rPr>
        <w:t>. The Community Reinvestment Act (“CRA”) requires the FDIC to evaluate the Bank’s performance in helping to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needs of the entire communities it serves, including low- and moderate-income neighborhoods, consistent with its safe and sound banking operations, and to take this record into consideration when evaluating certain applications. The FDIC’s CRA regulations are generally based upon objective criteria of the performance of institutions under three key assessment tests: (i) a lending test, to evaluate the institution’s record of making loans in its service areas; (ii) an investment test, to evaluate the institution’s record of investing in community development projects, affordable housing, and programs benefiting low or moderate income individuals and businesses; and (iii) a service test, to evaluate the institution’s delivery of services through its branches, ATMs, and other offices. The Bank’s most recent performance evaluation from the FDIC was a “satisfactory” rating.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Adequacy and Safety and Soundness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The Federal Reserve and the FDIC have issued substantially similar risk-based and leverage capital rules applicable to U.S.</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organizations such as the Company and the Bank. These rules are intended to reflect the relationship between the banking organization’s capital and the degree of risk associated with its operations based on transactions recorded on-balance sheet, as well as off-balance sheet. The Federal Reserve and the FDIC may from time to time require that a banking organization maintain capital above the minimum levels discussed below, due to the banking organization’s financial condition or actual or anticipated growth.</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capital adequacy rules define qualifying capital instruments and specify minimum amounts of capital as a percentage of assets that banking organizations are required to maintain. Common equity Tier 1 capital for banks and bank holding companies consists of common shareholders’ equity and related surplus. Tier 1 capital for banks and bank holding companies generally consists of the sum of common shareholders’ equity, non-cumulative perpetual preferred stock, and related surplus and, in certain cases and subject to limitations, minority interest in consolidated subsidiaries, less goodwill, other non-qualifying intangible assets and certain other deductions. Tier 2 capital generally consists of hybrid capital instruments, perpetual debt and mandatory convertible debt securities, cumulative perpetual preferred stock, term subordinated debt and intermediate-term preferred stock, and, subject to limitations, allowances for loan losses. The sum of Tier 1 and Tier 2 capital, less certain required deductions, represents qualifying total capital. Prior to the effectiveness of certain provisions of the Dodd-Frank Act, bank holding companies were permitted to include trust preferred securities and cumulative perpetual preferred stock in Tier 1 capital, subject to limitations. However, the Federal Reserve’s capital rule applicable to bank holding companies permanently grandfathers nonqualifying capital instruments, including trust preferred securities, issued before May 19, 2010 by depository institution holding companies with less than $15 billion in total assets as of December 31, 2009, subject to a limit of 25% of Tier 1 capital. In addition, under rules that became effective January 1, 2016, accumulated other comprehensive income (positive or negative) must be reflected in Tier 1 capital; however, the Company was permitted to make a one-time, permanent election to continue to exclude accumulated other comprehensive income from capital. The Company has made this election.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Federal Reserve’s capital rules applicable to the Company and the FDIC’s capital rules applicable to the Bank, the Company and the Bank are each required to maintain a minimum common equity Tier 1 capital to risk-weighted assets ratio of 4.5%, a minimum total Tier 1 capital to risk-weighted assets ratio of 6.0%, a minimum total capital to risk-weighted assets ratio of 8.0% and a minimum leverage ratio of 4.0%. Additionally, subject to a transition schedule, these rules require an institution to establish a capital conservation buffer of common equity Tier 1 capital above the minimum risk-based capital requirements for “adequately capitalized” institutions that is greater than 2.5% of total risk weighted assets, or face restrictions on the ability to pay dividends, pay discretionary bonuses, and to engage in share repurchases. The capital conservation buffer will be fully phased in on January 1, 2019.</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Under the FDIC’s rules, an FDIC supervised institution, such as the Bank, is considered “well capitalized” if it (i) has a total risk-based capital ratio of 10.0% or greater; (ii) a Tier 1 risk-based capital ratio of 8.0% or greater; (iii) a common Tier 1 equity ratio of at least 6.5% or greater, (iv) a leverage capital ratio of 5.0% or greater; and (iv) is not subject to any written agreement, order, capital directive, or prompt corrective action directive to meet and maintain a specific capital level for any capital measure.</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Generally, a bank, upon being notified that it is not adequately capitalized (i.e., that it is “undercapitalized”), becomes subject to the prompt corrective action provisions of Section 38 of the FDIA that, for example, (i) restrict payment of capital distributions and management fees, (ii) require that its federal bank regulatory agency, which is the FDIC in the case of the Bank, monitor the condition of the institution and its efforts to restore its capital, (iii) require submission of a capital restoration plan, (iv) restrict the growth of the institution’s assets and (v) require prior regulatory approval of certain expansion proposals. A bank that is required to submit a capital restoration plan must concurrently submit a performance guarantee by each company that controls the bank. A bank that is “critically undercapitalized” (i.e., has a ratio of tangible equity to total assets that is equal to or less than 2.0%) will be subject to further restrictions, and generally will be placed in conservatorship or receivership within 90 days.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Bank is currently considered “well capitalized” under all regulatory definitions. Current capital rules do not establish standards for determining whether a bank holding company is well capitalized. However, for purposes of processing regulatory applications and notices, the Federal Reserve Board’s Regulation Y provides that a bank holding company is considered “well capitalized” if (i) on a consolidated basis, the bank holding company maintains a total risk-based capital ratio of 10.0% or greater; (ii) on a consolidated basis, the bank holding company maintains a tier 1 risk-based capital ratio of 6.0% or greater; and (iii) the bank holding company is not subject to any written agreement, order, capital directive, or prompt corrective action directive issued by the Federal Reserve Board to meet and maintain a specific capital level for any capital measure.</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Safety and Soundness Standard. </w:t>
      </w:r>
      <w:r>
        <w:rPr>
          <w:rFonts w:ascii="Arial" w:cs="Arial" w:eastAsia="Arial" w:hAnsi="Arial"/>
          <w:sz w:val="17"/>
          <w:szCs w:val="17"/>
          <w:color w:val="auto"/>
        </w:rPr>
        <w:t>The FDIA requires the federal bank regulatory agencies to prescribe standards, by regulations or guidelines,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Guidelines adopted by the federal bank regulatory agencies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In addition, the federal banking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FDIA. See </w:t>
      </w:r>
      <w:r>
        <w:rPr>
          <w:rFonts w:ascii="Arial" w:cs="Arial" w:eastAsia="Arial" w:hAnsi="Arial"/>
          <w:sz w:val="17"/>
          <w:szCs w:val="17"/>
          <w:i w:val="1"/>
          <w:iCs w:val="1"/>
          <w:color w:val="auto"/>
        </w:rPr>
        <w:t>“—Regulatory Capital Requirements”</w:t>
      </w:r>
      <w:r>
        <w:rPr>
          <w:rFonts w:ascii="Arial" w:cs="Arial" w:eastAsia="Arial" w:hAnsi="Arial"/>
          <w:sz w:val="17"/>
          <w:szCs w:val="17"/>
          <w:color w:val="auto"/>
        </w:rPr>
        <w:t xml:space="preserve"> above. If an institution fails to comply with such an order, the agency may seek to enforce such order in judicial proceedings and to impose civil money penalties.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is a legal entity separate and distinct from the Bank. The revenue of the Company (on a parent company only basis) is derived primarily from interest and dividends from the Bank. The right of the Company, and consequently the right of shareholders of the Company, to participate in any distribution of the assets or earnings of the Bank through the payment of such dividends or otherwise is necessarily subject to the prior claims of creditors of the Bank (including depositors), except to the extent that certain claims of the Company in a creditor capacity may be recognized.</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Restrictions on Bank Holding Company Dividends</w:t>
      </w:r>
      <w:r>
        <w:rPr>
          <w:rFonts w:ascii="Arial" w:cs="Arial" w:eastAsia="Arial" w:hAnsi="Arial"/>
          <w:sz w:val="16"/>
          <w:szCs w:val="16"/>
          <w:color w:val="auto"/>
        </w:rPr>
        <w:t>. It is the policy of the Federal Reserve that a bank holding company should eliminate, defer or</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reduce dividends if the organization’s net income available to shareholders for the past four quarters is not sufficient to fully fund the dividends, the prospective rate of earnings retention is not consistent with the organization’s capital needs, asset quality and overall financial condition, or the bank holding company will not meet or is in danger of not meeting its minimum regulatory capital adequacy ratios. The Federal Reserve has the authority to prohibit a bank holding company, such as the Company, from paying dividends if it deems such payment to be an unsafe or unsound practice.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Restrictions on Bank Dividends</w:t>
      </w:r>
      <w:r>
        <w:rPr>
          <w:rFonts w:ascii="Arial" w:cs="Arial" w:eastAsia="Arial" w:hAnsi="Arial"/>
          <w:sz w:val="18"/>
          <w:szCs w:val="18"/>
          <w:color w:val="auto"/>
        </w:rPr>
        <w:t>. The FDIC has the authority to use its enforcement powers to prohibit a bank from paying dividends if, in its opinion,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dividends would constitute an unsafe or unsound practice. Federal law also prohibits the payment of dividends by a bank that will result in the bank failing to meet its applicable capital requirements on a pro forma basis. Maine law requires the approval of the Bureau for any dividend that would reduce a bank’s capital below prescribed limits.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Transactions by Bank Holding Companies with their Affiliates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There are various statutory restrictions on the extent to which bank holding companies and their non-bank subsidiaries may borrow, obtain credit from or otherwise engage in “covered transactions” with their insured depository institution subsidiaries. In general, an “affiliate” of an insured depository institution includes the depository institution’s parent holding company and any subsidiary of the parent holding company. However, an “affiliate” does not generally include an operating subsidiary of an insured depository institution. The Dodd-Frank Act amended the definition of affiliate to include any investment fund for which the depository institution or one of its affiliates is an investment adviser. An insured depository institution (and its subsidiaries) may not lend money to, or engage in other covered transactions with, its non-depository institution affiliates if the aggregate amount of covered transactions outstanding involving the bank, plus the proposed transaction, exceeds the following limits: (a) in the case of any one such affiliate, the aggregate amount of covered transactions of the insured depository institution and its subsidiaries cannot exceed 10% of the capital stock and surplus of the insured depository institution; and (b) in the case of all affiliates, the aggregate amount of covered transactions of the insured depository institution and its subsidiaries cannot exceed 20% of the capital stock and surplus of the insured depository institution. For this purpose, “covered transactions” are defined by statute to include a loan or extension of credit to an affiliate, a purchase of or investment in securities issued by an affiliate, a purchase of assets from an affiliate, the acceptance of securities issued by an affiliate as collateral for a loan or extension of credit to any person or company, the issuance of a guarantee, acceptance or letter of credit on behalf of an affiliate, securities borrowing or lending transactions with an affiliate that creates a credit exposure to such affiliate, or a derivatives transaction with an affiliate that creates a credit exposure to such affiliate. Certain covered transactions are also subject to collateral security requirements. Covered transactions as well as other types of transactions between a bank and a bank holding company must be on market terms, which means that the transaction must be conducted on terms and under circumstances that are substantially the same, or at least as favorable to the bank, as those prevailing at the time for comparable transactions with or involving nonaffiliates or, in the absence of comparable transactions, that in good faith would be offered to or would apply to nonaffiliates. Moreover, Section 106 of the Bank Holding Company Act Amendments of 1970 provides that, to further competition, a bank holding company and its subsidiaries are prohibited from engaging in certain tying arrangements in connection with any extension of credit, lease or sale of property of any kind, or furnishing of any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and the Bank are subject to a number of federal and state laws designed to protect consumers and prohibit unfair or deceptive business practices. These laws include the Equal Credit Opportunity Act, the Fair Housing Act, Home Ownership Protection Act, the Fair Credit Reporting Act, as amended by the Fair and Accurate Credit Transactions Act of 2003 (“FACT Act”), GLBA, the Truth in Lending Act, CRA, the Home Mortgage Disclosure Act, the Real Estate Settlement Procedures Act, the National Flood Insurance Act, the Electronic Funds Transfer Act, the Truth-in-Savings Act, the Secure and Fair Enforcement Act, the Expedited Funds Availability Act, and various state law counterparts. These laws and regulations mandate certain disclosure requirements and regulate the manner in which financial institutions must interact with customers when taking deposits, making loans, collecting loans and providing other services. Further, the Dodd-Frank Act established the Consumer Financial Protection Bureau (“CFPB”), which has the responsibility for making rules and regulations under the federal consumer protection laws relating to financial products and services. The CFPB also has a broad mandate to prohibit unfair or deceptive acts and practices and is specifically empowered to require certain disclosures to consumers and draft model disclosure forms. Failure to comply with consumer protection laws and regulations can subject financial institutions to enforcement actions, fines and other penalties. The FDIC examines the Bank for compliance with CFPB rules and enforces CFPB rules with respect to the Bank.</w:t>
      </w:r>
    </w:p>
    <w:p>
      <w:pPr>
        <w:spacing w:after="0" w:line="17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Mortgage Reform. </w:t>
      </w:r>
      <w:r>
        <w:rPr>
          <w:rFonts w:ascii="Arial" w:cs="Arial" w:eastAsia="Arial" w:hAnsi="Arial"/>
          <w:sz w:val="18"/>
          <w:szCs w:val="18"/>
          <w:color w:val="auto"/>
        </w:rPr>
        <w:t>The Dodd-Frank Act prescribes certain standards that mortgage lenders must consider before making a residential mortgage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verifying a borrower’s ability to repay such mortgage loan. The Dodd-Frank Act also allows borrowers to assert violations of certain provisions of the Truth-in-Lending Act as a defense to foreclosure proceedings. Under the Dodd-Frank Act, prepayment penalties are prohibited for certain mortgage transactions and creditors are prohibited from financing insurance policies in connection with a residential mortgage loan or home equity line of credit. The Dodd-Frank Act requires mortgage lenders to make additional disclosures prior to the extension of credit, in each billing statement and for negative amortization loans and hybrid adjustable-rate mortgages. Additionally, the Dodd-Frank Act prohibits mortgage originators from receiving compensation based on the terms of residential mortgage loans and generally limits the ability of a mortgage originator to be compensated by others if compensation is received from a consumer.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Privacy and Customer Information Security. </w:t>
      </w:r>
      <w:r>
        <w:rPr>
          <w:rFonts w:ascii="Arial" w:cs="Arial" w:eastAsia="Arial" w:hAnsi="Arial"/>
          <w:sz w:val="17"/>
          <w:szCs w:val="17"/>
          <w:color w:val="auto"/>
        </w:rPr>
        <w:t>GLBA requires financial institutions to implement policies and procedures regarding the disclosure of nonpublic</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information about consumers to nonaffiliated third parties. In general, the Bank must provide its customers with an annual disclosure that explains its policies and procedures regarding the disclosure of such nonpublic personal information and, except as otherwise required or permitted by law, the Bank is prohibited from disclosing such information, except as provided in such policies and procedures. However, as a result of amendments made by the Fixing America’s Surface Transportation Act, a financial institution is not required to send an annual privacy notice if the institution only discloses nonpublic personal information in accordance with certain exceptions from GLBA that do not require an opt-out to be provided and if the institution has not changed its policies and practices since the most recent privacy disclosure provided to consumers. GLBA also requires that the Bank develop, implement and maintain a comprehensive written information security program designed to ensure the security and confidentiality of customer information (as defined under GLBA), to protect against anticipated threats or hazards to the security or integrity of such information; and to protect against unauthorized access to or use of such information that could result in substantial harm or inconvenience to any customer. The Bank is also required to send a notice to customers whose “sensitive information” has been compromised if unauthorized use of this information has occurred or is “reasonably possible.” Most states, including Maine, have enacted legislation concerning breaches of data security and the duties of the Bank in response to a data breach. Congress continues to consider federal legislation that would require consumer notice of data security breaches. Pursuant to the FACT Act, the Bank must also develop and implement a written identity theft prevention program to detect, prevent, and mitigate identity theft in connection with the opening of certain accounts or certain existing accounts. Additionally, the FACT Act amends the Fair Credit Reporting Act to generally prohibit a person from using information received from an affiliate to make a solicitation for marketing purposes to a consumer, unless the consumer is given notice and a reasonable opportunity and a reasonable and simple method to opt out of the making of such solicitations.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The Bank Secrecy Act</w:t>
      </w:r>
      <w:r>
        <w:rPr>
          <w:rFonts w:ascii="Arial" w:cs="Arial" w:eastAsia="Arial" w:hAnsi="Arial"/>
          <w:sz w:val="16"/>
          <w:szCs w:val="16"/>
          <w:color w:val="auto"/>
        </w:rPr>
        <w:t>. Under the Bank Secrecy Act (“BSA”), a financial institution is required to have systems in place to detect certain transactions,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size and nature of the transaction. Financial institutions are generally required to report to the United States Treasury any cash transactions involving more than $10,000. In addition, financial institutions are required to file suspicious activity reports for transactions that involve more than $5,000 and which the financial institution knows, suspects or has reason to suspect involves illegal funds, is designed to evade the requirements of the BSA or has no lawful purpose. The Uniting and Strengthening America by Providing Appropriate Tools Required to Intercept and Obstruct Terrorism Act of 2001 (the “USA PATRIOT Act”), which amended the BSA, is designed to deny terrorists and others the ability to obtain anonymous access to the U.S. financial system. The USA PATRIOT Act has significant implications for financial institutions and businesses of other types involved in the transfer of money. The USA PATRIOT Act, together with the implementing regulations of various federal regulatory agencies, has caused financial institutions, such as the Bank, to adopt and implement additional policies or amend existing policies and procedures with respect to, among other things, anti-money laundering compliance, suspicious activity, currency transaction reporting, customer identity verification and customer risk analysis. In evaluating an application under Section 3 of the BHCA to acquire a bank or an application under the Bank Merger Act to merge banks or affect a purchase of assets and assumption of deposits and other liabilities, the applicable federal banking regulator must consider the anti-money laundering compliance record of both the applicant and the target.</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OFAC</w:t>
      </w:r>
      <w:r>
        <w:rPr>
          <w:rFonts w:ascii="Arial" w:cs="Arial" w:eastAsia="Arial" w:hAnsi="Arial"/>
          <w:sz w:val="16"/>
          <w:szCs w:val="16"/>
          <w:color w:val="auto"/>
        </w:rPr>
        <w:t>. The United States has imposed economic sanctions that affect transactions with designated foreign countries, nationals and others. These sanctions,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administered by the U.S. Treasury Department’s Office of Foreign Assets Control (“OFAC”),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(ii) a blocking of assets in which the government or specially designated nationals of the sanctioned country have an interest, by prohibiting transfers of property subject to U.S. jurisdiction (including property in the possession or control of U.S. persons); and (iii) restrictions on transactions with or involving certain persons or entities. Blocked assets (for example, property and bank deposits) cannot be paid out, withdrawn, set off or transferred in any manner without a license from OFAC.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Investor Relations information can be obtained through our Internet address, investor.northeastbank.com. The Company makes available on or through its Investor Relations page, without charge, its annual reports on Form 10-K, quarterly reports on Form 10-Q, and current reports on Form 8-K and amendments to those reports filed with, or furnished to, the SEC as soon as reasonably practicable after such reports have been filed or furnished to the SEC. The Company’s reports filed with, or furnished to, the SEC are also available at the SEC’s website at www.sec.gov. In addition, the Company makes available, free of charge, its press releases and Code of Ethics through the Company’s Investor Relations page. Information on our website is not incorporated by reference into this document and should not be considered part of this report.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following risks and uncertainties, together with all other information in this report, including our consolidated financial statements and related notes, before investing in our common stock. Additional risks and uncertainties not presently known to us or that we currently deem immaterial may also affect our business. If any of these known or unknown risks or uncertainties actually occurs, our business, financial condition and results of operations could be impaired. In that event, the market price for our common stock could decline and you may lose your investment. Certain statements below are forward-looking statements. See "A Note About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regulatory conditions that could constrain our ability to grow our business.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conjunction with the regulatory approvals received for the Merger with FHB Formation LLC, we committed to maintain a Tier 1 leverage ratio of at least 10%, maintain a total capital ratio of at least 15%, fund 100% of our loans with core deposits, limit purchased loans to 40% of total loans and hold non-owner occupied commercial real estate loans to within 300% of total capital. Core deposits, for purposes of this commitment, are defined as non-brokered non-maturity deposits and non-brokered insured time deposits. At June 30, 2018, the ratio of our purchased loans to total loans was 33.1%. Our continued ability to purchase loans will be dependent on our ability to maintain the growth of our originated loan portfolio. To the extent that our ability to originate loans is constrained by market forces or for any other reason, our ability to execute our loan acquisition strategy would be similarly constrained.</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significant portion of loans held in our loan portfolio were originated by third parties, and such loans may not have been subject to the same level of due diligence that the Bank would have conducted had it originated the loans.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June 30, 2018, 33.1% of the loans held in our loan portfolio were originated by third parties, and therefore may not have been subject to the same level of due diligence that the Bank would have conducted had it originated the loans. Although the LASG conducts a comprehensive review of all loans that it purchases, loans originated by third parties may lack current financial information and may have incomplete legal documentation and outdated appraisals. As a result, the LASG may not have information with respect to an acquired loan which, if known at the time of acquisition, would have caused it to reduce its bid price or not bid for the loan at all. This may adversely affect our yield on loans or cause us to increase our allowance for loan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experience with loans held in our loan portfolio that were originated by third parties is limited.</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At June 30, 2018, the loans held in our loan portfolio that were originated by third parties had been held by us for approximately 1.8 years, calculated on a weighted average basis. Consequently, we have had only a relatively short period of time to evaluate the performance of those loans and the price at which we purchased them. Further experience with these loans may provide us with information that could cause us to increase our allowance for loan losses.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portfolio includes commercial real estate and commercial and industrial loans, which are generally riskier than other types of loans.</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June 30, 2018, our commercial real estate mortgage and commercial and industrial loan portfolios comprised 88.1% of total loans. Commercial loans generally carry larger loan balances and involve a higher risk of nonpayment or late payment than residential mortgage loans. These loans, and purchased loans in particular, may lack standardized terms and may include a balloon payment feature. The ability of a borrower to make or refinance a balloon payment may be affected by a number of factors, including the financial condition of the borrower, prevailing economic conditions and prevailing interest rates. Repayment of these loans is generally more dependent on the economy and the successful operation of a business. Because of the risks associated with commercial loans, we may experience higher rates of default than if the portfolio were more heavily weighted toward residential mortgage loans. Higher rates of default could have an adverse effect on our financial condition and results of operations.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allowance for loan losses is not sufficient to absorb actual losses or if we are required to increase our allowance, our financial condition and results of operations could be adversely affected.</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exposed to the risk that our borrowers may default on their obligations. A borrower's default on its obligations under one or more loans of the Bank may result in lost principal and interest income and increased operating expenses as a result of the allocation of management time and resources to the collection and work-out of the loan. In certain situations, where collection efforts are unsuccessful or acceptable work-out arrangements cannot be reached, the Bank may have to write off the loan in whole or in part. In such situations, the Bank may acquire real estate or other assets, if any, that secure the loan through foreclosure or other similar available remedies, and often the amount owed under the defaulted loan exceeds the value of the assets acquired.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periodically make a determination of an allowance for loan losses based on available information, including, but not limited to, our historical loss experience, the quality of the loan portfolio, certain economic conditions, the value of the underlying collateral, expected cash flows from purchased loans, and the level of nonaccruing and criticized loans. We rely on our loan quality reviews, our experience and our evaluation of economic conditions, among other factors, in determining the amount of provision required for the allowance for loan losses. Provisions to this allowance result in an expense for the period. If, as a result of general economic conditions, previously incorrect assumptions, or an increase in defaulted loans, we determine that additional increases in the allowance for loan losses are necessary, we will incur additional expenses.</w:t>
      </w:r>
    </w:p>
    <w:p>
      <w:pPr>
        <w:spacing w:after="0" w:line="17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Determining the allowance for loan losses inherently involves a high degree of subjectivity and requires us to make significant estimates of current credit risks and future trends, all of which may undergo material changes. At any time, there are likely to be loans in our portfolio that will result in losses, but that have not been identified as nonperforming or potential problem credits. We cannot be sure that we will be able to identify deteriorating credits before they become nonperforming assets or that we will be able to limit losses on those loans that are identified. We have in the past been, and in the future may be, required to increase our allowance for loan losses for any of several reasons. State and federal regulators, in reviewing our loan portfolio as part of a regulatory examination, may request that we increase our allowance for loan losses. Changes in economic conditions affecting borrowers, new information regarding existing loans, identification of additional problem loans and other factors, both within and outside of our control, may require an increase in our allowance for loan losses. In addition, if charge-offs in future periods exceed those estimated in the determination of our allowance for loan losses, we will need additional increases in our allowance for loan losses. Any increases in our allowance for loan losses will result in a decrease in our net income and, possibly, our capital, and could have an adverse effect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 associated with our lending activities could result in losses.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course of business, we may acquire, through foreclosure, properties securing loans we have originated or purchased that are in default. Particularly in commercial real estate lending, there is a risk that hazardous substances could be discovered on these properties. In this event, we might be required to remove these substances from the affected properties at our sole cost and expense or we may be held liable to a government entity or to third parties for property damage, personal injury, investigation and cleanup costs incurred by these parties in connection with environmental contamination or may be required to investigate or clean up hazardous or toxic substances or chemical releases at a property. The costs associated with investigation or remediation activities could substantially exceed the value of the affected properties. We may not have adequate remedies against the prior owner or other responsible parties and could find it difficult or impossible to sell the affected properties. If we become subject to significant environmental liabilities,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performance of our securities portfolio in difficult market conditions could have adverse effects on our results of operations.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diversified securities portfolio, which includes obligations of U.S. government agencies and government-sponsored enterprises, including mortgage-backed securities. Under applicable accounting standards, we are required to review our securities portfolio periodically for the presence of other-than-temporary impairment, taking into consideration current market conditions, the extent and nature of changes in fair value, issuer rating changes and trends, volatility of earnings, current analysts’ evaluations, our ability and intent to hold securities until a recovery of fair value, as well as other factors. Adverse developments with respect to one or more of the foregoing factors may require us to deem particular securities to be other-than-temporarily impaired, with the credit related portion of the reduction in the fair value recognized as a charge to the results of operations in the period in which the impairment occurs. Market volatility may make it difficult to value certain securities. Subsequent valuations, in light of factors prevailing at that time, may result in significant changes in the values of these securities in future periods. Any of these factors could require us to recognize further impairments in the value of our securities portfolio, which may have an adverse effect on our results of operations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deposits or a change in deposit mix could increase our cost of funding.</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Deposits are a low-cost and stable source of funding. We compete with banks and other financial institutions for deposits. Funding costs may increase if we lose deposits and are forced to replace them with more expensive sources of funding, if clients shift their deposits into higher-cost products or if we need to raise interest rates to avoid losing deposits. Higher funding costs reduce our net interest margin, net interest income and net income.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Liquidity is the ability to meet cash-flow needs on a timely basis by converting assets into cash or cash equivalents and by increasing liabilities at a reasonable cost. Liquidity sources include the amount of unencumbered or “free” investment portfolio securities that the Bank owns, borrowings, cash flow from loan and investment principal payments and pre-payments and residential mortgage loan sales. Our liquidity is used principally to originate or purchase loans, to repay deposit liabilities and other liabilities when they come due, and to fund operating costs. The Company also requires funds for dividends to shareholders, repurchases of shares, and for general corporate purposes. Customer demand for non-maturity deposits can be difficult to predict. Changes in market interest rates, increased competition within our markets, and other factors may make deposit gathering more difficult. Disruptions in the capital markets or interest rate changes may make the terms of wholesale funding sources—which include Federal Home Loan Bank advances, the Federal Reserve's Borrower-in-Custody program, securities sold under repurchase agreements, federal funds purchased and brokered certificates of deposit—less favorable and may make it difficult to sell securities when needed to provide additional liquidity. As a result, there is a risk that the cost of funding will increase or that we will not have sufficient funds to meet our obligations when they come due.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attract and retain qualified key employees, which could adversely affect our business prospects, including our competitive position and results of operations.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success is dependent upon our ability to attract and retain highly-skilled individuals. There is significant competition for those individuals with the experience and skills required to conduct many of our business activities. We may not be able to hire or retain the key personnel that we depend upon for success. The unexpected loss of services of one or more of these or other key personnel could have a material adverse impact on our business because of their skills, knowledge of the markets in which we operate, years of industry experience and the difficulty of promptly finding qualified replacement personnel.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continuing and growing security risks to our information base, including the information we maintain relating to our customers.</w:t>
      </w:r>
    </w:p>
    <w:p>
      <w:pPr>
        <w:spacing w:after="0" w:line="23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the ordinary course of business, we rely on electronic communications and information systems to conduct our business and to store sensitive data, including financial information regarding customers. Our electronic communications and information systems infrastructure could be susceptible to cyberattacks, hacking, identity theft or terrorist activity. We have implemented and regularly review and update extensive systems of internal controls and procedures as well as corporate governance policies and procedures intended to protect our business operations, including the security and privacy of all confidential customer information. In addition, we rely on the services of a variety of vendors to meet our data processing and communication needs. No matter how well designed or implemented our controls are, we cannot provide an absolute guarantee to protect our business operations from every type of problem in every situation. A failure or circumvention of these controls could have a material adverse effect on our business operations and financial condition.</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regularly assess and test our security systems and disaster preparedness, including back-up systems, but the risks are substantially escalating. As a result, cybersecurity and the continued enhancement of our controls and processes to protect our systems, data and networks from attacks, unauthorized access or significant damage remain a priority. Accordingly, we may be required to expend additional resources to enhance our protective measures or to investigate and remediate any information security vulnerabilities or exposures. Any breach of our system security could result in disruption of our operations, unauthorized access to confidential customer information, significant regulatory costs, litigation exposure and other possible damages, loss or liability. Such costs or losses could exceed the amount of available insurance coverage, if any, and would adversely affect our earnings. Also, any failure to prevent a security breach or to quickly and effectively deal with such a breach could negatively impact customer confidence, damaging our reputation and undermining our ability to attract and keep customers.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future information technology system enhancements, which could adversely affect our business operations and profitability.</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invest significant resources in information technology system enhancements in order to provide functionality and security at an appropriate level. We may not be able to successfully implement and integrate future system enhancements, which could adversely impact the ability to provide timely and accurate financial information in compliance with legal and regulatory requirements, which could result in sanctions from regulatory authorities. Such sanctions could include fines and suspension of trading in our stock, among others. In addition, future system enhancements could have higher than expected costs and/or result in operating inefficiencies, which could increase the costs associated with the implementation as well as ongoing operations.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Failure to properly utilize system enhancements that are implemented in the future could result in impairment charges that adversely impact our financial condition and results of operations and could result in significant costs to remediate or replace the defective components. In addition, we may incur significant training, licensing, maintenance, consulting and amortization expenses during and after systems implementations, and any such costs may continue for an extended period of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other companies to provide key components of our business infrastructure.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Third-party vendors provide key components of our business infrastructure such as internet connections, network access and core application processing. While we have selected these third-party vendors carefully, we do not control their actions. Any problems caused by these third parties, including as a result of their not providing us their services for any reason or their performing their services poorly, could adversely affect our ability to deliver products and services to our customers or otherwise conduct our business efficiently and effectively. Replacing these third-party vendors could also entail significant delay and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acts of terrorism and other external events could harm our business.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Natural disasters can disrupt our operations, result in damage to our properties, reduce or destroy the value of the collateral for our loans and negatively affect the economies in which we operate, which could have a material adverse effect on our results of operations and financial condition. A significant natural disaster, such as a tornado, hurricane, earthquake, fire or flood, could have a material adverse impact on our ability to conduct business, and our insurance coverage may be insufficient to compensate for losses that may occur. Acts of terrorism, war, civil unrest, violence or human error could cause disruptions to our business or the economy as a whole. While we have established and regularly test disaster recovery procedures, the occurrence of any such event could have a material adverse effect on our business,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significantly harm our business, including our competitive position and business prospects.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dependent on our reputation within our market area, as a trusted and responsible financial company, for all aspects of our relationships with customers, employees, vendors, third-party service providers, and others, with whom we conduct business or potential future business. Our ability to attract and retain customers and employees could be adversely affected if our reputation is damaged. Our actual or perceived failure to address various issues, including our ability to (a) identify and address potential conflicts of interest, ethical issues, money-laundering, or privacy issues; (b) meet legal and regulatory requirements applicable to the Bank and to the Company; (c) maintain the privacy of customer and accompanying personal information; (d) maintain adequate record keeping; (e) engage in proper sales and trading practices; and (f) identify the legal, reputational, credit, liquidity and market risks inherent in our products, could give rise to reputational risk that could cause harm to us and our business prospects. Failure to appropriately address any of these issues could also give rise to additional regulatory restrictions and legal risks, which could, among other consequences, increase the size and number of litigation claims and damages asserted or subject us to enforcement actions, fines and penalties and cause us to incur related costs and expenses. Furthermore, any damage to our reputation could affect our ability to retain and develop the business relationships necessary to conduct business, which in turn could negatively impact our financial condition, results of operations, and the market price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may fail or be circumvented.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controls over financial reporting are necessary to help ensure reliable financial reporting and prevent fraud. Management is responsible for maintaining an effective system of internal control and assessing system effectiveness. Any system of controls, however well designed and operated, is based in part on certain assumptions and can provide only reasonable, not absolute, assurances that the objectives of the system are met. Any failure or circumvention of the system of internal control could have an adverse effect on our business, profitability, financial condition and operations, and could further result in regulatory actions and loss of investor confidence.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if any, may require us to raise additional capital, but that capital may not be available when we need it.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bank holding company, we are required by regulatory authorities to maintain adequate levels of capital to support our operations. In addition, in conjunction with the regulatory approvals received for the merger with FHB Formation LLC, we committed to maintain a Tier 1 leverage ratio of at least 10% and a total capital ratio of at least 15%. We may need to raise additional capital in the future to provide us with sufficient capital resources and liquidity to support our operations or our growth. Our ability to raise additional capital will depend, in part, on conditions in the capital markets at that time, which are outside of our control, and our financial performance. Accordingly, we may be unable to raise additional capital, if and when needed, on acceptable terms, or at all. If we cannot raise additional capital when needed, our ability to further expand our operations through internal growth and acquisitions could be materially impaired. In addition, if we decide to raise additional equity capital, investors' interests could be diluted. Our failure to meet any applicable regulatory guideline related to our lending activities or any capital requirement otherwise imposed upon us or to satisfy any other regulatory requirement could subject us to certain activity restrictions or to a variety of enforcement remedies available to the regulatory authorities, including limitations on our ability to pay dividends or pursue acquisitions, the issuance by regulatory authorities of a capital directive to increase capital and the termination of deposit insurance by the FDIC.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other financial institutions could adversely affect us.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counterparties, and we routinely execute transactions with counterparties in the financial industry, including brokers and dealers, other commercial banks, investment banks, mutual and hedge funds, and other financial institutions. As a result, defaults by, or even rumors or questions about, one or more financial services institutions, or the financial services industry generally, could lead to market-wide liquidity problems and losses or defaults by us or by other institutions and organizations. Many of these transactions expose us to credit risk in the event of default of our counterparty or client. In addition, our credit risk may be exacerbated when the collateral held by us cannot be liquidated or is liquidated at prices not sufficient to recover the full amount of the financial instrument exposure due to us. There is no assurance that any such losses would not materially and adversely affect our results of operations.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Weakness or deterioration in economic conditions, both in our market area and more generally, could adversely affect our financial condition and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financial performance generally, and in particular, the ability of borrowers to pay interest on and repay principal of outstanding loans and the value of collateral securing those loans, is highly dependent upon the business environment in the markets where we operate and in the United States as a whole. Our Community Banking Division primarily serves individuals and businesses located in western and south-central Maine. As a result, a significant portion of our earnings are closely tied to the economy of Maine. In addition, our loan portfolio includes commercial loans acquired or originated by the LASG and the SBA Division that are secured by assets located nationwide. Deterioration in the economic conditions of the Community Banking Division's market area in western and south-central Maine, and deterioration of the economy nationally could result in the following consequences:</w:t>
      </w:r>
    </w:p>
    <w:p>
      <w:pPr>
        <w:spacing w:after="0" w:line="16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delinquencies may increase;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 assets and foreclosures may increase;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for our products and services may decline;</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Collateral for our loans may decline in value, in turn reducing a customer's borrowing power and reducing the value of collateral securing a loan;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claims and litigation.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From time to time, customers, vendors or other parties may make claims and take legal action against us. We maintain reserves for certain claims when deemed appropriate based upon our assessment that a loss is probable, estimable, and consistent with applicable accounting guidance. At any given time, we have a variety of legal actions asserted against us in various stages of litigation. Resolution of a legal action can often take years. We are also involved, from time to time, in other reviews, investigations and proceedings (both formal and informal) by governmental and self-regulatory agencies regarding our business, including, among other things, accounting and operational matters, certain of which may result in adverse judgments, settlements, fines, penalties, injunctions or other relief. The number and risk of these investigations and proceedings has increased in recent years with regard to many firms in the financial services industry due to legal changes to the consumer protection laws provided for by the Dodd-Frank Act. There have also been a number of highly publicized legal claims against financial institutions involving fraud or misconduct by employees, and we run the risk that employee misconduct could occur. It is not always possible to deter or prevent employee misconduct, and the precautions we take to prevent and detect this activity may not be effective in all cases.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financial services industry is intense and could result in us losing business or experiencing reduced margins.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compete with community, regional, national and global banks, non-bank licensed lenders and private equity funds in purchasing or originating loans, attracting deposits, and selling other customer products and services. Many of our primary competitors there have substantially greater resources, larger established customer bases, higher lending limits, extensive branch networks, numerous ATMs and greater advertising and marketing budgets. They may also offer services that we do not currently provide. Additionally, due to their size, many competitors may be able to achieve economies of scale and, as a result, may offer a broader range of products and services, as well as better pricing for those products and services than we can. Technology has lowered barriers to entry and made it possible for non-banks to offer products and services traditionally provided by banks, such as automated transfer and automatic payment systems. Our long-term success depends on the ability of the Bank to compete successfully with other financial institutions in the Bank’s service areas.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could adversely affect our net interest income and profitability.</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majority of our assets and liabilities are monetary in nature. As a result, our earnings and growth are significantly affected by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us cannot be controlled and are extremely difficult to predict. Changes in interest rates can affect our net interest income as well as the value of our assets and liabilities. Net interest income is the difference between (i) interest income on interest-earning assets, such as loans and securities, and (ii) interest expense on interest-bearing liabilities, such as deposits and borrowings. Changes in market interest rates, changes in the relationships between short-term and long-term market interest rates, or the yield curve, or changes in the relationships between different interest rate indices can affect the interest rates charged on interest-earning assets differently than the interest rates paid on interest-bearing liabilities. This difference could result in an increase in interest expense relative to interest income, and therefore reduce our net interest income. Further, declines in market interest rates may trigger loan prepayments, which in many cases are within our customers' discretion, and which in turn may serve to reduce our net interest income if we are unable to lend those funds to other borrowers or invest the funds at the same or higher interest rates.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laws and regulations, or changes in them, could limit or restrict our activities and could have an adverse impact in our operations.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regulation and supervision by the Federal Reserve, and our banking subsidiary, Northeast Bank, is subject to regulation and supervision by the FDIC and the Bureau. Federal and state laws and regulations govern numerous matters, including changes in the ownership or control of banks and bank holding companies, maintenance of adequate capital and the financial condition of a financial institution, permissible types, amounts and terms of extensions of credit and investments, permissible non-banking activities, the level of reserves against deposits and restrictions on dividend payments. The Federal Reserve, the FDIC and the Bureau have the power to issue cease and desist orders to prevent or remedy unsafe or unsound practices or violations of law by banks subject to their regulation, and the Federal Reserve possesses similar powers with respect to bank holding companies. These and other restrictions limit the manner in which we and the Bank may conduct business and obtain financing.</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Because our business is highly regulated, the laws, rules, regulations, and supervisory guidance and policies applicable to us are subject to regular modification and change. Such changes may, among other things, increase the cost of doing business, limit permissible activities, or affect the competitive balance between banks and other financial institutions. Failure to comply with laws, regulations, or policies could result in enforcement and other legal actions by federal and state authorities, including criminal and civil penalties, the loss of FDIC insurance, revocation of a banking charter, other sanctions by regulatory agencies, civil money penalties, and/or reputation damage, which could have a material adverse effect on our business, financial condition, and results of operations. See "Supervision and Regulation" in Item 1, "Business."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subject to capital and liquidity standards that require banks and bank holding companies to maintain more and higher quality capital and greater liquidity than has historically been the case.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became subject to new capital requirements in 2015 that will be fully phased-in on January 1, 2019, which will force bank holding companies and their bank subsidiaries to maintain substantially higher levels of capital as a percentage of their assets, with a greater emphasis on common equity as opposed to other components of capital. The need to maintain more and higher quality capital, as well as greater liquidity, and generally increased regulatory scrutiny with respect to capital levels, may at some point limit our business activities, including lending, and our ability to expand. It could also result in our being required to take steps to increase our regulatory capital and may dilute shareholder value or limit our ability to pay dividends or otherwise return capital to our investors through stock repurchases. Pursuant to the Dodd-Frank Act, we were permitted to make a one-time, permanent election to continue to exclude accumulated other comprehensive income from capital. We made this election.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designed to protect consumers, including the Community Reinvestment Act and fair lending laws, and failure to comply with these laws could lead to a wide variety of sanctions.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Community Reinvestment Act, the Equal Credit Opportunity Act, the Fair Housing Act and other fair lending laws and regulations impose community investment and nondiscriminatory lending requirements on financial institutions. The CFPB, the Department of Justice and other federal agencies are responsible for enforcing these laws and regulations. A successful regulatory challenge to an institution’s performance under the Community Reinvestment Act, the Equal Credit Opportunity Act, the Fair Housing Act or other fair lending laws and regulations could result in a wide variety of sanctions, including damages and civil money penalties, injunctive relief, restrictions on mergers and acquisitions, restrictions on expansion and restrictions on entering new business lines. Private parties may also have the ability to challenge an institution’s performance under fair lending laws in private class action litigation. Such actions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fines, penalties and other negative consequences from regulatory violations, possibly even inadvertent or unintentional violations.</w:t>
      </w:r>
    </w:p>
    <w:p>
      <w:pPr>
        <w:spacing w:after="0" w:line="24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maintain systems and procedures designed to ensure that we comply with applicable laws and regulations. However, some legal/regulatory frameworks provide for the imposition of fines or penalties for noncompliance even though the noncompliance was inadvertent or unintentional and even though there was in place at the time systems and procedures designed to ensure compliance. For example, we are subject to regulations issued by the Office of Foreign Assets Control, or "OFAC," that prohibit financial institutions from participating in the transfer of property belonging to the governments of certain foreign countries and designated nationals of those countries and certain other persons or entities whose interest in property is blocked by OFAC-administered sanctions. OFAC may impose penalties for inadvertent or unintentional violations even if reasonable processes are in place to prevent the violations. There may be other negative consequences resulting from a finding of noncompliance, including restrictions on certain activities. Such a finding may also damage our reputation as described below and could restrict the ability of institutional investment managers to invest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FDIC's assessment rates could adversely affect our financial condition and results of operations.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FDIC insures deposits at FDIC-insured depository institutions, such as the Bank, up to applicable limits. As a result of recent economic conditions, the FDIC has decreased deposit insurance assessment rates. If these decreases are insufficient for the deposit insurance fund of the FDIC to meet its funding requirements, there may need to be further special assessments or increases in deposit insurance premiums. We are generally unable to control the amount of premiums that we are required to pay for FDIC insurance. If there is an increase in bank or financial institution failures, we may be required to pay even higher FDIC premiums than the recently increased levels. Any future additional assessments, increases or required prepayments in FDIC insurance premiums may materially adversely affect results of operations, including by reducing our profitability or limiting our ability to pursue certain business opportunities.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can materially impact our financial statements.</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Our accounting policies and methods are fundamental to how we record and report our financial condition and results of operations. From time to time, the Financial Accounting Standards Board or regulatory authorities change the financial accounting and reporting standards that govern the preparation of our financial statements. These changes can be hard to predict and can materially impact how we record and report our financial condition and results of operations. In some cases, we could be required to apply a new or revised standard retroactively, resulting in our restating prior period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and regulations and differences in interpretation of tax laws and regulations may adversely impact our financial statements.</w:t>
      </w:r>
    </w:p>
    <w:p>
      <w:pPr>
        <w:spacing w:after="0" w:line="248"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Local, state or federal tax authorities may interpret tax laws and regulations differently than we do and challenge tax positions that we have taken on tax returns. This may result in differences in the treatment of revenues, deductions, credits and/or differences in the timing of these items. The differences in treatment may result in payment of additional taxes, interest or penalties that could have a material adverse effect on our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has affected and may continue to affect the value of our common stock.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price of our common stock can fluctuate widely in response to a variety of factors. In addition, the trading volume in our common stock may fluctuate and cause significant price variations to occur. We cannot assure you that the market price of our common stock will not fluctuate or decline significantly. Some of the factors that could cause fluctuations or declines in the price of our common stock include, but are not limited to, actual or anticipated variations in reported operating results, recommendations by securities analysts, the level of trading activity in our common stock, new services or delivery systems offered by competitors, business combinations involving our competitors, operating and stock price performance of companies that investors deem to be comparable to the Bank, news reports relating to trends or developments in the credit, mortgage and housing markets as well as the financial services industry, and changes in government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trading volume may not provide adequate liquidity for investors.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voting common stock is listed on the NASDAQ Global Market. The average daily trading volume for Northeast voting common stock is less than the corresponding trading volume for larger financial institutions. Due to this relatively low trading volume, significant sales of Northeast voting common stock, or the expectation of these sales, may place significant downward pressure on the market price of Northeast voting common stock. No assurance can be given that a more active trading market in our common stock will develop in the foreseeable future or can be maintained. There can also be no assurance that the offering will result in a material increase in the "float" for our common stock, which we define as the aggregate market value of our voting common stock held by shareholders who are not affiliates of Northeast, because our affiliates may purchase shares of voting common stock in the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limited market for and restrictions on the transferability of our non-voting common stock.</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non-voting common stock is not and will not be listed on any exchange. Additionally, the non-voting common stock can only be transferred in certain limited circumstances set forth in our articles of incorporation. Accordingly, holders of our non-voting common stock may be required to bear the economic consequences of holding such non-voting common stock for an indefinite period of time.</w:t>
      </w:r>
    </w:p>
    <w:p>
      <w:pPr>
        <w:spacing w:after="0" w:line="18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If we defer payments of interest on our outstanding junior subordinated debt securities or if certain defaults relating to those debt securities or our outstanding subordinated notes occur, we will be prohibited from declaring or paying dividends or distributions on, and from making liquidation payments with respect to, our common stock.</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2018, we had outstanding $16.5 million in aggregate principal amount of junior subordinated debt securities issued in connection with the sale of trust preferred securities by affiliates of ours that are statutory business trusts. We have also guaranteed those trust preferred securities. The indenture under which the junior subordinated debt securities were issued, together with the guarantee, prohibits us, subject to limited exceptions, from declaring or paying any dividends or distributions on, or redeeming, repurchasing, acquiring or making any liquidation payments with respect to, any of our capital stock at any time when (i) there shall have occurred and be continuing an event of default under the indenture; (ii) we are in default with respect to payment of any obligations under the guarantee; or (iii) we have elected to defer payment of interest on the junior subordinated debt securities. In that regard, we are entitled, at our option but subject to certain conditions, to defer payments of interest on the junior subordinated debt securities from time to time for up to five years.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Events of default under the indenture generally consist of our failure to pay interest on the junior subordinated debt securities under certain circumstances, our failure to pay any principal of or premium on such junior subordinated debt securities when due, our failure to comply with certain covenants under the indenture, and certain events of bankruptcy, insolvency or liquidation relating to us.</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a result of these provisions, if we were to elect to defer payments of interest on the junior subordinated debt securities, or if any of the other events described in clause (i) or (ii) of the first paragraph of this risk factor were to occur, we would be prohibited from declaring or paying any dividends on our capital stock, from redeeming, repurchasing or otherwise acquiring any of our capital stock, and from making any payments to holders of our capital stock in the event of our liquidation, which would likely have a material adverse effect on the market value of our common stock.</w:t>
      </w:r>
    </w:p>
    <w:p>
      <w:pPr>
        <w:spacing w:after="0" w:line="17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As of June 30, 2018, we had outstanding $15.05 million in aggregate principal amount of 6.75% fixed-to-floating subordinated notes due in 2026. If we were to be in default with respect to payment of any obligation under the notes, we would be prohibited from declaring or paying any dividends. We would also be prohibited from paying any distributions on, redeeming, purchasing, acquiring, or making a liquidation payment with respect to any of the Company’s capital stock, which would likely have a material adverse effect on the market value of our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subsidiaries for dividends, distributions and other payments.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separate and distinct legal entity from the Bank, and depend on dividends, distributions and other payments from the Bank to fund dividend payments on our common stock and to fund all payments on our other obligations. We and the Bank are subject to laws that authorize regulatory authorities to block or reduce the flow of funds from the Bank to us. The FDIC has the authority to use its enforcement powers to prohibit a bank from paying dividends if, in its opinion, the payment of dividends would constitute an unsafe or unsound practice. Regulatory action of that kind could impede access to the funds that we need in order to make payments on its obligations or dividend payments. In addition, if the Bank does not maintain sufficient capital levels or its earnings are not sufficient to make dividend payments to us, we may not be able to make dividend payments to our common and preferred shareholders. Further, our right to participate in a distribution of assets upon a subsidiary's liquidation or reorganization is subject to the prior claims of the Bank's creditors. Additionally, our ability to pay dividends would be restricted if we do not maintain a capital conservation buffer. A reduction or elimination of dividends could adversely affect the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pay dividends and, if we pay dividends, we cannot guarantee the amount and frequency of such dividends.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continued payment of dividends on shares of our common stock will depend upon our debt and equity structure, earnings and financial condition, need for capital in connection with possible future acquisitions, growth and other factors, including economic conditions, regulatory restrictions, and tax considerations. We cannot guarantee that we will pay dividends or, if we pay dividends, the amount and frequency of these dividends.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shares of common or preferred stock in the future, which could dilute a shareholder's ownership of common stock.</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articles of incorporation authorize our Board of Directors, generally without shareholder approval, to, among other things, issue additional shares of common or preferred stock. The issuance of any additional shares of common or preferred stock could be dilutive to a shareholder's ownership of our common stock. To the extent that we issue options or warrants to purchase common stock in the future and the options or warrants are exercised, our shareholders may experience further dilution. Holders of shares of our common stock have no preemptive rights that entitle holders to purchase their pro rata share of any offering of shares of any class or series and, therefore, shareholders may not be permitted to invest in future issuances of Northeast common or preferred stock. We are required by federal and state regulatory authorities to maintain adequate levels of capital to support our operations. Accordingly, regulatory requirements and/or deterioration in our asset quality may require us to sell common stock to raise capital under circumstances and at prices that result in substantial dilution.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issue debt and equity securities that are senior to our common stock as to distributions and in liquidation, which could negatively affect the value of our common stock.</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future, we may increase our capital resources by entering into debt or debt-like financing or issuing debt or equity securities, which could include issuances of senior notes, subordinated notes, preferred stock or common stock. In the event of our liquidation, our lenders and holders of its debt or preferred securities would receive a distribution of our available assets before distributions to the holders of Northeast common stock. Our decision to incur debt and issue securities in future offerings will depend on market conditions and other factors beyond our control. We cannot predict or estimate the amount, timing or nature of our future offerings and debt financings. Future offerings could reduce the value of shares of our common stock and dilute a shareholder's interest in Northeast.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a deposit account or other obligation of any bank and is not insured by the FDIC or any other 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could negatively impact our shareholders.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Federal law imposes restrictions, including regulatory approval requirements, on persons seeking to acquire control over Northeast. Provisions of Maine law and provisions of our articles of incorporation and by-laws could make it more difficult for a third party to acquire control of us or have the effect of discouraging a third party from attempting to acquire control of us. We have a classified Board of Directors, meaning that approximately one-third of our directors are elected annually. Additionally, our articles of organization authorize our Board of Directors to issue preferred stock without shareholder approval and such preferred stock could be issued as a defensive measure in response to a takeover proposal. Other provisions that could make it more difficult for a third party to acquire us even if an acquisition might be in the best interest of our shareholders include supermajority voting requirements to remove a director from office without cause; restrictions on shareholders calling a special meeting; a requirement that only directors may fill a Board vacancy; and provisions regarding the timing and content of shareholder proposals and nominations.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At June 30, 2018, the Company conducted its business from its headquarters in Lewiston, Maine, an office in Boston, Massachusetts, and an office in Portland, Maine. The Company also conducts business from its ten full-service bank branches. The Company believes that all of its facilities are well maintained and suitable for the purpose for which they are used.</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to its Lewiston, Maine, Boston, Massachusetts and Portland, Maine offices, the Company leases three of its other locations. For information regarding the Company's lease commitments, please refer to "Lease Obligations" under Note 15 of the Notes to the Consolidated Financial Statements in Item 8 of this Annual Report.</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the Company and its subsidiary are subject to certain legal proceedings and claims in the ordinary course of business. Management presently believes that the ultimate outcome of these proceedings, individually and in the aggregate, will not be material to the Company or its consolidated financial position. The Company establishes reserves for specific legal matters when it determines that the likelihood of an unfavorable outcome is probable and the loss is reasonably estimable. Legal proceedings are subject to inherent uncertainties, and unfavorable rulings could occur that could cause the Company to establish litigation reserves or could have, individually or in the aggregate, a material adverse effect on its business, financial condition, or operating results.</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Company's voting common stock currently trades on the NASDAQ under the symbol "NBN." There is no established public trading market for the Company's non-voting common stock. As of the close of business on September 7, 2018, there were approximately 453 registered shareholders of record.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high and low closing sale prices of the Company's voting common stock, as reported on NASDAQ, and quarterly dividends paid on the Company's voting and non-voting common stock during the periods indicated:</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Fiscal year ended June 30, 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0"/>
                <w:szCs w:val="20"/>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Dividend 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Jul 1 – Sep 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Oct 1 – Dec 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29.25</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Apr 1 – Jun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040" w:type="dxa"/>
            <w:vAlign w:val="bottom"/>
            <w:gridSpan w:val="2"/>
          </w:tcPr>
          <w:p>
            <w:pPr>
              <w:spacing w:after="0"/>
              <w:rPr>
                <w:sz w:val="20"/>
                <w:szCs w:val="20"/>
                <w:color w:val="auto"/>
              </w:rPr>
            </w:pPr>
            <w:r>
              <w:rPr>
                <w:rFonts w:ascii="Arial" w:cs="Arial" w:eastAsia="Arial" w:hAnsi="Arial"/>
                <w:sz w:val="18"/>
                <w:szCs w:val="18"/>
                <w:color w:val="auto"/>
              </w:rPr>
              <w:t>Fiscal year ended June 30, 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Dividend 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Jul 1 – Sep 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Oct 1 – Dec 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Jan 1 – Mar 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Apr 1 – Jun 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20.75</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Holders of the Company's voting and non-voting common stock are entitled to receive dividends when and if declared by the Board of Directors out of funds legally available. The amount and timing of future dividends payable on the Company's voting and non-voting common stock will depend on, among other things, the financial condition of the Company, regulatory considerations, and other factors. The Company is a legal entity separate from the Bank, but its revenues are derived primarily from the Bank. Accordingly, the ability of the Company to pay cash dividends on its stock in the future generally will be dependent upon the earnings of the Bank and the Bank's ability to pay dividends to the Company. The payment of dividends by the Bank will depend on a number of factors, including capital requirements, regulatory limitations, the Bank's results of operations and financial condition, tax considerations, and general economic conditions. National banking laws regulate and restrict the ability of the Bank to pay dividends to the Company. See "Item 1. Business— Supervision and Regulation."</w:t>
      </w:r>
    </w:p>
    <w:p>
      <w:pPr>
        <w:spacing w:after="0" w:line="19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October 21, 2016, the Board of Directors voted to amend the existing stock repurchase program to authorize the Company to purchase an additional 500,000 shares of its common stock, representing 5.7% of the Company’s outstanding common shares. Under the existing program, implemented in April 2014, the Company has purchased 1,970,000 shares through October 25, 2016 and no shares remained available for repurchase under the program on that date, prior to the 500,000 share increase in the repurchase plan. The amended stock repurchase program will expire on October 21,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common stock purchases during the fiscal year ended June 30, 2018.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Below is a line graph comparing the yearly percentage change in the cumulative total shareholder return on the Company’s voting common stock, based on the market price of the Company’s voting common stock, with the total return on companies within the NASDAQ Composite Index and companies within the SNL $1B-$5B Bank Index. The calculation of cumulative return assumes a $100 investment in the Company’s common stock, the NASDAQ Composite Index, and the SNL $1B-$5B Bank Index on June 30, 2013. It also assumes that all dividends are reinvested during the relevant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107315</wp:posOffset>
            </wp:positionV>
            <wp:extent cx="5360035" cy="3662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60035"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6/30/2013</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6/30/2014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6/30/2015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6/30/2016</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6/30/2017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6/30/2018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Northeast Bancorp</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SNL Bank $1B - $5B Index</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143.81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following table sets forth our selected financial and operating data on a historical basis. The data set forth below does not purport to be complete. It should be read in conjunction with, and is qualified in its entirety by, the more detailed information, including the Company’s Consolidated Financial Statements and related notes, appearing elsewhere herein.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color w:val="auto"/>
                <w:w w:val="91"/>
              </w:rPr>
              <w:t>As of and for the Twelve Months Ended June 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w w:val="73"/>
              </w:rPr>
              <w:t>per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(Dollars in</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88"/>
              </w:rPr>
              <w:t>thousands, except</w:t>
            </w:r>
          </w:p>
        </w:tc>
        <w:tc>
          <w:tcPr>
            <w:tcW w:w="260" w:type="dxa"/>
            <w:vAlign w:val="bottom"/>
            <w:vMerge w:val="continue"/>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share data)</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Selected operations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and dividend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57,921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47,235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44,588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10,096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7,220</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53,309</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47,825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39,380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1,594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income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7,028</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9,696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Net securities gains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expense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35,730</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35,789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33,812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23,197</w:t>
            </w: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20,138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7,031</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7,779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16,166</w:t>
            </w: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12,359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7,141</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16,166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12,359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7,619</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Consolidated per share data:</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1.39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5"/>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1.39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5"/>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1.38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5"/>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1.38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5"/>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5"/>
              <w:spacing w:after="0" w:line="196" w:lineRule="exact"/>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Book value</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13.90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Selected balance sheet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1,157,736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1,076,874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986,153</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850,718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871,802</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779,195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612,137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954,940</w:t>
            </w: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889,850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800,432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674,759</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Borrowings and capital lease obligations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39,563</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44,504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54,534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138,430</w:t>
            </w:r>
          </w:p>
        </w:tc>
        <w:tc>
          <w:tcPr>
            <w:tcW w:w="1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122,797</w:t>
            </w:r>
          </w:p>
        </w:tc>
        <w:tc>
          <w:tcPr>
            <w:tcW w:w="240" w:type="dxa"/>
            <w:vAlign w:val="bottom"/>
          </w:tcPr>
          <w:p>
            <w:pPr>
              <w:spacing w:after="0"/>
              <w:rPr>
                <w:sz w:val="18"/>
                <w:szCs w:val="18"/>
                <w:color w:val="auto"/>
              </w:rPr>
            </w:pPr>
          </w:p>
        </w:tc>
        <w:tc>
          <w:tcPr>
            <w:tcW w:w="1140" w:type="dxa"/>
            <w:vAlign w:val="bottom"/>
            <w:gridSpan w:val="2"/>
          </w:tcPr>
          <w:p>
            <w:pPr>
              <w:jc w:val="right"/>
              <w:ind w:right="175"/>
              <w:spacing w:after="0"/>
              <w:rPr>
                <w:sz w:val="20"/>
                <w:szCs w:val="20"/>
                <w:color w:val="auto"/>
              </w:rPr>
            </w:pPr>
            <w:r>
              <w:rPr>
                <w:rFonts w:ascii="Arial" w:cs="Arial" w:eastAsia="Arial" w:hAnsi="Arial"/>
                <w:sz w:val="18"/>
                <w:szCs w:val="18"/>
                <w:color w:val="auto"/>
              </w:rPr>
              <w:t>116,591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112,727</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ratios: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assets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Return on average equity</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Efficiency ratio</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59.22%</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62.22%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71.71%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Average equity to average total assets</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11.52%</w:t>
            </w:r>
          </w:p>
        </w:tc>
        <w:tc>
          <w:tcPr>
            <w:tcW w:w="240" w:type="dxa"/>
            <w:vAlign w:val="bottom"/>
          </w:tcPr>
          <w:p>
            <w:pPr>
              <w:spacing w:after="0"/>
              <w:rPr>
                <w:sz w:val="18"/>
                <w:szCs w:val="18"/>
                <w:color w:val="auto"/>
              </w:rPr>
            </w:pP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12.71%</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dividend payout ratio</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Tier 1 leverage capital ratio</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18"/>
                <w:szCs w:val="18"/>
                <w:color w:val="auto"/>
              </w:rPr>
            </w:pP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13.27%</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 ratio</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20.39%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Northeast Bancorp is a Maine corporation and a bank holding company registered with the Federal Reserve under the Bank Holding Company Act of 1956. The Company also is a registered Maine financial institution holding company, and is subject to regulation by both the Bureau and the Federal Reserve. The Company's principal asset is the capital stock of Northeast Bank, a Maine state-chartered universal bank, which is regulated by the FDIC and the Bureau. The Company's results of operations are primarily dependent on the results of the operations of the Bank.</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Management's Discussion and Analysis of Financial Condition and Results of Operations, which follows, presents a review of the consolidated operating results of the Company for the fiscal year ended June 30, 2018 ("fiscal 2018") and the fiscal year ended June 30, 2017 ("fiscal 2017"). This discussion and analysis is intended to assist you in understanding the results of our operations and financial condition. You should read this discussion together with your review of the Company's Consolidated Financial Statements and related notes and other statistical information included in this report. Certain amounts in the periods prior to fiscal 2018 have been reclassified to conform to the fiscal 2018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December 29, 2010, the Merger of the Company and FHB Formation LLC, a Delaware limited liability company ("FHB"), was consummated. In connection with the transaction, as part of the regulatory approval process the Company made certain commitments to the Federal Reserve, the most significant of which are, (i) maintain a Tier 1 leverage ratio of at least 10%, (ii) maintain a total capital ratio of at least 15%, (iii) limit purchased loans to 40% of total loans, (iv) fund 100% of the Company's loans with core deposits (defined as non-maturity deposits and non-brokered insured time deposits), and (v) hold commercial real estate loans (including owner-occupied commercial real estate) to within 300% of total capital.</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28, 2013, the Federal Reserve approved the amendment of the commitment to hold commercial real estate loans to within 300% of total capital to exclude owner-occupied commercial real estate loans. All other commitments made to the Federal Reserve in connection with the Merger remain unchanged. The Company and the Bank are currently in compliance with all commitments to the Federal Reserve.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The Company's compliance ratios at June 30, 2018 are as follows: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4"/>
                <w:szCs w:val="24"/>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Ratio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(ii) Total capital ratio</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purposes of calculating this ratio, commercial real estate includes all non-owner occupied commercial real estate loans defined as such by</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regulatory  guidance, including all land development and construction loans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Financial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and strategic highlights for fiscal 2018 include the following:</w:t>
      </w:r>
    </w:p>
    <w:p>
      <w:pPr>
        <w:spacing w:after="0" w:line="225" w:lineRule="exact"/>
        <w:rPr>
          <w:sz w:val="20"/>
          <w:szCs w:val="20"/>
          <w:color w:val="auto"/>
        </w:rPr>
      </w:pPr>
    </w:p>
    <w:p>
      <w:pPr>
        <w:ind w:left="660" w:right="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Earned net income of $16.2 million, or $1.77 per diluted common share, compared to $12.3 million, or $1.38 per diluted common share, for the year ended June 30,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Generated loans of $460.4 million, growing the portfolio on a net basis by $92.6 million, or 11.9%.</w:t>
      </w:r>
    </w:p>
    <w:p>
      <w:pPr>
        <w:spacing w:after="0" w:line="225"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LASG purchased loans totaling $124.1 million and originated loans totaling $224.5 million, earning average portfolio yields of 11.4% and 6.8%, respectively. The purchased loan yield of 11.4% includes regularly scheduled interest and accretion, and accelerated accretion and fees recognized on loan payoffs. The Company also monitors the "total return" on its purchased loan portfolio, a measure that includes gains on asset sales, gains on real estate owned, as well as interest, scheduled accretion and accelerated accretion and fees. On this basis, the purchased loan portfolio earned a total return of 11.7% for fiscal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gridSpan w:val="5"/>
          </w:tcPr>
          <w:p>
            <w:pPr>
              <w:ind w:left="640"/>
              <w:spacing w:after="0"/>
              <w:rPr>
                <w:sz w:val="20"/>
                <w:szCs w:val="20"/>
                <w:color w:val="auto"/>
              </w:rPr>
            </w:pPr>
            <w:r>
              <w:rPr>
                <w:rFonts w:ascii="Arial" w:cs="Arial" w:eastAsia="Arial" w:hAnsi="Arial"/>
                <w:sz w:val="18"/>
                <w:szCs w:val="18"/>
                <w:color w:val="auto"/>
              </w:rPr>
              <w:t>An overview of the LASG portfolio follows: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0"/>
              </w:rPr>
              <w:t>Years Ended June 30,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2018</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7"/>
              </w:rPr>
              <w:t>Secured Loans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7"/>
              </w:rPr>
              <w:t>Secured Loans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Purchased</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Originated</w:t>
            </w:r>
          </w:p>
        </w:tc>
        <w:tc>
          <w:tcPr>
            <w:tcW w:w="520" w:type="dxa"/>
            <w:vAlign w:val="bottom"/>
          </w:tcPr>
          <w:p>
            <w:pPr>
              <w:spacing w:after="0"/>
              <w:rPr>
                <w:sz w:val="18"/>
                <w:szCs w:val="18"/>
                <w:color w:val="auto"/>
              </w:rPr>
            </w:pPr>
          </w:p>
        </w:tc>
        <w:tc>
          <w:tcPr>
            <w:tcW w:w="980" w:type="dxa"/>
            <w:vAlign w:val="bottom"/>
          </w:tcPr>
          <w:p>
            <w:pPr>
              <w:jc w:val="center"/>
              <w:ind w:right="550"/>
              <w:spacing w:after="0"/>
              <w:rPr>
                <w:sz w:val="20"/>
                <w:szCs w:val="20"/>
                <w:color w:val="auto"/>
              </w:rPr>
            </w:pPr>
            <w:r>
              <w:rPr>
                <w:rFonts w:ascii="Arial" w:cs="Arial" w:eastAsia="Arial" w:hAnsi="Arial"/>
                <w:sz w:val="18"/>
                <w:szCs w:val="18"/>
                <w:color w:val="auto"/>
                <w:w w:val="92"/>
              </w:rPr>
              <w:t>to</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Purchased</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Originated</w:t>
            </w:r>
          </w:p>
        </w:tc>
        <w:tc>
          <w:tcPr>
            <w:tcW w:w="520" w:type="dxa"/>
            <w:vAlign w:val="bottom"/>
          </w:tcPr>
          <w:p>
            <w:pPr>
              <w:spacing w:after="0"/>
              <w:rPr>
                <w:sz w:val="18"/>
                <w:szCs w:val="18"/>
                <w:color w:val="auto"/>
              </w:rPr>
            </w:pPr>
          </w:p>
        </w:tc>
        <w:tc>
          <w:tcPr>
            <w:tcW w:w="980" w:type="dxa"/>
            <w:vAlign w:val="bottom"/>
          </w:tcPr>
          <w:p>
            <w:pPr>
              <w:jc w:val="center"/>
              <w:ind w:right="550"/>
              <w:spacing w:after="0"/>
              <w:rPr>
                <w:sz w:val="20"/>
                <w:szCs w:val="20"/>
                <w:color w:val="auto"/>
              </w:rPr>
            </w:pPr>
            <w:r>
              <w:rPr>
                <w:rFonts w:ascii="Arial" w:cs="Arial" w:eastAsia="Arial" w:hAnsi="Arial"/>
                <w:sz w:val="18"/>
                <w:szCs w:val="18"/>
                <w:color w:val="auto"/>
                <w:w w:val="92"/>
              </w:rPr>
              <w:t>to</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0"/>
              </w:rPr>
              <w:t>Broker-Dealers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0"/>
              </w:rPr>
              <w:t>Broker-Dealers</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vMerge w:val="continue"/>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w w:val="74"/>
              </w:rPr>
              <w:t>thousands)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originated during the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160"/>
              <w:spacing w:after="0" w:line="201" w:lineRule="exact"/>
              <w:rPr>
                <w:sz w:val="20"/>
                <w:szCs w:val="20"/>
                <w:color w:val="auto"/>
              </w:rPr>
            </w:pPr>
            <w:r>
              <w:rPr>
                <w:rFonts w:ascii="Arial" w:cs="Arial" w:eastAsia="Arial" w:hAnsi="Arial"/>
                <w:sz w:val="18"/>
                <w:szCs w:val="18"/>
                <w:color w:val="auto"/>
              </w:rPr>
              <w:t>Unpaid principal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137,249</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224,546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361,795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126,713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237,691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364,404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124,111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224,546</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348,657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112,807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237,691</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350,498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Loan returns during the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Yield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Total Return (1)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loans as of period</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end:</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160"/>
              <w:spacing w:after="0" w:line="201" w:lineRule="exact"/>
              <w:rPr>
                <w:sz w:val="20"/>
                <w:szCs w:val="20"/>
                <w:color w:val="auto"/>
              </w:rPr>
            </w:pPr>
            <w:r>
              <w:rPr>
                <w:rFonts w:ascii="Arial" w:cs="Arial" w:eastAsia="Arial" w:hAnsi="Arial"/>
                <w:sz w:val="18"/>
                <w:szCs w:val="18"/>
                <w:color w:val="auto"/>
              </w:rPr>
              <w:t>Unpaid principal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326,855</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397,363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724,218</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279,854</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330,515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290,972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397,363</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688,335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246,388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330,515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576,903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140" w:right="20" w:hanging="322"/>
        <w:spacing w:after="0" w:line="286" w:lineRule="auto"/>
        <w:tabs>
          <w:tab w:leader="none" w:pos="11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on an annualized basis. The total return does not include the effect of purchased loan charge-offs or recoveries in the year.</w:t>
      </w:r>
    </w:p>
    <w:p>
      <w:pPr>
        <w:spacing w:after="0" w:line="165" w:lineRule="exact"/>
        <w:rPr>
          <w:rFonts w:ascii="Arial" w:cs="Arial" w:eastAsia="Arial" w:hAnsi="Arial"/>
          <w:sz w:val="17"/>
          <w:szCs w:val="17"/>
          <w:color w:val="auto"/>
        </w:rPr>
      </w:pPr>
    </w:p>
    <w:p>
      <w:pPr>
        <w:ind w:left="820" w:right="340" w:hanging="488"/>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the Company's deposit base by $65.1 million, primarily the result of growth in non-maturity accounts of $50.0 million, or 9.0%, and growth in time deposits of $15.1 million, or 4.5%.</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Originated $45.1 million in SBA guaranteed loans through June 30, 2018, and sold $29.2 million of loans, for a gain on sale of $3.0 million.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the year ended June 30, 2018 increased by $3.9 million to $16.2 million, compared to $12.3 million for the year ended June 30,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Items of significance affecting the Company's earnings included:</w:t>
      </w:r>
    </w:p>
    <w:p>
      <w:pPr>
        <w:spacing w:after="0" w:line="225" w:lineRule="exact"/>
        <w:rPr>
          <w:sz w:val="20"/>
          <w:szCs w:val="20"/>
          <w:color w:val="auto"/>
        </w:rPr>
      </w:pPr>
    </w:p>
    <w:p>
      <w:pPr>
        <w:ind w:left="820" w:right="40" w:hanging="488"/>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net interest and dividend income before provision for loan losses, which grew to $53.3 million as compared to $47.8 million for the year ended June 30, 2017. The increase was primarily due to higher average balances in the LASG originated portfolio, partially offset by higher rates paid on deposits and higher average balances in the deposit portfolio.</w:t>
      </w:r>
    </w:p>
    <w:p>
      <w:pPr>
        <w:spacing w:after="0" w:line="18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following table summarizes interest income and related yields recognized on the Company's loans: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rPr>
              <w:t>Years Ended 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rPr>
              <w:t>Interest</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rPr>
              <w:t>Average</w:t>
            </w:r>
          </w:p>
        </w:tc>
        <w:tc>
          <w:tcPr>
            <w:tcW w:w="140" w:type="dxa"/>
            <w:vAlign w:val="bottom"/>
          </w:tcPr>
          <w:p>
            <w:pPr>
              <w:spacing w:after="0"/>
              <w:rPr>
                <w:sz w:val="16"/>
                <w:szCs w:val="16"/>
                <w:color w:val="auto"/>
              </w:rPr>
            </w:pPr>
          </w:p>
        </w:tc>
        <w:tc>
          <w:tcPr>
            <w:tcW w:w="11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Interest</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Balance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Income</w:t>
            </w:r>
          </w:p>
        </w:tc>
        <w:tc>
          <w:tcPr>
            <w:tcW w:w="1280" w:type="dxa"/>
            <w:vAlign w:val="bottom"/>
            <w:gridSpan w:val="2"/>
          </w:tcPr>
          <w:p>
            <w:pPr>
              <w:jc w:val="right"/>
              <w:ind w:right="470"/>
              <w:spacing w:after="0"/>
              <w:rPr>
                <w:sz w:val="20"/>
                <w:szCs w:val="20"/>
                <w:color w:val="auto"/>
              </w:rPr>
            </w:pPr>
            <w:r>
              <w:rPr>
                <w:rFonts w:ascii="Arial" w:cs="Arial" w:eastAsia="Arial" w:hAnsi="Arial"/>
                <w:sz w:val="18"/>
                <w:szCs w:val="18"/>
                <w:color w:val="auto"/>
              </w:rPr>
              <w:t>Yield</w:t>
            </w: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Balance (1)</w:t>
            </w: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 (2)</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99"/>
              </w:rPr>
              <w:t>in</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6,871</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3,888</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42,946</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23,834</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239,796</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14,883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27,553</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236,937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2"/>
        </w:trPr>
        <w:tc>
          <w:tcPr>
            <w:tcW w:w="246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31,085</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256</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60" w:type="dxa"/>
            <w:vAlign w:val="bottom"/>
          </w:tcPr>
          <w:p>
            <w:pPr>
              <w:ind w:left="160"/>
              <w:spacing w:after="0"/>
              <w:rPr>
                <w:sz w:val="20"/>
                <w:szCs w:val="20"/>
                <w:color w:val="auto"/>
              </w:rPr>
            </w:pPr>
            <w:r>
              <w:rPr>
                <w:rFonts w:ascii="Arial" w:cs="Arial" w:eastAsia="Arial" w:hAnsi="Arial"/>
                <w:sz w:val="18"/>
                <w:szCs w:val="18"/>
                <w:color w:val="auto"/>
              </w:rPr>
              <w:t>Dealers</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51,387</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507,818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44,136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785,348</w:t>
            </w:r>
          </w:p>
        </w:tc>
        <w:tc>
          <w:tcPr>
            <w:tcW w:w="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62,146</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741,468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55,857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Includes loans held for sale.</w:t>
      </w:r>
    </w:p>
    <w:p>
      <w:pPr>
        <w:sectPr>
          <w:pgSz w:w="11900" w:h="16838" w:orient="portrait"/>
          <w:cols w:equalWidth="0" w:num="1">
            <w:col w:w="11420"/>
          </w:cols>
          <w:pgMar w:left="240" w:top="118" w:right="239" w:bottom="8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11"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The yield on purchased loans is affected by unscheduled loan payoffs, which result in immediate recognition of the prepaid loans’ discount in interest income. The following table details the “total return” on purchased loans, which includes total transactional income of $9.7 million for the year ended June 30, 2018, a decrease of $439 thousand from the year ended June 30, 2017. The following table summarizes the total return recognized on the purchased loan portfolio:</w:t>
      </w:r>
    </w:p>
    <w:p>
      <w:pPr>
        <w:spacing w:after="0" w:line="18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color w:val="auto"/>
              </w:rPr>
              <w:t>Years Ended 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2018</w:t>
            </w:r>
          </w:p>
        </w:tc>
        <w:tc>
          <w:tcPr>
            <w:tcW w:w="10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8"/>
                <w:szCs w:val="18"/>
                <w:color w:val="auto"/>
              </w:rPr>
              <w:t>Income</w:t>
            </w:r>
          </w:p>
        </w:tc>
        <w:tc>
          <w:tcPr>
            <w:tcW w:w="1080" w:type="dxa"/>
            <w:vAlign w:val="bottom"/>
          </w:tcPr>
          <w:p>
            <w:pPr>
              <w:ind w:left="80"/>
              <w:spacing w:after="0"/>
              <w:rPr>
                <w:sz w:val="20"/>
                <w:szCs w:val="20"/>
                <w:color w:val="auto"/>
              </w:rPr>
            </w:pPr>
            <w:r>
              <w:rPr>
                <w:rFonts w:ascii="Arial" w:cs="Arial" w:eastAsia="Arial" w:hAnsi="Arial"/>
                <w:sz w:val="18"/>
                <w:szCs w:val="18"/>
                <w:color w:val="auto"/>
              </w:rPr>
              <w:t>Return (1)</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71"/>
              </w:rPr>
              <w:t>in</w:t>
            </w:r>
          </w:p>
        </w:tc>
        <w:tc>
          <w:tcPr>
            <w:tcW w:w="22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(Dollars</w:t>
            </w:r>
          </w:p>
        </w:tc>
        <w:tc>
          <w:tcPr>
            <w:tcW w:w="260" w:type="dxa"/>
            <w:vAlign w:val="bottom"/>
            <w:vMerge w:val="continue"/>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18,975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10,022</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29,133</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140" w:right="40" w:hanging="322"/>
        <w:spacing w:after="0" w:line="31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The total return does not include the effect of purchased loan charge-offs or recoveries. Total return is considered a non-GAAP financial measure.</w:t>
      </w:r>
    </w:p>
    <w:p>
      <w:pPr>
        <w:spacing w:after="0" w:line="146" w:lineRule="exact"/>
        <w:rPr>
          <w:rFonts w:ascii="Arial" w:cs="Arial" w:eastAsia="Arial" w:hAnsi="Arial"/>
          <w:sz w:val="16"/>
          <w:szCs w:val="16"/>
          <w:color w:val="auto"/>
        </w:rPr>
      </w:pPr>
    </w:p>
    <w:p>
      <w:pPr>
        <w:ind w:left="820" w:right="60" w:hanging="488"/>
        <w:spacing w:after="0" w:line="273"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decrease of $2.7 million in noninterest income, principally resulting from a decrease of $2.3 million in gains realized on the sale of SBA loans. The year ended June 30, 2018 includes gains realized on the sale of SBA loans of $3.0 million. Additionally, there was a decrease in gain on sale of residential loans held for sale of $521 thousand, and a decrease in other noninterest income of $135 thousand, due to an increased loss recognized on real estate owned and other repossessed collateral. These increases were offset by an increase in gain on the sale of other loans of $553 thousand, due to the sale of four LASG purchased loans for a total gain of $918 thousand, as compared to the sale of a Community Banking Division commercial loan portfolio for a total gain of $365 thousand in fiscal 2017.</w:t>
      </w:r>
    </w:p>
    <w:p>
      <w:pPr>
        <w:spacing w:after="0" w:line="178" w:lineRule="exact"/>
        <w:rPr>
          <w:rFonts w:ascii="Arial" w:cs="Arial" w:eastAsia="Arial" w:hAnsi="Arial"/>
          <w:sz w:val="17"/>
          <w:szCs w:val="17"/>
          <w:color w:val="auto"/>
        </w:rPr>
      </w:pPr>
    </w:p>
    <w:p>
      <w:pPr>
        <w:ind w:left="820" w:right="180" w:hanging="488"/>
        <w:spacing w:after="0" w:line="302"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decrease of $59 thousand in noninterest expense, principally due to a decrease of $417 thousand in occupancy and equipment expense, due to decreased computer equipment repairs and maintenance expense and computer and software depreciation expense, and a decrease of $380 thousand in loan acquisition and collection expense, due to lower loan workout expenses. These decreases were offset by an increase of $703 thousand in data processing fees, primarily due to the increased cost associated with the outsourcing of data processing.</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balance sheets, average yields and costs, and certain other information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color w:val="auto"/>
                <w:w w:val="86"/>
              </w:rPr>
              <w:t>Years Ended June 30,</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Interest</w:t>
            </w:r>
          </w:p>
        </w:tc>
        <w:tc>
          <w:tcPr>
            <w:tcW w:w="76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6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Interest</w:t>
            </w: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Income/</w:t>
            </w:r>
          </w:p>
        </w:tc>
        <w:tc>
          <w:tcPr>
            <w:tcW w:w="96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Yield/</w:t>
            </w: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Income/</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Expense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Expense</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Balance</w:t>
            </w:r>
          </w:p>
        </w:tc>
        <w:tc>
          <w:tcPr>
            <w:tcW w:w="20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Expense</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8"/>
          </w:tcPr>
          <w:p>
            <w:pPr>
              <w:jc w:val="right"/>
              <w:ind w:right="94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100,503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Loans (1) (2) (3)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785,348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62,156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741,468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55,928</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664,902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45,921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FHLBB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171,360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133,599</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91,563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1,051,110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65,903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972,863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57,992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859,928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47,307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non-interest earning</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31,550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32,394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35,607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1,085,549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1,008,090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899,131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Liabilities &amp; Shareholders'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70,486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70,912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407,680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37,514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36,438</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36,062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311,544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8"/>
              </w:rPr>
              <w:t>Total interest-bearing deposits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827,224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9,897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755,962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7,357</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666,446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6,027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FHLBB advances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16,947</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24,334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32,432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interest-bearing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868,688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804,756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710,516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8"/>
              </w:rPr>
              <w:t>Non-interest bearing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Demand deposits and escrow</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accounts</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79,767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79,560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67,041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955,927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891,915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784,809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129,622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116,175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114,322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Total liabilities and</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7"/>
              </w:rPr>
              <w:t>1,085,549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7"/>
              </w:rPr>
              <w:t>1,008,090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89"/>
              </w:rPr>
              <w:t>899,131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gridSpan w:val="2"/>
          </w:tcPr>
          <w:p>
            <w:pPr>
              <w:spacing w:after="0" w:line="190" w:lineRule="exact"/>
              <w:rPr>
                <w:sz w:val="20"/>
                <w:szCs w:val="20"/>
                <w:color w:val="auto"/>
              </w:rPr>
            </w:pPr>
            <w:r>
              <w:rPr>
                <w:rFonts w:ascii="Arial" w:cs="Arial" w:eastAsia="Arial" w:hAnsi="Arial"/>
                <w:sz w:val="18"/>
                <w:szCs w:val="18"/>
                <w:color w:val="auto"/>
              </w:rPr>
              <w:t>shareholders' equity</w:t>
            </w: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Net interest income (5)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53,319</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47,896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39,452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Interest rate spread (5)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Short-term investments include FHLBB and FRB overnight deposits and other interest-bearing deposits.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tax-exempt interest income of $10 thousand, $71 thousand, and $72 thousand for the years ended June 30, 2018, 2017, and 2016, respectively.</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tables present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8"/>
                <w:szCs w:val="18"/>
                <w:color w:val="auto"/>
                <w:w w:val="87"/>
              </w:rPr>
              <w:t>Year Ended June 30, 2018</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60" w:type="dxa"/>
            <w:vAlign w:val="bottom"/>
          </w:tcPr>
          <w:p>
            <w:pPr>
              <w:spacing w:after="0"/>
              <w:rPr>
                <w:sz w:val="20"/>
                <w:szCs w:val="20"/>
                <w:color w:val="auto"/>
              </w:rPr>
            </w:pPr>
          </w:p>
        </w:tc>
        <w:tc>
          <w:tcPr>
            <w:tcW w:w="5080" w:type="dxa"/>
            <w:vAlign w:val="bottom"/>
            <w:gridSpan w:val="10"/>
          </w:tcPr>
          <w:p>
            <w:pPr>
              <w:jc w:val="center"/>
              <w:ind w:right="100"/>
              <w:spacing w:after="0"/>
              <w:rPr>
                <w:sz w:val="20"/>
                <w:szCs w:val="20"/>
                <w:color w:val="auto"/>
              </w:rPr>
            </w:pPr>
            <w:r>
              <w:rPr>
                <w:rFonts w:ascii="Arial" w:cs="Arial" w:eastAsia="Arial" w:hAnsi="Arial"/>
                <w:sz w:val="18"/>
                <w:szCs w:val="18"/>
                <w:color w:val="auto"/>
                <w:w w:val="88"/>
              </w:rPr>
              <w:t>Compared to the Year Ended June 30, 2017</w:t>
            </w:r>
          </w:p>
        </w:tc>
      </w:tr>
      <w:tr>
        <w:trPr>
          <w:trHeight w:val="195"/>
        </w:trPr>
        <w:tc>
          <w:tcPr>
            <w:tcW w:w="5760" w:type="dxa"/>
            <w:vAlign w:val="bottom"/>
          </w:tcPr>
          <w:p>
            <w:pPr>
              <w:spacing w:after="0"/>
              <w:rPr>
                <w:sz w:val="16"/>
                <w:szCs w:val="16"/>
                <w:color w:val="auto"/>
              </w:rPr>
            </w:pPr>
          </w:p>
        </w:tc>
        <w:tc>
          <w:tcPr>
            <w:tcW w:w="1640" w:type="dxa"/>
            <w:vAlign w:val="bottom"/>
            <w:tcBorders>
              <w:top w:val="single" w:sz="8" w:color="auto"/>
            </w:tcBorders>
            <w:gridSpan w:val="3"/>
          </w:tcPr>
          <w:p>
            <w:pPr>
              <w:jc w:val="center"/>
              <w:ind w:right="30"/>
              <w:spacing w:after="0" w:line="195" w:lineRule="exact"/>
              <w:rPr>
                <w:sz w:val="20"/>
                <w:szCs w:val="20"/>
                <w:color w:val="auto"/>
              </w:rPr>
            </w:pPr>
            <w:r>
              <w:rPr>
                <w:rFonts w:ascii="Arial" w:cs="Arial" w:eastAsia="Arial" w:hAnsi="Arial"/>
                <w:sz w:val="18"/>
                <w:szCs w:val="18"/>
                <w:color w:val="auto"/>
                <w:w w:val="89"/>
              </w:rPr>
              <w:t>Change Due to</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760" w:type="dxa"/>
            <w:vAlign w:val="bottom"/>
          </w:tcPr>
          <w:p>
            <w:pPr>
              <w:spacing w:after="0"/>
              <w:rPr>
                <w:sz w:val="20"/>
                <w:szCs w:val="20"/>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color w:val="auto"/>
                <w:w w:val="91"/>
              </w:rPr>
              <w:t>Volume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5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6"/>
              </w:rPr>
              <w:t>(Dollars in thousands)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6,228</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FHLBB stock</w:t>
            </w:r>
          </w:p>
        </w:tc>
        <w:tc>
          <w:tcPr>
            <w:tcW w:w="10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r>
      <w:tr>
        <w:trPr>
          <w:trHeight w:val="20"/>
        </w:trPr>
        <w:tc>
          <w:tcPr>
            <w:tcW w:w="57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increase in interest income</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3,680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4,231</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7,911</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Subordinated debt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57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increase in interest expense</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r>
      <w:tr>
        <w:trPr>
          <w:trHeight w:val="20"/>
        </w:trPr>
        <w:tc>
          <w:tcPr>
            <w:tcW w:w="5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interest and dividend income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3,199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8"/>
        </w:trPr>
        <w:tc>
          <w:tcPr>
            <w:tcW w:w="5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8"/>
                <w:szCs w:val="18"/>
                <w:color w:val="auto"/>
                <w:w w:val="87"/>
              </w:rPr>
              <w:t>Year Ended June 30, 2017</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760" w:type="dxa"/>
            <w:vAlign w:val="bottom"/>
          </w:tcPr>
          <w:p>
            <w:pPr>
              <w:spacing w:after="0"/>
              <w:rPr>
                <w:sz w:val="20"/>
                <w:szCs w:val="20"/>
                <w:color w:val="auto"/>
              </w:rPr>
            </w:pPr>
          </w:p>
        </w:tc>
        <w:tc>
          <w:tcPr>
            <w:tcW w:w="5080" w:type="dxa"/>
            <w:vAlign w:val="bottom"/>
            <w:gridSpan w:val="10"/>
          </w:tcPr>
          <w:p>
            <w:pPr>
              <w:jc w:val="center"/>
              <w:ind w:right="100"/>
              <w:spacing w:after="0"/>
              <w:rPr>
                <w:sz w:val="20"/>
                <w:szCs w:val="20"/>
                <w:color w:val="auto"/>
              </w:rPr>
            </w:pPr>
            <w:r>
              <w:rPr>
                <w:rFonts w:ascii="Arial" w:cs="Arial" w:eastAsia="Arial" w:hAnsi="Arial"/>
                <w:sz w:val="18"/>
                <w:szCs w:val="18"/>
                <w:color w:val="auto"/>
                <w:w w:val="88"/>
              </w:rPr>
              <w:t>Compared to the Year Ended June 30, 2016</w:t>
            </w:r>
          </w:p>
        </w:tc>
      </w:tr>
      <w:tr>
        <w:trPr>
          <w:trHeight w:val="195"/>
        </w:trPr>
        <w:tc>
          <w:tcPr>
            <w:tcW w:w="5760" w:type="dxa"/>
            <w:vAlign w:val="bottom"/>
          </w:tcPr>
          <w:p>
            <w:pPr>
              <w:spacing w:after="0"/>
              <w:rPr>
                <w:sz w:val="16"/>
                <w:szCs w:val="16"/>
                <w:color w:val="auto"/>
              </w:rPr>
            </w:pPr>
          </w:p>
        </w:tc>
        <w:tc>
          <w:tcPr>
            <w:tcW w:w="1640" w:type="dxa"/>
            <w:vAlign w:val="bottom"/>
            <w:tcBorders>
              <w:top w:val="single" w:sz="8" w:color="auto"/>
            </w:tcBorders>
            <w:gridSpan w:val="3"/>
          </w:tcPr>
          <w:p>
            <w:pPr>
              <w:jc w:val="center"/>
              <w:ind w:right="30"/>
              <w:spacing w:after="0" w:line="195" w:lineRule="exact"/>
              <w:rPr>
                <w:sz w:val="20"/>
                <w:szCs w:val="20"/>
                <w:color w:val="auto"/>
              </w:rPr>
            </w:pPr>
            <w:r>
              <w:rPr>
                <w:rFonts w:ascii="Arial" w:cs="Arial" w:eastAsia="Arial" w:hAnsi="Arial"/>
                <w:sz w:val="18"/>
                <w:szCs w:val="18"/>
                <w:color w:val="auto"/>
                <w:w w:val="89"/>
              </w:rPr>
              <w:t>Change Due to</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760" w:type="dxa"/>
            <w:vAlign w:val="bottom"/>
          </w:tcPr>
          <w:p>
            <w:pPr>
              <w:spacing w:after="0"/>
              <w:rPr>
                <w:sz w:val="20"/>
                <w:szCs w:val="20"/>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color w:val="auto"/>
                <w:w w:val="91"/>
              </w:rPr>
              <w:t>Volume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5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6"/>
              </w:rPr>
              <w:t>(Dollars in thousands)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10,007</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FHLBB stock</w:t>
            </w:r>
          </w:p>
        </w:tc>
        <w:tc>
          <w:tcPr>
            <w:tcW w:w="10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r>
      <w:tr>
        <w:trPr>
          <w:trHeight w:val="20"/>
        </w:trPr>
        <w:tc>
          <w:tcPr>
            <w:tcW w:w="57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increase in interest income</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10,685</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FHLBB advances</w:t>
            </w:r>
          </w:p>
        </w:tc>
        <w:tc>
          <w:tcPr>
            <w:tcW w:w="10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Capital lease obligations</w:t>
            </w:r>
          </w:p>
        </w:tc>
        <w:tc>
          <w:tcPr>
            <w:tcW w:w="10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
        </w:trPr>
        <w:tc>
          <w:tcPr>
            <w:tcW w:w="5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increase in interest expense</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r>
      <w:tr>
        <w:trPr>
          <w:trHeight w:val="20"/>
        </w:trPr>
        <w:tc>
          <w:tcPr>
            <w:tcW w:w="57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340"/>
              <w:spacing w:after="0"/>
              <w:rPr>
                <w:sz w:val="20"/>
                <w:szCs w:val="20"/>
                <w:color w:val="auto"/>
              </w:rPr>
            </w:pPr>
            <w:r>
              <w:rPr>
                <w:rFonts w:ascii="Arial" w:cs="Arial" w:eastAsia="Arial" w:hAnsi="Arial"/>
                <w:sz w:val="18"/>
                <w:szCs w:val="18"/>
                <w:color w:val="auto"/>
              </w:rPr>
              <w:t>Total increase in net interest and dividend income</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4,390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8,444</w:t>
            </w:r>
          </w:p>
        </w:tc>
      </w:tr>
      <w:tr>
        <w:trPr>
          <w:trHeight w:val="20"/>
        </w:trPr>
        <w:tc>
          <w:tcPr>
            <w:tcW w:w="5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year ended June 30, 2018, the $3.2 million volume-related change in net interest income was mainly the result of the significant increase in loans, which grew by $43.9 million on average compared to fiscal 2017. The rate-related change in fiscal 2018 compared to fiscal 2017 was principally due to the increase in yields on the originated loan portfolios. For fiscal 2018, the net interest margin earned of 5.07% was 15 basis points higher than that earned for fiscal 2017, primarily due to higher average balances and rates in the LASG originated portfolio, partially offset by higher rates paid on deposits and higher average balances in the deposit portfolio.</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total cost of funds increased to 1.33% in fiscal 2018, from 1.14% in fiscal 2017, due to higher rates paid on deposits and higher volume in the deposit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Quarterly, the Company determines the amount of its allowance for loan losses adequate to provide for losses inherent in the Company's loan portfolios, with the provision for loan losses determined by the net periodic change in the allowance for loan losses. For acquired loans accounted for under ASC 310-30, </w:t>
      </w:r>
      <w:r>
        <w:rPr>
          <w:rFonts w:ascii="Arial" w:cs="Arial" w:eastAsia="Arial" w:hAnsi="Arial"/>
          <w:sz w:val="18"/>
          <w:szCs w:val="18"/>
          <w:i w:val="1"/>
          <w:iCs w:val="1"/>
          <w:color w:val="auto"/>
        </w:rPr>
        <w:t xml:space="preserve">Receivables—Loans and Debt Securities Acquired with Deteriorated Credit Quality </w:t>
      </w:r>
      <w:r>
        <w:rPr>
          <w:rFonts w:ascii="Arial" w:cs="Arial" w:eastAsia="Arial" w:hAnsi="Arial"/>
          <w:sz w:val="18"/>
          <w:szCs w:val="18"/>
          <w:color w:val="auto"/>
        </w:rPr>
        <w:t>("ASC 310-30"), a provision for loan loss is recorded when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decrease due to credit deterioration.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 for loan losses has been recorded based on estimates of inherent losses in newly originated loans and for incremental reserves required for pre-merger loans based on estimates of deteriorated credit quality post-merger.</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provision for loan losses for the fiscal year ended June 30, 2018 was $1.4 million, a decrease from the provision for loan losses of $1.6 million for the year ended June 30, 2017. At June 30, 2018 and 2017, the allowance for loan losses was $4.8 million and $3.7 million, respectively, and the ratio of allowance for loan losses to total loans was 0.55% and 0.47%, respectively.</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charge-offs for fiscal 2018 totaled $268 thousand, representing approximately 0.03% of the Company's average portfolio loan balance during the fiscal year. This compares to $279 thousand, or 0.04%, in fiscal 2017, representing a decrease of $11 thousand in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allowance for loan losses, see "Asset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Noninterest income for fiscal 2018 totaled $7.0 million, a decrease of $2.7 million, or 27.5%, from fiscal 2017. When compared to fiscal 2017, the decrease was principally due to the following:</w:t>
      </w:r>
    </w:p>
    <w:p>
      <w:pPr>
        <w:spacing w:after="0" w:line="170" w:lineRule="exact"/>
        <w:rPr>
          <w:sz w:val="20"/>
          <w:szCs w:val="20"/>
          <w:color w:val="auto"/>
        </w:rPr>
      </w:pPr>
    </w:p>
    <w:p>
      <w:pPr>
        <w:ind w:left="660" w:right="20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$2.3 million in gains realized on the sale of SBA loans. Fiscal 2018 includes gains realized on the sale of SBA loans of $3.0 million, compared to a $5.3 million gain on the sale of SBA loans in fiscal 2017;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gain on the sale of residential loans held for sale of $521 thousand.</w:t>
      </w:r>
    </w:p>
    <w:p>
      <w:pPr>
        <w:spacing w:after="0" w:line="9" w:lineRule="exact"/>
        <w:rPr>
          <w:rFonts w:ascii="Arial" w:cs="Arial" w:eastAsia="Arial" w:hAnsi="Arial"/>
          <w:sz w:val="18"/>
          <w:szCs w:val="18"/>
          <w:color w:val="auto"/>
        </w:rPr>
      </w:pPr>
    </w:p>
    <w:p>
      <w:pPr>
        <w:ind w:left="660" w:right="3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decreases in noninterest income were partially offset by an increase in gain on the sale of other loans of $553 thousand. Fiscal 2018 includes gains realized on the sale of four LASG purchased loans of $918 thousand, compared to a $365 thousand gain on sale of a Community Banking Division commercial loan portfolio in the year ended June 30,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Noninterest expense for fiscal 2018 totaled $35.7 million, a decrease of $59 thousand, or 0.2%, from fiscal 2017. When compared to fiscal 2017, the decrease was principally due to the following:</w:t>
      </w:r>
    </w:p>
    <w:p>
      <w:pPr>
        <w:spacing w:after="0" w:line="170" w:lineRule="exact"/>
        <w:rPr>
          <w:sz w:val="20"/>
          <w:szCs w:val="20"/>
          <w:color w:val="auto"/>
        </w:rPr>
      </w:pPr>
    </w:p>
    <w:p>
      <w:pPr>
        <w:ind w:left="660" w:right="3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$417 thousand in occupancy and equipment expense, due to decreased computer equipment repairs and maintenance expense, and computer and software depreciation expense;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$380 thousand in loan acquisition and collection expense, due to lower loan workout expenses.</w:t>
      </w:r>
    </w:p>
    <w:p>
      <w:pPr>
        <w:spacing w:after="0" w:line="9"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decreases in noninterest expense were partially offset by an increase of $703 thousand in data processing fees, primarily due to the increased cost associated with the outsourcing of data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Income tax expense for fiscal 2018 totaled $7.0 million, representing 30.3% of pretax income, as compared to $7.8 million, or 38.7% of pretax income, in fiscal 2017. The decrease in the Company's effective tax rate was principally due to the change in the federal corporate income tax rate as a result of the Tax Cuts and Jobs Act signed into law on December 22, 2017, along with benefits resulting from the Company’s adoption of ASU 2016-09,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Employee Share-Based Payment Accounting</w:t>
      </w:r>
      <w:r>
        <w:rPr>
          <w:rFonts w:ascii="Arial" w:cs="Arial" w:eastAsia="Arial" w:hAnsi="Arial"/>
          <w:sz w:val="18"/>
          <w:szCs w:val="18"/>
          <w:color w:val="auto"/>
        </w:rPr>
        <w:t>, arising from the exercise of stock options and vesting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total assets grew to $1.2 billion at June 30, 2018, representing an increase of $80.9 million, or 7.5%, compared to $1.1 billion at June 30, 2017. Significant changes in the Company's balance sheet components include:</w:t>
      </w:r>
    </w:p>
    <w:p>
      <w:pPr>
        <w:spacing w:after="0" w:line="170" w:lineRule="exact"/>
        <w:rPr>
          <w:sz w:val="20"/>
          <w:szCs w:val="20"/>
          <w:color w:val="auto"/>
        </w:rPr>
      </w:pPr>
    </w:p>
    <w:p>
      <w:pPr>
        <w:ind w:left="660" w:right="4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loan portfolio, excluding loans held for sale, increased by $92.6 million, or 11.9%, compared to June 30, 2017. The increase was principally due to $348.7 million of LASG originations and purchases, $3.4 million of Community Bank originations and $45.1 million of SBA originations. The increase in loan volume was partially offset by SBA loan sales of $29.2 million, as well as purchased and originated loan runoff in the portfolio.</w:t>
      </w:r>
    </w:p>
    <w:p>
      <w:pPr>
        <w:spacing w:after="0" w:line="146"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increased by $65.1 million, or 7.3%, from June 30, 2017 due to growth in non-maturity accounts of $50.0 million, or 9.0%, and growth in time deposits of $15.1 million, or 4.5%; and</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Shareholders’ equity increased by $15.6 million from June 30, 2017, primarily due to earnings of $16.2 million. Additionally, there was stock-based compensation of $870 thousand, an increase in accumulated other comprehensive loss of $129 thousand and $355 thousand in dividends paid on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and cash equivalents decreased $5.9 million, or 3.6%, to $157.4 million at June 30, 2018, as compared to $163.3 million at June 30, 2017. This decrease was principally the result of net loan growth, including loans held for sale, of $95.1 million, offset by net deposit growth of $65.1 million and a net decrease in available-for-sale securities of $9.0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available-for-sale securities portfolio totaled $87.7 million and $96.7 million at June 30, 2018 and 2017, respectively. The Company's investment portfolio was comprised primarily of U.S. Government-sponsored enterprise bonds and mortgage-backed securities guaranteed by government agencies. The composition of the Company's securities portfolio at the dates indicated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gridSpan w:val="5"/>
          </w:tcPr>
          <w:p>
            <w:pPr>
              <w:ind w:left="380"/>
              <w:spacing w:after="0"/>
              <w:rPr>
                <w:sz w:val="20"/>
                <w:szCs w:val="20"/>
                <w:color w:val="auto"/>
              </w:rPr>
            </w:pPr>
            <w:r>
              <w:rPr>
                <w:rFonts w:ascii="Arial" w:cs="Arial" w:eastAsia="Arial" w:hAnsi="Arial"/>
                <w:sz w:val="18"/>
                <w:szCs w:val="18"/>
                <w:color w:val="auto"/>
              </w:rPr>
              <w:t>June 30, 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5"/>
          </w:tcPr>
          <w:p>
            <w:pPr>
              <w:ind w:left="600"/>
              <w:spacing w:after="0"/>
              <w:rPr>
                <w:sz w:val="20"/>
                <w:szCs w:val="20"/>
                <w:color w:val="auto"/>
              </w:rPr>
            </w:pPr>
            <w:r>
              <w:rPr>
                <w:rFonts w:ascii="Arial" w:cs="Arial" w:eastAsia="Arial" w:hAnsi="Arial"/>
                <w:sz w:val="18"/>
                <w:szCs w:val="18"/>
                <w:color w:val="auto"/>
              </w:rPr>
              <w:t>June 30, 2017</w:t>
            </w:r>
          </w:p>
        </w:tc>
        <w:tc>
          <w:tcPr>
            <w:tcW w:w="140" w:type="dxa"/>
            <w:vAlign w:val="bottom"/>
          </w:tcPr>
          <w:p>
            <w:pPr>
              <w:spacing w:after="0"/>
              <w:rPr>
                <w:sz w:val="20"/>
                <w:szCs w:val="20"/>
                <w:color w:val="auto"/>
              </w:rPr>
            </w:pPr>
          </w:p>
        </w:tc>
        <w:tc>
          <w:tcPr>
            <w:tcW w:w="2400" w:type="dxa"/>
            <w:vAlign w:val="bottom"/>
            <w:gridSpan w:val="5"/>
          </w:tcPr>
          <w:p>
            <w:pPr>
              <w:ind w:left="580"/>
              <w:spacing w:after="0"/>
              <w:rPr>
                <w:sz w:val="20"/>
                <w:szCs w:val="20"/>
                <w:color w:val="auto"/>
              </w:rPr>
            </w:pPr>
            <w:r>
              <w:rPr>
                <w:rFonts w:ascii="Arial" w:cs="Arial" w:eastAsia="Arial" w:hAnsi="Arial"/>
                <w:sz w:val="18"/>
                <w:szCs w:val="18"/>
                <w:color w:val="auto"/>
              </w:rPr>
              <w:t>June 30,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80"/>
              <w:spacing w:after="0" w:line="195" w:lineRule="exact"/>
              <w:rPr>
                <w:sz w:val="20"/>
                <w:szCs w:val="20"/>
                <w:color w:val="auto"/>
              </w:rPr>
            </w:pPr>
            <w:r>
              <w:rPr>
                <w:rFonts w:ascii="Arial" w:cs="Arial" w:eastAsia="Arial" w:hAnsi="Arial"/>
                <w:sz w:val="18"/>
                <w:szCs w:val="18"/>
                <w:color w:val="auto"/>
                <w:w w:val="98"/>
              </w:rPr>
              <w:t>Amortized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w w:val="98"/>
              </w:rPr>
              <w:t>Amortized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Amortized Cost</w:t>
            </w: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0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agency</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Agency mortgage-backed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25,276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33,523</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32,903</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43,330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Other investments measured at</w:t>
            </w:r>
          </w:p>
        </w:tc>
        <w:tc>
          <w:tcPr>
            <w:tcW w:w="3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6,717</w:t>
            </w: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6,622</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5,097</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3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360" w:type="dxa"/>
            <w:vAlign w:val="bottom"/>
          </w:tcPr>
          <w:p>
            <w:pPr>
              <w:spacing w:after="0" w:line="195" w:lineRule="exact"/>
              <w:rPr>
                <w:sz w:val="20"/>
                <w:szCs w:val="20"/>
                <w:color w:val="auto"/>
              </w:rPr>
            </w:pPr>
            <w:r>
              <w:rPr>
                <w:rFonts w:ascii="Arial" w:cs="Arial" w:eastAsia="Arial" w:hAnsi="Arial"/>
                <w:sz w:val="18"/>
                <w:szCs w:val="18"/>
                <w:color w:val="auto"/>
              </w:rPr>
              <w:t>Total available-for-sale</w:t>
            </w:r>
          </w:p>
        </w:tc>
        <w:tc>
          <w:tcPr>
            <w:tcW w:w="380" w:type="dxa"/>
            <w:vAlign w:val="bottom"/>
            <w:vMerge w:val="restart"/>
          </w:tcPr>
          <w:p>
            <w:pPr>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89,271</w:t>
            </w:r>
          </w:p>
        </w:tc>
        <w:tc>
          <w:tcPr>
            <w:tcW w:w="2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87,687</w:t>
            </w:r>
          </w:p>
        </w:tc>
        <w:tc>
          <w:tcPr>
            <w:tcW w:w="100" w:type="dxa"/>
            <w:vAlign w:val="bottom"/>
            <w:vMerge w:val="restart"/>
          </w:tcPr>
          <w:p>
            <w:pPr>
              <w:spacing w:after="0"/>
              <w:rPr>
                <w:sz w:val="16"/>
                <w:szCs w:val="16"/>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97,641</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96,693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100,375</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100,572</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line="190" w:lineRule="exact"/>
              <w:rPr>
                <w:sz w:val="20"/>
                <w:szCs w:val="20"/>
                <w:color w:val="auto"/>
              </w:rPr>
            </w:pPr>
            <w:r>
              <w:rPr>
                <w:rFonts w:ascii="Arial" w:cs="Arial" w:eastAsia="Arial" w:hAnsi="Arial"/>
                <w:sz w:val="18"/>
                <w:szCs w:val="18"/>
                <w:color w:val="auto"/>
              </w:rPr>
              <w:t>securities</w:t>
            </w:r>
          </w:p>
        </w:tc>
        <w:tc>
          <w:tcPr>
            <w:tcW w:w="3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table below sets forth certain information regarding the contractual maturities and weighted average yields of the Company’s debt securities portfolio at June 30, 2018. Actual maturities of mortgage-backed securities will differ from contractual maturities due both to scheduled amortization and prepayments.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right"/>
              <w:ind w:right="420"/>
              <w:spacing w:after="0"/>
              <w:rPr>
                <w:sz w:val="20"/>
                <w:szCs w:val="20"/>
                <w:color w:val="auto"/>
              </w:rPr>
            </w:pPr>
            <w:r>
              <w:rPr>
                <w:rFonts w:ascii="Arial" w:cs="Arial" w:eastAsia="Arial" w:hAnsi="Arial"/>
                <w:sz w:val="18"/>
                <w:szCs w:val="18"/>
                <w:color w:val="auto"/>
                <w:w w:val="94"/>
              </w:rPr>
              <w:t>After One Year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8"/>
                <w:szCs w:val="18"/>
                <w:color w:val="auto"/>
                <w:w w:val="94"/>
              </w:rPr>
              <w:t>After Five Years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8"/>
                <w:szCs w:val="18"/>
                <w:color w:val="auto"/>
                <w:w w:val="93"/>
              </w:rPr>
              <w:t>Within One Year</w:t>
            </w:r>
          </w:p>
        </w:tc>
        <w:tc>
          <w:tcPr>
            <w:tcW w:w="1740" w:type="dxa"/>
            <w:vAlign w:val="bottom"/>
            <w:gridSpan w:val="5"/>
          </w:tcPr>
          <w:p>
            <w:pPr>
              <w:ind w:left="60"/>
              <w:spacing w:after="0"/>
              <w:rPr>
                <w:sz w:val="20"/>
                <w:szCs w:val="20"/>
                <w:color w:val="auto"/>
              </w:rPr>
            </w:pPr>
            <w:r>
              <w:rPr>
                <w:rFonts w:ascii="Arial" w:cs="Arial" w:eastAsia="Arial" w:hAnsi="Arial"/>
                <w:sz w:val="18"/>
                <w:szCs w:val="18"/>
                <w:color w:val="auto"/>
              </w:rPr>
              <w:t>Through Five Years</w:t>
            </w:r>
          </w:p>
        </w:tc>
        <w:tc>
          <w:tcPr>
            <w:tcW w:w="80" w:type="dxa"/>
            <w:vAlign w:val="bottom"/>
          </w:tcPr>
          <w:p>
            <w:pPr>
              <w:spacing w:after="0"/>
              <w:rPr>
                <w:sz w:val="20"/>
                <w:szCs w:val="20"/>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8"/>
                <w:szCs w:val="18"/>
                <w:color w:val="auto"/>
                <w:w w:val="92"/>
              </w:rPr>
              <w:t>Through Ten Years</w:t>
            </w:r>
          </w:p>
        </w:tc>
        <w:tc>
          <w:tcPr>
            <w:tcW w:w="160" w:type="dxa"/>
            <w:vAlign w:val="bottom"/>
          </w:tcPr>
          <w:p>
            <w:pPr>
              <w:spacing w:after="0"/>
              <w:rPr>
                <w:sz w:val="20"/>
                <w:szCs w:val="20"/>
                <w:color w:val="auto"/>
              </w:rPr>
            </w:pPr>
          </w:p>
        </w:tc>
        <w:tc>
          <w:tcPr>
            <w:tcW w:w="166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After Ten Years</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Yield</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Fair Value</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(Dollars in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5"/>
              </w:rPr>
              <w:t>thousands)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agency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32,887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23,999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56,886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Agency mortgage-backed</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7"/>
                <w:szCs w:val="17"/>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9,101</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15,080</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8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7"/>
                <w:szCs w:val="1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24,181</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available-for-sale</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32,887</w:t>
            </w:r>
          </w:p>
        </w:tc>
        <w:tc>
          <w:tcPr>
            <w:tcW w:w="220" w:type="dxa"/>
            <w:vAlign w:val="bottom"/>
            <w:vMerge w:val="restart"/>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33,100</w:t>
            </w: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2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15,080</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81,067</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securities</w:t>
            </w: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other investments measured at net asset value have no scheduled maturity date. However, the Company’s investments can be redeemed quarterly and daily at the closing net asset value.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reviews the portfolio of investments on an ongoing basis to determine if there have been any other-than-temporary declines in value. No other-than-temporary impairment expense was recognized during fiscal 2018 or fiscal 2017.</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Loans, including loans held for sale, totaled $879.0 million at June 30, 2018, compared to $783.9 million at June 30, 2017 and $700.0 million at June 30, 2016. The increase of $95.1 million, or 12.1%, at June 30, 2018 was principally due to net increases of $81.4 million in commercial real estate loans, $13.2 million in commercial and industrial loans, and $2.5 million in loans held for sale, offset by a net decrease of $912 thousand in residential real estate loans and $1.1 million in consumer loans. During fiscal 2018, the LASG originated $224.5 million in loans and the LASG purchased $124.1 million in loans, consisting principally of commercial real estate loans.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(excluding loans held for sale) at the dates indicated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June 30, 2018</w:t>
            </w: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June 30, 2017</w:t>
            </w: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June 30, 2016</w:t>
            </w: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June 30, 2015</w:t>
            </w:r>
          </w:p>
        </w:tc>
        <w:tc>
          <w:tcPr>
            <w:tcW w:w="1760" w:type="dxa"/>
            <w:vAlign w:val="bottom"/>
            <w:gridSpan w:val="4"/>
          </w:tcPr>
          <w:p>
            <w:pPr>
              <w:jc w:val="right"/>
              <w:ind w:right="46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Percent</w:t>
            </w:r>
          </w:p>
        </w:tc>
        <w:tc>
          <w:tcPr>
            <w:tcW w:w="2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Percent</w:t>
            </w:r>
          </w:p>
        </w:tc>
        <w:tc>
          <w:tcPr>
            <w:tcW w:w="2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Percent</w:t>
            </w:r>
          </w:p>
        </w:tc>
        <w:tc>
          <w:tcPr>
            <w:tcW w:w="2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Percent</w:t>
            </w:r>
          </w:p>
        </w:tc>
        <w:tc>
          <w:tcPr>
            <w:tcW w:w="2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6"/>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260" w:type="dxa"/>
            <w:vAlign w:val="bottom"/>
          </w:tcPr>
          <w:p>
            <w:pPr>
              <w:spacing w:after="0"/>
              <w:rPr>
                <w:sz w:val="20"/>
                <w:szCs w:val="20"/>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of 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w w:val="90"/>
              </w:rPr>
              <w:t>(Dollars in thousands)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$ 100,256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$ 101,168</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$ 113,962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$ 132,669</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$ 148,634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579,450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66.47%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498,004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63.91%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426,568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61.60%</w:t>
            </w:r>
          </w:p>
        </w:tc>
        <w:tc>
          <w:tcPr>
            <w:tcW w:w="700" w:type="dxa"/>
            <w:vAlign w:val="bottom"/>
          </w:tcPr>
          <w:p>
            <w:pPr>
              <w:jc w:val="right"/>
              <w:spacing w:after="0"/>
              <w:rPr>
                <w:sz w:val="20"/>
                <w:szCs w:val="20"/>
                <w:color w:val="auto"/>
              </w:rPr>
            </w:pPr>
            <w:r>
              <w:rPr>
                <w:rFonts w:ascii="Arial" w:cs="Arial" w:eastAsia="Arial" w:hAnsi="Arial"/>
                <w:sz w:val="18"/>
                <w:szCs w:val="18"/>
                <w:color w:val="auto"/>
              </w:rPr>
              <w:t>348,676</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56.96%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316,098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188,852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175,654</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145,956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123,133</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Consumer and other</w:t>
            </w:r>
          </w:p>
        </w:tc>
        <w:tc>
          <w:tcPr>
            <w:tcW w:w="720" w:type="dxa"/>
            <w:vAlign w:val="bottom"/>
          </w:tcPr>
          <w:p>
            <w:pPr>
              <w:jc w:val="right"/>
              <w:spacing w:after="0"/>
              <w:rPr>
                <w:sz w:val="20"/>
                <w:szCs w:val="20"/>
                <w:color w:val="auto"/>
              </w:rPr>
            </w:pPr>
            <w:r>
              <w:rPr>
                <w:rFonts w:ascii="Arial" w:cs="Arial" w:eastAsia="Arial" w:hAnsi="Arial"/>
                <w:sz w:val="18"/>
                <w:szCs w:val="18"/>
                <w:color w:val="auto"/>
              </w:rPr>
              <w:t>3,244</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4,369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0.86%</w:t>
            </w:r>
          </w:p>
        </w:tc>
        <w:tc>
          <w:tcPr>
            <w:tcW w:w="700" w:type="dxa"/>
            <w:vAlign w:val="bottom"/>
          </w:tcPr>
          <w:p>
            <w:pPr>
              <w:jc w:val="right"/>
              <w:spacing w:after="0"/>
              <w:rPr>
                <w:sz w:val="20"/>
                <w:szCs w:val="20"/>
                <w:color w:val="auto"/>
              </w:rPr>
            </w:pPr>
            <w:r>
              <w:rPr>
                <w:rFonts w:ascii="Arial" w:cs="Arial" w:eastAsia="Arial" w:hAnsi="Arial"/>
                <w:sz w:val="18"/>
                <w:szCs w:val="18"/>
                <w:color w:val="auto"/>
              </w:rPr>
              <w:t>7,659</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9,884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871,802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779,195</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692,436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516,416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Less: Allowance for loan</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4,807</w:t>
            </w:r>
          </w:p>
        </w:tc>
        <w:tc>
          <w:tcPr>
            <w:tcW w:w="200" w:type="dxa"/>
            <w:vAlign w:val="bottom"/>
            <w:vMerge w:val="restart"/>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3,665</w:t>
            </w:r>
          </w:p>
        </w:tc>
        <w:tc>
          <w:tcPr>
            <w:tcW w:w="2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2,350</w:t>
            </w:r>
          </w:p>
        </w:tc>
        <w:tc>
          <w:tcPr>
            <w:tcW w:w="220" w:type="dxa"/>
            <w:vAlign w:val="bottom"/>
            <w:vMerge w:val="restart"/>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1,926</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1,367</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Arial" w:cs="Arial" w:eastAsia="Arial" w:hAnsi="Arial"/>
                <w:sz w:val="18"/>
                <w:szCs w:val="18"/>
                <w:color w:val="auto"/>
              </w:rPr>
              <w:t>losses</w:t>
            </w:r>
          </w:p>
        </w:tc>
        <w:tc>
          <w:tcPr>
            <w:tcW w:w="7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$ 866,995</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$ 775,530</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$ 690,086</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$ 610,211</w:t>
            </w:r>
          </w:p>
        </w:tc>
        <w:tc>
          <w:tcPr>
            <w:tcW w:w="6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$ 515,049</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 for 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June 30, 2018</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4"/>
              </w:rPr>
              <w:t>Community</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310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Banking Division</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SBA Division</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78"/>
              </w:rPr>
              <w:t>(Dollars 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68,634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75,873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140" w:type="dxa"/>
            <w:vAlign w:val="bottom"/>
          </w:tcPr>
          <w:p>
            <w:pPr>
              <w:spacing w:after="0"/>
              <w:rPr>
                <w:sz w:val="18"/>
                <w:szCs w:val="18"/>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18,698</w:t>
            </w:r>
          </w:p>
        </w:tc>
        <w:tc>
          <w:tcPr>
            <w:tcW w:w="24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137,463</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29,488</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185,649</w:t>
            </w: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1140" w:type="dxa"/>
            <w:vAlign w:val="bottom"/>
          </w:tcPr>
          <w:p>
            <w:pPr>
              <w:spacing w:after="0"/>
              <w:rPr>
                <w:sz w:val="20"/>
                <w:szCs w:val="20"/>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81,916</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24,483</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117,750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w:t>
            </w:r>
          </w:p>
        </w:tc>
        <w:tc>
          <w:tcPr>
            <w:tcW w:w="1140" w:type="dxa"/>
            <w:vAlign w:val="bottom"/>
          </w:tcPr>
          <w:p>
            <w:pPr>
              <w:spacing w:after="0"/>
              <w:rPr>
                <w:sz w:val="20"/>
                <w:szCs w:val="20"/>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10,927</w:t>
            </w:r>
          </w:p>
        </w:tc>
        <w:tc>
          <w:tcPr>
            <w:tcW w:w="2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170,873</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6,057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187,857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21.55%</w:t>
            </w: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140" w:type="dxa"/>
            <w:vAlign w:val="bottom"/>
          </w:tcPr>
          <w:p>
            <w:pPr>
              <w:spacing w:after="0"/>
              <w:rPr>
                <w:sz w:val="18"/>
                <w:szCs w:val="18"/>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123,311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397,363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60,156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580,830</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66.62%</w:t>
            </w:r>
          </w:p>
        </w:tc>
        <w:tc>
          <w:tcPr>
            <w:tcW w:w="1140" w:type="dxa"/>
            <w:vAlign w:val="bottom"/>
          </w:tcPr>
          <w:p>
            <w:pPr>
              <w:spacing w:after="0"/>
              <w:rPr>
                <w:sz w:val="18"/>
                <w:szCs w:val="18"/>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13,926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1140" w:type="dxa"/>
            <w:vAlign w:val="bottom"/>
          </w:tcPr>
          <w:p>
            <w:pPr>
              <w:spacing w:after="0"/>
              <w:rPr>
                <w:sz w:val="18"/>
                <w:szCs w:val="18"/>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150,805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150,805</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w:t>
            </w:r>
          </w:p>
        </w:tc>
        <w:tc>
          <w:tcPr>
            <w:tcW w:w="1140" w:type="dxa"/>
            <w:vAlign w:val="bottom"/>
          </w:tcPr>
          <w:p>
            <w:pPr>
              <w:spacing w:after="0"/>
              <w:rPr>
                <w:sz w:val="20"/>
                <w:szCs w:val="20"/>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125,246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125,246</w:t>
            </w: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14.37%</w:t>
            </w:r>
          </w:p>
        </w:tc>
        <w:tc>
          <w:tcPr>
            <w:tcW w:w="1140" w:type="dxa"/>
            <w:vAlign w:val="bottom"/>
          </w:tcPr>
          <w:p>
            <w:pPr>
              <w:spacing w:after="0"/>
              <w:rPr>
                <w:sz w:val="20"/>
                <w:szCs w:val="20"/>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1140" w:type="dxa"/>
            <w:vAlign w:val="bottom"/>
          </w:tcPr>
          <w:p>
            <w:pPr>
              <w:spacing w:after="0"/>
              <w:rPr>
                <w:sz w:val="18"/>
                <w:szCs w:val="18"/>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290,972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290,972</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33.38%</w:t>
            </w:r>
          </w:p>
        </w:tc>
        <w:tc>
          <w:tcPr>
            <w:tcW w:w="114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688,335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871,802</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140" w:type="dxa"/>
            <w:vAlign w:val="bottom"/>
          </w:tcPr>
          <w:p>
            <w:pPr>
              <w:spacing w:after="0"/>
              <w:rPr>
                <w:sz w:val="21"/>
                <w:szCs w:val="21"/>
                <w:color w:val="auto"/>
              </w:rPr>
            </w:pPr>
          </w:p>
        </w:tc>
      </w:tr>
      <w:tr>
        <w:trPr>
          <w:trHeight w:val="413"/>
        </w:trPr>
        <w:tc>
          <w:tcPr>
            <w:tcW w:w="3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June 30, 2017</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4"/>
              </w:rPr>
              <w:t>Community</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3100" w:type="dxa"/>
            <w:vAlign w:val="bottom"/>
          </w:tcPr>
          <w:p>
            <w:pPr>
              <w:spacing w:after="0"/>
              <w:rPr>
                <w:sz w:val="20"/>
                <w:szCs w:val="20"/>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Banking Division</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SBA Division</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78"/>
              </w:rPr>
              <w:t>(Dollars 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81,538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83,759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1140" w:type="dxa"/>
            <w:vAlign w:val="bottom"/>
          </w:tcPr>
          <w:p>
            <w:pPr>
              <w:spacing w:after="0"/>
              <w:rPr>
                <w:sz w:val="18"/>
                <w:szCs w:val="18"/>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23,638</w:t>
            </w:r>
          </w:p>
        </w:tc>
        <w:tc>
          <w:tcPr>
            <w:tcW w:w="24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90,154</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23,720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137,512</w:t>
            </w: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17.65%</w:t>
            </w:r>
          </w:p>
        </w:tc>
        <w:tc>
          <w:tcPr>
            <w:tcW w:w="1140" w:type="dxa"/>
            <w:vAlign w:val="bottom"/>
          </w:tcPr>
          <w:p>
            <w:pPr>
              <w:spacing w:after="0"/>
              <w:rPr>
                <w:sz w:val="20"/>
                <w:szCs w:val="20"/>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13,502</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83,446</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21,820</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118,768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1140" w:type="dxa"/>
            <w:vAlign w:val="bottom"/>
          </w:tcPr>
          <w:p>
            <w:pPr>
              <w:spacing w:after="0"/>
              <w:rPr>
                <w:sz w:val="20"/>
                <w:szCs w:val="20"/>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12,349</w:t>
            </w:r>
          </w:p>
        </w:tc>
        <w:tc>
          <w:tcPr>
            <w:tcW w:w="2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154,823</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7,296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174,468</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22.39%</w:t>
            </w: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1140" w:type="dxa"/>
            <w:vAlign w:val="bottom"/>
          </w:tcPr>
          <w:p>
            <w:pPr>
              <w:spacing w:after="0"/>
              <w:rPr>
                <w:sz w:val="18"/>
                <w:szCs w:val="18"/>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149,327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330,515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52,965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532,807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68.38%</w:t>
            </w:r>
          </w:p>
        </w:tc>
        <w:tc>
          <w:tcPr>
            <w:tcW w:w="1140" w:type="dxa"/>
            <w:vAlign w:val="bottom"/>
          </w:tcPr>
          <w:p>
            <w:pPr>
              <w:spacing w:after="0"/>
              <w:rPr>
                <w:sz w:val="18"/>
                <w:szCs w:val="18"/>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3,478</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1140" w:type="dxa"/>
            <w:vAlign w:val="bottom"/>
          </w:tcPr>
          <w:p>
            <w:pPr>
              <w:spacing w:after="0"/>
              <w:rPr>
                <w:sz w:val="18"/>
                <w:szCs w:val="18"/>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134,970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134,970</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1140" w:type="dxa"/>
            <w:vAlign w:val="bottom"/>
          </w:tcPr>
          <w:p>
            <w:pPr>
              <w:spacing w:after="0"/>
              <w:rPr>
                <w:sz w:val="20"/>
                <w:szCs w:val="20"/>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106,754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106,754</w:t>
            </w: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1140" w:type="dxa"/>
            <w:vAlign w:val="bottom"/>
          </w:tcPr>
          <w:p>
            <w:pPr>
              <w:spacing w:after="0"/>
              <w:rPr>
                <w:sz w:val="20"/>
                <w:szCs w:val="20"/>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140" w:type="dxa"/>
            <w:vAlign w:val="bottom"/>
          </w:tcPr>
          <w:p>
            <w:pPr>
              <w:spacing w:after="0"/>
              <w:rPr>
                <w:sz w:val="18"/>
                <w:szCs w:val="18"/>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246,388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246,388</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31.62%</w:t>
            </w:r>
          </w:p>
        </w:tc>
        <w:tc>
          <w:tcPr>
            <w:tcW w:w="114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149,327</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576,903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52,965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140" w:type="dxa"/>
            <w:vAlign w:val="bottom"/>
          </w:tcPr>
          <w:p>
            <w:pPr>
              <w:spacing w:after="0"/>
              <w:rPr>
                <w:sz w:val="21"/>
                <w:szCs w:val="21"/>
                <w:color w:val="auto"/>
              </w:rPr>
            </w:pPr>
          </w:p>
        </w:tc>
      </w:tr>
      <w:tr>
        <w:trPr>
          <w:trHeight w:val="629"/>
        </w:trPr>
        <w:tc>
          <w:tcPr>
            <w:tcW w:w="3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2"/>
              </w:rPr>
              <w:t>June 30, 2016</w:t>
            </w: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95"/>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4"/>
              </w:rPr>
              <w:t>Community</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Banking</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8"/>
              </w:rPr>
              <w:t>Division</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SBA Division</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78"/>
              </w:rPr>
              <w:t>(Dollars 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93,258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93,391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13.49%</w:t>
            </w: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1140" w:type="dxa"/>
            <w:vAlign w:val="bottom"/>
          </w:tcPr>
          <w:p>
            <w:pPr>
              <w:spacing w:after="0"/>
              <w:rPr>
                <w:sz w:val="18"/>
                <w:szCs w:val="18"/>
                <w:color w:val="auto"/>
              </w:rPr>
            </w:pPr>
          </w:p>
        </w:tc>
      </w:tr>
      <w:tr>
        <w:trPr>
          <w:trHeight w:val="202"/>
        </w:trPr>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49,514</w:t>
            </w:r>
          </w:p>
        </w:tc>
        <w:tc>
          <w:tcPr>
            <w:tcW w:w="240" w:type="dxa"/>
            <w:vAlign w:val="bottom"/>
          </w:tcPr>
          <w:p>
            <w:pPr>
              <w:spacing w:after="0"/>
              <w:rPr>
                <w:sz w:val="20"/>
                <w:szCs w:val="20"/>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52,744</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5,639</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107,897</w:t>
            </w: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1140" w:type="dxa"/>
            <w:vAlign w:val="bottom"/>
          </w:tcPr>
          <w:p>
            <w:pPr>
              <w:spacing w:after="0"/>
              <w:rPr>
                <w:sz w:val="20"/>
                <w:szCs w:val="20"/>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Commercial real estate: owner occupied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20,578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46,727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14,414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81,719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1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16,069</w:t>
            </w:r>
          </w:p>
        </w:tc>
        <w:tc>
          <w:tcPr>
            <w:tcW w:w="2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123,447</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6,242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145,758</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21.05%</w:t>
            </w: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1140" w:type="dxa"/>
            <w:vAlign w:val="bottom"/>
          </w:tcPr>
          <w:p>
            <w:pPr>
              <w:spacing w:after="0"/>
              <w:rPr>
                <w:sz w:val="18"/>
                <w:szCs w:val="18"/>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203,381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222,918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26,428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452,727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65.38%</w:t>
            </w:r>
          </w:p>
        </w:tc>
        <w:tc>
          <w:tcPr>
            <w:tcW w:w="1140" w:type="dxa"/>
            <w:vAlign w:val="bottom"/>
          </w:tcPr>
          <w:p>
            <w:pPr>
              <w:spacing w:after="0"/>
              <w:rPr>
                <w:sz w:val="18"/>
                <w:szCs w:val="18"/>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2,559</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1140" w:type="dxa"/>
            <w:vAlign w:val="bottom"/>
          </w:tcPr>
          <w:p>
            <w:pPr>
              <w:spacing w:after="0"/>
              <w:rPr>
                <w:sz w:val="18"/>
                <w:szCs w:val="18"/>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non-owner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142,286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142,286</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1140" w:type="dxa"/>
            <w:vAlign w:val="bottom"/>
          </w:tcPr>
          <w:p>
            <w:pPr>
              <w:spacing w:after="0"/>
              <w:rPr>
                <w:sz w:val="20"/>
                <w:szCs w:val="20"/>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0"/>
              </w:rPr>
              <w:t>Commercial real estate: owner occupied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94,666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94,666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114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140" w:type="dxa"/>
            <w:vAlign w:val="bottom"/>
          </w:tcPr>
          <w:p>
            <w:pPr>
              <w:spacing w:after="0"/>
              <w:rPr>
                <w:sz w:val="18"/>
                <w:szCs w:val="18"/>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239,709</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c>
          <w:tcPr>
            <w:tcW w:w="114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462,627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692,436</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140" w:type="dxa"/>
            <w:vAlign w:val="bottom"/>
          </w:tcPr>
          <w:p>
            <w:pPr>
              <w:spacing w:after="0"/>
              <w:rPr>
                <w:sz w:val="21"/>
                <w:szCs w:val="21"/>
                <w:color w:val="auto"/>
              </w:rPr>
            </w:pPr>
          </w:p>
        </w:tc>
      </w:tr>
      <w:tr>
        <w:trPr>
          <w:trHeight w:val="413"/>
        </w:trPr>
        <w:tc>
          <w:tcPr>
            <w:tcW w:w="3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scheduled maturity of the Company’s loan portfolio at June 30, 2018. Demand loans, loans having no stated repayment schedule, and overdraft loans are reported as being due in less than one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8"/>
          </w:tcPr>
          <w:p>
            <w:pPr>
              <w:ind w:left="1040"/>
              <w:spacing w:after="0"/>
              <w:rPr>
                <w:sz w:val="20"/>
                <w:szCs w:val="20"/>
                <w:color w:val="auto"/>
              </w:rPr>
            </w:pPr>
            <w:r>
              <w:rPr>
                <w:rFonts w:ascii="Arial" w:cs="Arial" w:eastAsia="Arial" w:hAnsi="Arial"/>
                <w:sz w:val="18"/>
                <w:szCs w:val="18"/>
                <w:color w:val="auto"/>
              </w:rPr>
              <w:t>Scheduled Loan Maturities</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91"/>
              </w:rPr>
              <w:t>After One Year</w:t>
            </w:r>
          </w:p>
        </w:tc>
        <w:tc>
          <w:tcPr>
            <w:tcW w:w="240" w:type="dxa"/>
            <w:vAlign w:val="bottom"/>
          </w:tcPr>
          <w:p>
            <w:pPr>
              <w:spacing w:after="0"/>
              <w:rPr>
                <w:sz w:val="16"/>
                <w:szCs w:val="16"/>
                <w:color w:val="auto"/>
              </w:rPr>
            </w:pPr>
          </w:p>
        </w:tc>
        <w:tc>
          <w:tcPr>
            <w:tcW w:w="1600" w:type="dxa"/>
            <w:vAlign w:val="bottom"/>
            <w:gridSpan w:val="4"/>
          </w:tcPr>
          <w:p>
            <w:pPr>
              <w:jc w:val="center"/>
              <w:ind w:right="220"/>
              <w:spacing w:after="0" w:line="195" w:lineRule="exact"/>
              <w:rPr>
                <w:sz w:val="20"/>
                <w:szCs w:val="20"/>
                <w:color w:val="auto"/>
              </w:rPr>
            </w:pPr>
            <w:r>
              <w:rPr>
                <w:rFonts w:ascii="Arial" w:cs="Arial" w:eastAsia="Arial" w:hAnsi="Arial"/>
                <w:sz w:val="18"/>
                <w:szCs w:val="18"/>
                <w:color w:val="auto"/>
                <w:w w:val="91"/>
              </w:rPr>
              <w:t>After Five Years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Through Five</w:t>
            </w:r>
          </w:p>
        </w:tc>
        <w:tc>
          <w:tcPr>
            <w:tcW w:w="240" w:type="dxa"/>
            <w:vAlign w:val="bottom"/>
          </w:tcPr>
          <w:p>
            <w:pPr>
              <w:spacing w:after="0"/>
              <w:rPr>
                <w:sz w:val="18"/>
                <w:szCs w:val="18"/>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Through Ten</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Within One Year</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Years</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6"/>
              </w:rPr>
              <w:t>After Ten Years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Originated</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66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8,214</w:t>
            </w:r>
          </w:p>
        </w:tc>
        <w:tc>
          <w:tcPr>
            <w:tcW w:w="660" w:type="dxa"/>
            <w:vAlign w:val="bottom"/>
            <w:shd w:val="clear" w:color="auto" w:fill="CCEEFF"/>
          </w:tcPr>
          <w:p>
            <w:pPr>
              <w:jc w:val="right"/>
              <w:ind w:right="49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86,330</w:t>
            </w: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Purchased</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5,429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13,926</w:t>
            </w:r>
          </w:p>
        </w:tc>
      </w:tr>
      <w:tr>
        <w:trPr>
          <w:trHeight w:val="216"/>
        </w:trPr>
        <w:tc>
          <w:tcPr>
            <w:tcW w:w="3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124,120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74,494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65,287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303,399</w:t>
            </w: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83,817</w:t>
            </w: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38,555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123,619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276,051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Non-mortgage loans: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124,876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12,861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187,857</w:t>
            </w: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r>
      <w:tr>
        <w:trPr>
          <w:trHeight w:val="20"/>
        </w:trPr>
        <w:tc>
          <w:tcPr>
            <w:tcW w:w="3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loans</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126,835</w:t>
            </w:r>
          </w:p>
        </w:tc>
        <w:tc>
          <w:tcPr>
            <w:tcW w:w="240" w:type="dxa"/>
            <w:vAlign w:val="bottom"/>
            <w:tcBorders>
              <w:lef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351,668</w:t>
            </w:r>
          </w:p>
        </w:tc>
        <w:tc>
          <w:tcPr>
            <w:tcW w:w="2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136,370</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9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256,929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871,802</w:t>
            </w:r>
          </w:p>
        </w:tc>
      </w:tr>
      <w:tr>
        <w:trPr>
          <w:trHeight w:val="20"/>
        </w:trPr>
        <w:tc>
          <w:tcPr>
            <w:tcW w:w="35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56"/>
        </w:trPr>
        <w:tc>
          <w:tcPr>
            <w:tcW w:w="3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10"/>
          </w:tcPr>
          <w:p>
            <w:pPr>
              <w:jc w:val="center"/>
              <w:ind w:left="290"/>
              <w:spacing w:after="0"/>
              <w:rPr>
                <w:sz w:val="20"/>
                <w:szCs w:val="20"/>
                <w:color w:val="auto"/>
              </w:rPr>
            </w:pPr>
            <w:r>
              <w:rPr>
                <w:rFonts w:ascii="Arial" w:cs="Arial" w:eastAsia="Arial" w:hAnsi="Arial"/>
                <w:sz w:val="18"/>
                <w:szCs w:val="18"/>
                <w:color w:val="auto"/>
                <w:w w:val="90"/>
              </w:rPr>
              <w:t>Loans Due After One Year, by Interest Rate Type</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Fixed rate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3"/>
              </w:rPr>
              <w:t>Floating or Adjustable</w:t>
            </w:r>
          </w:p>
        </w:tc>
        <w:tc>
          <w:tcPr>
            <w:tcW w:w="1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w w:val="94"/>
              </w:rPr>
              <w:t>Total</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Originated</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36,345</w:t>
            </w:r>
          </w:p>
        </w:tc>
        <w:tc>
          <w:tcPr>
            <w:tcW w:w="12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43,579</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79,924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Purchased</w:t>
            </w: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12,376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15,709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248,192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263,901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98,613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147,378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245,991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Non-mortgage loans: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Originated</w:t>
            </w: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132,720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138,662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Purchased</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163,580</w:t>
            </w:r>
          </w:p>
        </w:tc>
        <w:tc>
          <w:tcPr>
            <w:tcW w:w="12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581,387</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744,967</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77.4% of total portfolio loans at June 30, 2018 were variable rate products, compared to 74.9% at June 30, 2017.</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Certain purchased loans have been identified as having evidence of credit deterioration since their origination, and it is probable that the Company will not collect all contractually required principal and interest payments. Purchased loans are accounted for using the measurement provisions set forth in ASC 310-</w:t>
      </w:r>
    </w:p>
    <w:p>
      <w:pPr>
        <w:ind w:right="180" w:firstLine="8"/>
        <w:spacing w:after="0" w:line="255"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nonaccretable difference represents a loan's contractually required payments receivable in excess of the amount of cash flows expected to be collected. Improvements in expected cash flows result in prospective yield adjustments. The effect of a decrease in expected cash flows due to further credit deterioration are recorded through the allowance for loan losses.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Premises and equipment, net, decreased by $346 thousand, or 5.0%, to $6.6 million at June 30, 2018, compared to $6.9 million at June 30, 2017. The decrease was primarily due to depreciation of $1.3 million in the year, offset by fixed assets acquired.</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Real estate owned and other repossessed collateral, net, increased by $1.4 million, or 170.3%, to $2.2 million at June 30, 2018, compared to $826 thousand at June 30, 2017. The increase was primarily due to the addition of one LASG purchased property into real estate owned during the period. The real estate and personal property collateral for commercial and consumer loans are written down to fair value less estimated costs to sell upon transfer to acquired assets.</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cash surrender value of the Company's BOLI assets increased $441 thousand, or 2.7%, to $16.6 million at June 30, 2018, compared to $16.2 million at June 30, 2017. BOLI assets are invested in the general account of three insurance companies and in separate accounts of a fourth insurance company. A general account policy's cash surrender value is supported by the general assets of the insurance company. A separate account policy's cash surrender value is supported by assets segregated from the general assets of the insurance company. Standard and Poor's rated these companies A+ or better at June 30, 2018. Interest earnings, net of mortality costs, increase the cash surrender value. These interest earnings are based on interest rates that reset each year, and are subject to minimum guaranteed rates. These increases in cash surrender value are recognized in other income and are not subject to income taxes. Management considers BOLI an illiquid asset. BOLI represented 10.2% of the Company's total capital at June 30, 2018.</w:t>
      </w:r>
    </w:p>
    <w:p>
      <w:pPr>
        <w:sectPr>
          <w:pgSz w:w="11900" w:h="16838" w:orient="portrait"/>
          <w:cols w:equalWidth="0" w:num="1">
            <w:col w:w="11420"/>
          </w:cols>
          <w:pgMar w:left="240" w:top="118"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Servicing rights totaled $3.0 million and $2.8 million at June 30, 2018 and 2017, respectively. The $124 thousand increase was the result of SBA loans sold during the year, offset by amortization and impairment booked during fiscal 2018.</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Intangible assets totaled $867 thousand and $1.3 million at June 30, 2018 and June 30, 2017, respectively. The $433 thousand decrease was the result of core deposit intangible amortization during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June 30, 2018, core deposits, which the Company defines as non-maturity deposits and non-brokered insured time deposits, represented 100% of total deposits.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deposits increased $65.1 million to $954.9 million as of June 30, 2018 from $889.9 million as of June 30, 2017. The increase was primarily due to the increase in money market accounts attracted through ableBanking, as well as the Community Banking Division.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set forth certain information relative to the composition of the Company's average deposit accounts and the weighted average interest rate on each category of deposits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w w:val="92"/>
              </w:rPr>
              <w:t>Year Ended June 30, 2018</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5"/>
          </w:tcPr>
          <w:p>
            <w:pPr>
              <w:jc w:val="right"/>
              <w:ind w:right="870"/>
              <w:spacing w:after="0" w:line="195" w:lineRule="exact"/>
              <w:rPr>
                <w:sz w:val="20"/>
                <w:szCs w:val="20"/>
                <w:color w:val="auto"/>
              </w:rPr>
            </w:pPr>
            <w:r>
              <w:rPr>
                <w:rFonts w:ascii="Arial" w:cs="Arial" w:eastAsia="Arial" w:hAnsi="Arial"/>
                <w:sz w:val="18"/>
                <w:szCs w:val="18"/>
                <w:color w:val="auto"/>
                <w:w w:val="98"/>
              </w:rPr>
              <w:t>Average</w:t>
            </w:r>
          </w:p>
        </w:tc>
        <w:tc>
          <w:tcPr>
            <w:tcW w:w="1500" w:type="dxa"/>
            <w:vAlign w:val="bottom"/>
            <w:gridSpan w:val="2"/>
          </w:tcPr>
          <w:p>
            <w:pPr>
              <w:jc w:val="center"/>
              <w:ind w:right="190"/>
              <w:spacing w:after="0" w:line="195"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6"/>
                <w:szCs w:val="16"/>
                <w:color w:val="auto"/>
              </w:rPr>
            </w:pPr>
          </w:p>
        </w:tc>
        <w:tc>
          <w:tcPr>
            <w:tcW w:w="1720" w:type="dxa"/>
            <w:vAlign w:val="bottom"/>
            <w:gridSpan w:val="4"/>
          </w:tcPr>
          <w:p>
            <w:pPr>
              <w:jc w:val="right"/>
              <w:ind w:right="190"/>
              <w:spacing w:after="0" w:line="195" w:lineRule="exact"/>
              <w:rPr>
                <w:sz w:val="20"/>
                <w:szCs w:val="20"/>
                <w:color w:val="auto"/>
              </w:rPr>
            </w:pPr>
            <w:r>
              <w:rPr>
                <w:rFonts w:ascii="Arial" w:cs="Arial" w:eastAsia="Arial" w:hAnsi="Arial"/>
                <w:sz w:val="18"/>
                <w:szCs w:val="18"/>
                <w:color w:val="auto"/>
              </w:rPr>
              <w:t>Percent of Total</w:t>
            </w:r>
          </w:p>
        </w:tc>
        <w:tc>
          <w:tcPr>
            <w:tcW w:w="7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5"/>
          </w:tcPr>
          <w:p>
            <w:pPr>
              <w:jc w:val="right"/>
              <w:ind w:right="870"/>
              <w:spacing w:after="0"/>
              <w:rPr>
                <w:sz w:val="20"/>
                <w:szCs w:val="20"/>
                <w:color w:val="auto"/>
              </w:rPr>
            </w:pPr>
            <w:r>
              <w:rPr>
                <w:rFonts w:ascii="Arial" w:cs="Arial" w:eastAsia="Arial" w:hAnsi="Arial"/>
                <w:sz w:val="18"/>
                <w:szCs w:val="18"/>
                <w:color w:val="auto"/>
              </w:rPr>
              <w:t>Balance</w:t>
            </w:r>
          </w:p>
        </w:tc>
        <w:tc>
          <w:tcPr>
            <w:tcW w:w="1500" w:type="dxa"/>
            <w:vAlign w:val="bottom"/>
            <w:gridSpan w:val="2"/>
          </w:tcPr>
          <w:p>
            <w:pPr>
              <w:jc w:val="center"/>
              <w:ind w:right="190"/>
              <w:spacing w:after="0"/>
              <w:rPr>
                <w:sz w:val="20"/>
                <w:szCs w:val="20"/>
                <w:color w:val="auto"/>
              </w:rPr>
            </w:pPr>
            <w:r>
              <w:rPr>
                <w:rFonts w:ascii="Arial" w:cs="Arial" w:eastAsia="Arial" w:hAnsi="Arial"/>
                <w:sz w:val="18"/>
                <w:szCs w:val="18"/>
                <w:color w:val="auto"/>
                <w:w w:val="87"/>
              </w:rPr>
              <w:t>Average Rate</w:t>
            </w:r>
          </w:p>
        </w:tc>
        <w:tc>
          <w:tcPr>
            <w:tcW w:w="220" w:type="dxa"/>
            <w:vAlign w:val="bottom"/>
          </w:tcPr>
          <w:p>
            <w:pPr>
              <w:spacing w:after="0"/>
              <w:rPr>
                <w:sz w:val="20"/>
                <w:szCs w:val="20"/>
                <w:color w:val="auto"/>
              </w:rPr>
            </w:pPr>
          </w:p>
        </w:tc>
        <w:tc>
          <w:tcPr>
            <w:tcW w:w="2760" w:type="dxa"/>
            <w:vAlign w:val="bottom"/>
            <w:gridSpan w:val="7"/>
          </w:tcPr>
          <w:p>
            <w:pPr>
              <w:jc w:val="right"/>
              <w:ind w:right="1260"/>
              <w:spacing w:after="0"/>
              <w:rPr>
                <w:sz w:val="20"/>
                <w:szCs w:val="20"/>
                <w:color w:val="auto"/>
              </w:rPr>
            </w:pPr>
            <w:r>
              <w:rPr>
                <w:rFonts w:ascii="Arial" w:cs="Arial" w:eastAsia="Arial" w:hAnsi="Arial"/>
                <w:sz w:val="18"/>
                <w:szCs w:val="18"/>
                <w:color w:val="auto"/>
              </w:rPr>
              <w:t>Average Deposits</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(Dollars in thousands)</w:t>
            </w: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9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Non-interest bearing demand deposits and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escrow accounts</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79,767</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Regular savings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37,514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8"/>
                <w:szCs w:val="18"/>
                <w:color w:val="auto"/>
              </w:rPr>
              <w:t>0.15%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70,486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407,680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8"/>
                <w:szCs w:val="18"/>
                <w:color w:val="auto"/>
              </w:rPr>
              <w:t>1.26%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44.95%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311,544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34.35%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Total average deposits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906,991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8"/>
                <w:szCs w:val="18"/>
                <w:color w:val="auto"/>
              </w:rPr>
              <w:t>1.09%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9"/>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20" w:type="dxa"/>
            <w:vAlign w:val="bottom"/>
            <w:gridSpan w:val="9"/>
          </w:tcPr>
          <w:p>
            <w:pPr>
              <w:jc w:val="right"/>
              <w:ind w:right="1350"/>
              <w:spacing w:after="0"/>
              <w:rPr>
                <w:sz w:val="20"/>
                <w:szCs w:val="20"/>
                <w:color w:val="auto"/>
              </w:rPr>
            </w:pPr>
            <w:r>
              <w:rPr>
                <w:rFonts w:ascii="Arial" w:cs="Arial" w:eastAsia="Arial" w:hAnsi="Arial"/>
                <w:sz w:val="18"/>
                <w:szCs w:val="18"/>
                <w:color w:val="auto"/>
              </w:rPr>
              <w:t>Year Ended June 30, 2017</w:t>
            </w:r>
          </w:p>
        </w:tc>
        <w:tc>
          <w:tcPr>
            <w:tcW w:w="220" w:type="dxa"/>
            <w:vAlign w:val="bottom"/>
          </w:tcPr>
          <w:p>
            <w:pPr>
              <w:spacing w:after="0"/>
              <w:rPr>
                <w:sz w:val="24"/>
                <w:szCs w:val="24"/>
                <w:color w:val="auto"/>
              </w:rPr>
            </w:pPr>
          </w:p>
        </w:tc>
        <w:tc>
          <w:tcPr>
            <w:tcW w:w="4160" w:type="dxa"/>
            <w:vAlign w:val="bottom"/>
            <w:gridSpan w:val="9"/>
          </w:tcPr>
          <w:p>
            <w:pPr>
              <w:jc w:val="right"/>
              <w:ind w:right="1320"/>
              <w:spacing w:after="0"/>
              <w:rPr>
                <w:sz w:val="20"/>
                <w:szCs w:val="20"/>
                <w:color w:val="auto"/>
              </w:rPr>
            </w:pPr>
            <w:r>
              <w:rPr>
                <w:rFonts w:ascii="Arial" w:cs="Arial" w:eastAsia="Arial" w:hAnsi="Arial"/>
                <w:sz w:val="18"/>
                <w:szCs w:val="18"/>
                <w:color w:val="auto"/>
              </w:rPr>
              <w:t>Year Ended June 30, 2016</w:t>
            </w:r>
          </w:p>
        </w:tc>
      </w:tr>
      <w:tr>
        <w:trPr>
          <w:trHeight w:val="195"/>
        </w:trPr>
        <w:tc>
          <w:tcPr>
            <w:tcW w:w="2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right"/>
              <w:ind w:right="420"/>
              <w:spacing w:after="0" w:line="195" w:lineRule="exact"/>
              <w:rPr>
                <w:sz w:val="20"/>
                <w:szCs w:val="20"/>
                <w:color w:val="auto"/>
              </w:rPr>
            </w:pPr>
            <w:r>
              <w:rPr>
                <w:rFonts w:ascii="Arial" w:cs="Arial" w:eastAsia="Arial" w:hAnsi="Arial"/>
                <w:sz w:val="18"/>
                <w:szCs w:val="18"/>
                <w:color w:val="auto"/>
              </w:rPr>
              <w:t>Average</w:t>
            </w: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4"/>
          </w:tcPr>
          <w:p>
            <w:pPr>
              <w:jc w:val="right"/>
              <w:ind w:right="470"/>
              <w:spacing w:after="0" w:line="195" w:lineRule="exact"/>
              <w:rPr>
                <w:sz w:val="20"/>
                <w:szCs w:val="20"/>
                <w:color w:val="auto"/>
              </w:rPr>
            </w:pPr>
            <w:r>
              <w:rPr>
                <w:rFonts w:ascii="Arial" w:cs="Arial" w:eastAsia="Arial" w:hAnsi="Arial"/>
                <w:sz w:val="18"/>
                <w:szCs w:val="18"/>
                <w:color w:val="auto"/>
              </w:rPr>
              <w:t>Weighted</w:t>
            </w: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Percent of Total</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color w:val="auto"/>
              </w:rPr>
              <w:t>Average</w:t>
            </w: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4"/>
          </w:tcPr>
          <w:p>
            <w:pPr>
              <w:jc w:val="right"/>
              <w:ind w:right="560"/>
              <w:spacing w:after="0" w:line="195" w:lineRule="exact"/>
              <w:rPr>
                <w:sz w:val="20"/>
                <w:szCs w:val="20"/>
                <w:color w:val="auto"/>
              </w:rPr>
            </w:pPr>
            <w:r>
              <w:rPr>
                <w:rFonts w:ascii="Arial" w:cs="Arial" w:eastAsia="Arial" w:hAnsi="Arial"/>
                <w:sz w:val="18"/>
                <w:szCs w:val="18"/>
                <w:color w:val="auto"/>
              </w:rPr>
              <w:t>Weighted</w:t>
            </w: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Percent of Total</w:t>
            </w:r>
          </w:p>
        </w:tc>
        <w:tc>
          <w:tcPr>
            <w:tcW w:w="16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r>
      <w:tr>
        <w:trPr>
          <w:trHeight w:val="230"/>
        </w:trPr>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520" w:type="dxa"/>
            <w:vAlign w:val="bottom"/>
            <w:gridSpan w:val="4"/>
          </w:tcPr>
          <w:p>
            <w:pPr>
              <w:jc w:val="right"/>
              <w:ind w:right="330"/>
              <w:spacing w:after="0"/>
              <w:rPr>
                <w:sz w:val="20"/>
                <w:szCs w:val="20"/>
                <w:color w:val="auto"/>
              </w:rPr>
            </w:pPr>
            <w:r>
              <w:rPr>
                <w:rFonts w:ascii="Arial" w:cs="Arial" w:eastAsia="Arial" w:hAnsi="Arial"/>
                <w:sz w:val="18"/>
                <w:szCs w:val="18"/>
                <w:color w:val="auto"/>
                <w:w w:val="98"/>
              </w:rPr>
              <w:t>Average Rate</w:t>
            </w:r>
          </w:p>
        </w:tc>
        <w:tc>
          <w:tcPr>
            <w:tcW w:w="150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Deposits</w:t>
            </w:r>
          </w:p>
        </w:tc>
        <w:tc>
          <w:tcPr>
            <w:tcW w:w="2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8"/>
                <w:szCs w:val="18"/>
                <w:color w:val="auto"/>
                <w:w w:val="98"/>
              </w:rPr>
              <w:t>Average Rate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Deposits</w:t>
            </w:r>
          </w:p>
        </w:tc>
      </w:tr>
      <w:tr>
        <w:trPr>
          <w:trHeight w:val="210"/>
        </w:trPr>
        <w:tc>
          <w:tcPr>
            <w:tcW w:w="2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Non-interest bearing demand</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deposits and escrow accounts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79,560</w:t>
            </w:r>
          </w:p>
        </w:tc>
        <w:tc>
          <w:tcPr>
            <w:tcW w:w="164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50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67,041</w:t>
            </w:r>
          </w:p>
        </w:tc>
        <w:tc>
          <w:tcPr>
            <w:tcW w:w="1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Regular savings</w:t>
            </w: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36,438</w:t>
            </w:r>
          </w:p>
        </w:tc>
        <w:tc>
          <w:tcPr>
            <w:tcW w:w="1640" w:type="dxa"/>
            <w:vAlign w:val="bottom"/>
            <w:gridSpan w:val="5"/>
          </w:tcPr>
          <w:p>
            <w:pPr>
              <w:jc w:val="right"/>
              <w:ind w:right="30"/>
              <w:spacing w:after="0"/>
              <w:rPr>
                <w:sz w:val="20"/>
                <w:szCs w:val="20"/>
                <w:color w:val="auto"/>
              </w:rPr>
            </w:pPr>
            <w:r>
              <w:rPr>
                <w:rFonts w:ascii="Arial" w:cs="Arial" w:eastAsia="Arial" w:hAnsi="Arial"/>
                <w:sz w:val="18"/>
                <w:szCs w:val="18"/>
                <w:color w:val="auto"/>
              </w:rPr>
              <w:t>0.14%</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36,062</w:t>
            </w:r>
          </w:p>
        </w:tc>
        <w:tc>
          <w:tcPr>
            <w:tcW w:w="1640" w:type="dxa"/>
            <w:vAlign w:val="bottom"/>
            <w:gridSpan w:val="5"/>
          </w:tcPr>
          <w:p>
            <w:pPr>
              <w:jc w:val="right"/>
              <w:ind w:right="120"/>
              <w:spacing w:after="0"/>
              <w:rPr>
                <w:sz w:val="20"/>
                <w:szCs w:val="20"/>
                <w:color w:val="auto"/>
              </w:rPr>
            </w:pPr>
            <w:r>
              <w:rPr>
                <w:rFonts w:ascii="Arial" w:cs="Arial" w:eastAsia="Arial" w:hAnsi="Arial"/>
                <w:sz w:val="18"/>
                <w:szCs w:val="18"/>
                <w:color w:val="auto"/>
              </w:rPr>
              <w:t>0.13%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70,912</w:t>
            </w:r>
          </w:p>
        </w:tc>
        <w:tc>
          <w:tcPr>
            <w:tcW w:w="164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150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68,304</w:t>
            </w:r>
          </w:p>
        </w:tc>
        <w:tc>
          <w:tcPr>
            <w:tcW w:w="1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322,011</w:t>
            </w:r>
          </w:p>
        </w:tc>
        <w:tc>
          <w:tcPr>
            <w:tcW w:w="1640" w:type="dxa"/>
            <w:vAlign w:val="bottom"/>
            <w:gridSpan w:val="5"/>
          </w:tcPr>
          <w:p>
            <w:pPr>
              <w:jc w:val="right"/>
              <w:ind w:right="30"/>
              <w:spacing w:after="0"/>
              <w:rPr>
                <w:sz w:val="20"/>
                <w:szCs w:val="20"/>
                <w:color w:val="auto"/>
              </w:rPr>
            </w:pPr>
            <w:r>
              <w:rPr>
                <w:rFonts w:ascii="Arial" w:cs="Arial" w:eastAsia="Arial" w:hAnsi="Arial"/>
                <w:sz w:val="18"/>
                <w:szCs w:val="18"/>
                <w:color w:val="auto"/>
              </w:rPr>
              <w:t>0.97%</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38.54%</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212,102</w:t>
            </w:r>
          </w:p>
        </w:tc>
        <w:tc>
          <w:tcPr>
            <w:tcW w:w="1640" w:type="dxa"/>
            <w:vAlign w:val="bottom"/>
            <w:gridSpan w:val="5"/>
          </w:tcPr>
          <w:p>
            <w:pPr>
              <w:jc w:val="right"/>
              <w:ind w:right="120"/>
              <w:spacing w:after="0"/>
              <w:rPr>
                <w:sz w:val="20"/>
                <w:szCs w:val="20"/>
                <w:color w:val="auto"/>
              </w:rPr>
            </w:pPr>
            <w:r>
              <w:rPr>
                <w:rFonts w:ascii="Arial" w:cs="Arial" w:eastAsia="Arial" w:hAnsi="Arial"/>
                <w:sz w:val="18"/>
                <w:szCs w:val="18"/>
                <w:color w:val="auto"/>
              </w:rPr>
              <w:t>0.87%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28.92%</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326,601</w:t>
            </w:r>
          </w:p>
        </w:tc>
        <w:tc>
          <w:tcPr>
            <w:tcW w:w="10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50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39.09%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349,978</w:t>
            </w:r>
          </w:p>
        </w:tc>
        <w:tc>
          <w:tcPr>
            <w:tcW w:w="1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47.71%</w:t>
            </w:r>
          </w:p>
        </w:tc>
      </w:tr>
      <w:tr>
        <w:trPr>
          <w:trHeight w:val="20"/>
        </w:trPr>
        <w:tc>
          <w:tcPr>
            <w:tcW w:w="2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Total average deposits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835,522</w:t>
            </w:r>
          </w:p>
        </w:tc>
        <w:tc>
          <w:tcPr>
            <w:tcW w:w="100" w:type="dxa"/>
            <w:vAlign w:val="bottom"/>
          </w:tcPr>
          <w:p>
            <w:pPr>
              <w:spacing w:after="0"/>
              <w:rPr>
                <w:sz w:val="18"/>
                <w:szCs w:val="18"/>
                <w:color w:val="auto"/>
              </w:rPr>
            </w:pPr>
          </w:p>
        </w:tc>
        <w:tc>
          <w:tcPr>
            <w:tcW w:w="1640" w:type="dxa"/>
            <w:vAlign w:val="bottom"/>
            <w:gridSpan w:val="5"/>
          </w:tcPr>
          <w:p>
            <w:pPr>
              <w:jc w:val="right"/>
              <w:ind w:right="30"/>
              <w:spacing w:after="0"/>
              <w:rPr>
                <w:sz w:val="20"/>
                <w:szCs w:val="20"/>
                <w:color w:val="auto"/>
              </w:rPr>
            </w:pPr>
            <w:r>
              <w:rPr>
                <w:rFonts w:ascii="Arial" w:cs="Arial" w:eastAsia="Arial" w:hAnsi="Arial"/>
                <w:sz w:val="18"/>
                <w:szCs w:val="18"/>
                <w:color w:val="auto"/>
              </w:rPr>
              <w:t>0.88%</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733,487</w:t>
            </w:r>
          </w:p>
        </w:tc>
        <w:tc>
          <w:tcPr>
            <w:tcW w:w="1640" w:type="dxa"/>
            <w:vAlign w:val="bottom"/>
            <w:gridSpan w:val="5"/>
          </w:tcPr>
          <w:p>
            <w:pPr>
              <w:jc w:val="right"/>
              <w:ind w:right="120"/>
              <w:spacing w:after="0"/>
              <w:rPr>
                <w:sz w:val="20"/>
                <w:szCs w:val="20"/>
                <w:color w:val="auto"/>
              </w:rPr>
            </w:pPr>
            <w:r>
              <w:rPr>
                <w:rFonts w:ascii="Arial" w:cs="Arial" w:eastAsia="Arial" w:hAnsi="Arial"/>
                <w:sz w:val="18"/>
                <w:szCs w:val="18"/>
                <w:color w:val="auto"/>
              </w:rPr>
              <w:t>0.82%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744"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time deposits greater than $250 thousand as of June 30, 2018, 2017, and 2016.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scheduled maturity of deposits greater than or equal to $100 thousand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Over 3 through 6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 6 through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Over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time certificates greater than or equal to $100 thousand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June 30, 2018</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986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thousands)</w:t>
      </w:r>
    </w:p>
    <w:p>
      <w:pPr>
        <w:spacing w:after="0" w:line="9" w:lineRule="exact"/>
        <w:rPr>
          <w:sz w:val="20"/>
          <w:szCs w:val="20"/>
          <w:color w:val="auto"/>
        </w:rPr>
      </w:pPr>
    </w:p>
    <w:p>
      <w:pPr>
        <w:ind w:left="1060" w:hanging="1057"/>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24,282</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84,503</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97,514</w:t>
      </w:r>
    </w:p>
    <w:p>
      <w:pPr>
        <w:spacing w:after="0" w:line="3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77,500</w:t>
      </w:r>
    </w:p>
    <w:p>
      <w:pPr>
        <w:spacing w:after="0" w:line="32" w:lineRule="exact"/>
        <w:rPr>
          <w:sz w:val="20"/>
          <w:szCs w:val="20"/>
          <w:color w:val="auto"/>
        </w:rPr>
      </w:pPr>
    </w:p>
    <w:p>
      <w:pPr>
        <w:ind w:left="980" w:hanging="977"/>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283,799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9861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910" w:lineRule="exact"/>
        <w:rPr>
          <w:sz w:val="20"/>
          <w:szCs w:val="20"/>
          <w:color w:val="auto"/>
        </w:rPr>
      </w:pPr>
    </w:p>
    <w:p>
      <w:pPr>
        <w:sectPr>
          <w:pgSz w:w="11900" w:h="16838" w:orient="portrait"/>
          <w:cols w:equalWidth="0" w:num="2">
            <w:col w:w="6780" w:space="720"/>
            <w:col w:w="3920"/>
          </w:cols>
          <w:pgMar w:left="240" w:top="118" w:right="239" w:bottom="744" w:gutter="0" w:footer="0" w:header="0"/>
          <w:type w:val="continuous"/>
        </w:sectPr>
      </w:pPr>
    </w:p>
    <w:p>
      <w:pPr>
        <w:spacing w:after="0" w:line="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FHLBB advances, subordinated debt, and junior subordinated debentures have been the Company's sources of funding other than deposits. In fiscal 2018, total borrowings decreased by $4.7 million, or 10.7%, to $39.0 million.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Advances from the FHLBB were $15.0 million and $20.0 million at June 30, 2018 and 2017, respectively. The decrease was the result of the payoff of a $5.0 million FHLBB advance during the quarter ended December 31, 2017.</w:t>
      </w:r>
    </w:p>
    <w:p>
      <w:pPr>
        <w:sectPr>
          <w:pgSz w:w="11900" w:h="16838" w:orient="portrait"/>
          <w:cols w:equalWidth="0" w:num="1">
            <w:col w:w="11420"/>
          </w:cols>
          <w:pgMar w:left="240" w:top="118" w:right="239" w:bottom="744"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44"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Pledges of residential real estate loans, certain commercial real estate loans and certain FHLBB deposits free of liens or pledges are required to secure outstanding advances and available additional borrowing capacity from the FHLBB. At June 30, 2018 and 2017, the Company had no pledged investment securities.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June 29, 2016, the Company entered into a Subordinated Note Purchase Agreement with certain institutional accredited investors pursuant to which the Company sold and issued $15.05 million in aggregate principal amount of 6.75% fixed-to-floating subordinated notes due 2026.</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There were no balances outstanding at June 30, 2018 and 2017, respectively, for advances under the Federal Reserve Discount Window Borrower-in-custody program. The available credit under the program was $1.1 million and $1.4 million at June 30, 2018 and 2017, respectively, with the decrease in fiscal 2018 attributable to payoffs of consumer loans pledged as collateral.</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junior subordinated debentures issued to affiliated trusts totaling $9.2 million and $9.0 million at June 30, 2018 and 2017, respectively. See “Capital” below for more information on our junior subordinated debentures and affiliated trusts.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allowance for loan losses is maintained at a level that management considers adequate to provide for probable loan losses based upon evaluation of known and inherent risks in the loan portfolio. The allowance is increased by providing for loan losses through a charge to expense and by recoveries of loans previously charged-off and is reduced by loans being charged-off.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June 30, 2018, the allowance for loan losses totaled $4.8 million, or 0.55% of total loans, as compared to $3.7 million, or 0.47% of total loans, at June 30, 2017 and $2.4 million, or 0.34% of total loans, at June 30, 2016. The year over year increase in the Company’s allowance for losses was principally the result of loan growth and the increase of qualitative factors. The following table sets forth activity in Company’s allowance for loan losses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88"/>
              </w:rPr>
              <w:t>Year Ended</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88"/>
              </w:rPr>
              <w:t>Year Ended</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6"/>
              </w:rPr>
              <w:t>Year Ended</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88"/>
              </w:rPr>
              <w:t>Year Ended</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8"/>
              </w:rPr>
              <w:t>Year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2018</w:t>
            </w:r>
          </w:p>
        </w:tc>
        <w:tc>
          <w:tcPr>
            <w:tcW w:w="26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June 30, 2017</w:t>
            </w:r>
          </w:p>
        </w:tc>
        <w:tc>
          <w:tcPr>
            <w:tcW w:w="2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June 30, 2016</w:t>
            </w:r>
          </w:p>
        </w:tc>
        <w:tc>
          <w:tcPr>
            <w:tcW w:w="26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2015</w:t>
            </w:r>
          </w:p>
        </w:tc>
        <w:tc>
          <w:tcPr>
            <w:tcW w:w="2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June 30, 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Loans charged-off during the period: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Consumer and 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 charged-off</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w w:val="94"/>
              </w:rPr>
              <w:t>Recoveries on loans previously charged-off: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Consumer and 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recoveries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loans charged off during the period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8"/>
                <w:szCs w:val="18"/>
                <w:color w:val="auto"/>
              </w:rPr>
              <w:t>Allowance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4,807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3,665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20" w:type="dxa"/>
            <w:vAlign w:val="bottom"/>
          </w:tcPr>
          <w:p>
            <w:pPr>
              <w:spacing w:after="0" w:line="256" w:lineRule="exact"/>
              <w:rPr>
                <w:sz w:val="20"/>
                <w:szCs w:val="20"/>
                <w:color w:val="auto"/>
              </w:rPr>
            </w:pPr>
            <w:r>
              <w:rPr>
                <w:rFonts w:ascii="Arial" w:cs="Arial" w:eastAsia="Arial" w:hAnsi="Arial"/>
                <w:sz w:val="18"/>
                <w:szCs w:val="18"/>
                <w:color w:val="auto"/>
              </w:rPr>
              <w:t xml:space="preserve">Total loans at end of period </w:t>
            </w:r>
            <w:r>
              <w:rPr>
                <w:rFonts w:ascii="Arial" w:cs="Arial" w:eastAsia="Arial" w:hAnsi="Arial"/>
                <w:sz w:val="29"/>
                <w:szCs w:val="29"/>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871,802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779,195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692,436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612,137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516,416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Borders>
              <w:right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w w:val="91"/>
              </w:rPr>
              <w:t xml:space="preserve">Average loans outstanding during the period </w:t>
            </w:r>
            <w:r>
              <w:rPr>
                <w:rFonts w:ascii="Arial" w:cs="Arial" w:eastAsia="Arial" w:hAnsi="Arial"/>
                <w:sz w:val="29"/>
                <w:szCs w:val="29"/>
                <w:color w:val="auto"/>
                <w:w w:val="91"/>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780,854</w:t>
            </w:r>
          </w:p>
        </w:tc>
        <w:tc>
          <w:tcPr>
            <w:tcW w:w="100" w:type="dxa"/>
            <w:vAlign w:val="bottom"/>
            <w:shd w:val="clear" w:color="auto" w:fill="CCEEFF"/>
          </w:tcPr>
          <w:p>
            <w:pPr>
              <w:spacing w:after="0"/>
              <w:rPr>
                <w:sz w:val="22"/>
                <w:szCs w:val="22"/>
                <w:color w:val="auto"/>
              </w:rPr>
            </w:pPr>
          </w:p>
        </w:tc>
        <w:tc>
          <w:tcPr>
            <w:tcW w:w="12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737,860</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659,995</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555,073</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Allowance as a percentage of total loans</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Ratio of net charge-offs to average loans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5"/>
              </w:rPr>
              <w:t>Allowance as a percentage of non-performing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Amounts and resulting ratios exclude loans held for sale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allocates the allowance for loan losses by loan category and the percent of loans in each category to total loans at the dates indicated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June 30, 2018</w:t>
            </w: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June 30, 2017</w:t>
            </w:r>
          </w:p>
        </w:tc>
        <w:tc>
          <w:tcPr>
            <w:tcW w:w="1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4"/>
          </w:tcPr>
          <w:p>
            <w:pPr>
              <w:jc w:val="right"/>
              <w:ind w:right="680"/>
              <w:spacing w:after="0"/>
              <w:rPr>
                <w:sz w:val="20"/>
                <w:szCs w:val="20"/>
                <w:color w:val="auto"/>
              </w:rPr>
            </w:pPr>
            <w:r>
              <w:rPr>
                <w:rFonts w:ascii="Arial" w:cs="Arial" w:eastAsia="Arial" w:hAnsi="Arial"/>
                <w:sz w:val="18"/>
                <w:szCs w:val="18"/>
                <w:color w:val="auto"/>
              </w:rPr>
              <w:t>June 30, 2016</w:t>
            </w: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June 30, 2015</w:t>
            </w:r>
          </w:p>
        </w:tc>
        <w:tc>
          <w:tcPr>
            <w:tcW w:w="1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color w:val="auto"/>
              </w:rPr>
              <w:t>June 30, 2014</w:t>
            </w:r>
          </w:p>
        </w:tc>
        <w:tc>
          <w:tcPr>
            <w:tcW w:w="160" w:type="dxa"/>
            <w:vAlign w:val="bottom"/>
          </w:tcPr>
          <w:p>
            <w:pPr>
              <w:spacing w:after="0"/>
              <w:rPr>
                <w:sz w:val="19"/>
                <w:szCs w:val="19"/>
                <w:color w:val="auto"/>
              </w:rPr>
            </w:pPr>
          </w:p>
        </w:tc>
      </w:tr>
      <w:tr>
        <w:trPr>
          <w:trHeight w:val="195"/>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Percent of</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160" w:type="dxa"/>
            <w:vAlign w:val="bottom"/>
          </w:tcPr>
          <w:p>
            <w:pPr>
              <w:spacing w:after="0"/>
              <w:rPr>
                <w:sz w:val="16"/>
                <w:szCs w:val="16"/>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Loans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Loans</w:t>
            </w: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 Total</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 Total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 Total</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to Total</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to Total</w:t>
            </w: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Amount</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Loans</w:t>
            </w: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Amount</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Loans</w:t>
            </w:r>
          </w:p>
        </w:tc>
        <w:tc>
          <w:tcPr>
            <w:tcW w:w="90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Amount</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Amount</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Amount</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Loans</w:t>
            </w:r>
          </w:p>
        </w:tc>
      </w:tr>
      <w:tr>
        <w:trPr>
          <w:trHeight w:val="210"/>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(Dollars</w:t>
            </w:r>
          </w:p>
        </w:tc>
        <w:tc>
          <w:tcPr>
            <w:tcW w:w="220" w:type="dxa"/>
            <w:vAlign w:val="bottom"/>
          </w:tcPr>
          <w:p>
            <w:pPr>
              <w:jc w:val="right"/>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thousands)</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28.79%</w:t>
            </w: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3,136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65.24%</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2,549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20"/>
                <w:szCs w:val="20"/>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1,328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61.60%</w:t>
            </w:r>
          </w:p>
        </w:tc>
        <w:tc>
          <w:tcPr>
            <w:tcW w:w="1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56.96%</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61.21%</w:t>
            </w:r>
          </w:p>
        </w:tc>
      </w:tr>
      <w:tr>
        <w:trPr>
          <w:trHeight w:val="202"/>
        </w:trPr>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and industrial</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21.26%</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62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4,807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3,665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2,350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1,926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1,367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reflects the annual trend of total loans 30 days or more past due, as a percentage of total loans. The decrease in the current year is primarily due to a decrease in delinquent LASG originated and SBA division loans.</w:t>
      </w:r>
    </w:p>
    <w:p>
      <w:pPr>
        <w:spacing w:after="0" w:line="17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As of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r>
      <w:tr>
        <w:trPr>
          <w:trHeight w:val="210"/>
        </w:trPr>
        <w:tc>
          <w:tcPr>
            <w:tcW w:w="324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w w:val="88"/>
              </w:rPr>
              <w:t>Past due loans to total loans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0.89%</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amounts and categories of the Company’s non-performing assets at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2018</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91"/>
              </w:rPr>
              <w:t>June 30, 2017</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2016</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2015</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June 30, 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(Dollars in thousands)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Originated portfolio:</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8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3,337</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3,021</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1,499</w:t>
            </w:r>
          </w:p>
        </w:tc>
        <w:tc>
          <w:tcPr>
            <w:tcW w:w="36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1,368</w:t>
            </w:r>
          </w:p>
        </w:tc>
        <w:tc>
          <w:tcPr>
            <w:tcW w:w="36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2,600</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6,511</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4,218</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4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1,056</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6,364</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6,532</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7,452</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nonperforming loans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11,958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13,963</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10,750</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Real estate owned and other repossessed collateral</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826</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8"/>
                <w:szCs w:val="18"/>
                <w:color w:val="auto"/>
              </w:rPr>
              <w:t>Total nonperforming assets</w:t>
            </w: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14,191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14,789</w:t>
            </w:r>
          </w:p>
        </w:tc>
        <w:tc>
          <w:tcPr>
            <w:tcW w:w="400" w:type="dxa"/>
            <w:vAlign w:val="bottom"/>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9,479</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12,401</w:t>
            </w:r>
          </w:p>
        </w:tc>
        <w:tc>
          <w:tcPr>
            <w:tcW w:w="400" w:type="dxa"/>
            <w:vAlign w:val="bottom"/>
          </w:tcPr>
          <w:p>
            <w:pPr>
              <w:jc w:val="right"/>
              <w:ind w:right="24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Nonperforming loans that are current</w:t>
            </w:r>
          </w:p>
        </w:tc>
        <w:tc>
          <w:tcPr>
            <w:tcW w:w="840" w:type="dxa"/>
            <w:vAlign w:val="bottom"/>
            <w:gridSpan w:val="2"/>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4,897</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4,321</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2,271</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484</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to total loans</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0.96</w:t>
            </w:r>
          </w:p>
        </w:tc>
        <w:tc>
          <w:tcPr>
            <w:tcW w:w="3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4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June 30, 2018, the Company had $14.2 million of nonperforming assets, or 1.23% of total assets, compared to $14.8 million of nonperforming assets, or 1.37% of total assets at June 30, 2017 and $9.5 million of nonperforming assets, or 0.96% of total assets, as of June 30, 2016. The decrease in nonperforming assets in fiscal 2018 was principally associated with a decrease in LASG purchased nonperforming loans of $1.7 million in the year, offset by an increase in real estate owned and other repossessed collateral of $1.4 million.</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Troubled debt restructurings (“TDRs”) represent loans for which concessions (such as extension of repayment terms or reductions of interest rates to below market rates) are granted due to a borrower's financial condition. Such concessions may include reductions of interest rates to below-market terms and/or extension of repayment terms. The balances and payment status of TDRs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4"/>
              </w:rPr>
              <w:t>June 30, 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June 30, 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June 30, 2016</w:t>
            </w:r>
          </w:p>
        </w:tc>
      </w:tr>
      <w:tr>
        <w:trPr>
          <w:trHeight w:val="210"/>
        </w:trPr>
        <w:tc>
          <w:tcPr>
            <w:tcW w:w="4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3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Accrual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7,036</w:t>
            </w:r>
          </w:p>
        </w:tc>
      </w:tr>
      <w:tr>
        <w:trPr>
          <w:trHeight w:val="20"/>
        </w:trPr>
        <w:tc>
          <w:tcPr>
            <w:tcW w:w="4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TDRs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18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8,188</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June 30, 2018, the Company had real estate owned and other repossessed collateral of $2.2 million, compared to $826 thousand at June 30, 2017. The increase in the period was primarily due to the addition of one LASG purchased property into real estate owned during the year. The real estate and personal property collateral for commercial and consumer loans are written down to fair value upon transfer to acquired assets. Revenues and expenses are recognized in the period when received or incurred on other real estate and in substance foreclosures. Gains and losses on disposition are recognized in noninterest income.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 to focus on asset quality and allocate significant resources to credit policy, loan review, asset management, collection, and workout functions. Despite this ongoing effort, there can be no assurance that adverse changes in the real estate markets and economic conditions will not result in higher non-performing assets levels in the future and negatively impact our results of operations through higher provision for loan losses, net loan charge-offs, decreased accrual of income and increased noninterest expenses.</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real estate and commercial loans are periodically evaluated under a ten-point rating system. These ratings are guidelines in assessing the risk of a particular loan. The Company had $10.1 million, $9.0 million and $6.2 million of loans rated substandard or worse at June 30, 2018, 2017 and 2016, respectively, an increase primarily attributable to downgraded purchased loans during the year. The following tables present the Company's loans by risk rating: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June 30, 2018</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0"/>
              <w:spacing w:after="0" w:line="199"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199"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7"/>
                <w:szCs w:val="17"/>
                <w:color w:val="auto"/>
              </w:rPr>
            </w:pPr>
          </w:p>
        </w:tc>
        <w:tc>
          <w:tcPr>
            <w:tcW w:w="118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0"/>
              </w:rPr>
              <w:t>Residential Real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80"/>
              <w:spacing w:after="0" w:line="199" w:lineRule="exact"/>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3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2"/>
              </w:rPr>
              <w:t>Estate</w:t>
            </w:r>
            <w:r>
              <w:rPr>
                <w:rFonts w:ascii="Arial" w:cs="Arial" w:eastAsia="Arial" w:hAnsi="Arial"/>
                <w:sz w:val="30"/>
                <w:szCs w:val="30"/>
                <w:color w:val="auto"/>
                <w:w w:val="82"/>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3"/>
                <w:szCs w:val="23"/>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279,111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774,866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Special mention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5,899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11,702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Doubtful (9)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303,399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187,857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14,454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290,972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796,682</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June 30, 2017</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0"/>
              <w:spacing w:after="0" w:line="199"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199"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7"/>
                <w:szCs w:val="17"/>
                <w:color w:val="auto"/>
              </w:rPr>
            </w:pPr>
          </w:p>
        </w:tc>
        <w:tc>
          <w:tcPr>
            <w:tcW w:w="118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0"/>
              </w:rPr>
              <w:t>Residential Real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80"/>
              <w:spacing w:after="0" w:line="199" w:lineRule="exact"/>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3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2"/>
              </w:rPr>
              <w:t>Estate</w:t>
            </w:r>
            <w:r>
              <w:rPr>
                <w:rFonts w:ascii="Arial" w:cs="Arial" w:eastAsia="Arial" w:hAnsi="Arial"/>
                <w:sz w:val="30"/>
                <w:szCs w:val="30"/>
                <w:color w:val="auto"/>
                <w:w w:val="82"/>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3"/>
                <w:szCs w:val="23"/>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Special mention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9,622</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14,862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Doubtful (9)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256,281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174,468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10,932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246,388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688,069</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June 30, 2016</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0"/>
              <w:spacing w:after="0" w:line="199"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199"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7"/>
                <w:szCs w:val="17"/>
                <w:color w:val="auto"/>
              </w:rPr>
            </w:pPr>
          </w:p>
        </w:tc>
        <w:tc>
          <w:tcPr>
            <w:tcW w:w="118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0"/>
              </w:rPr>
              <w:t>Residential Real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80"/>
              <w:spacing w:after="0" w:line="199" w:lineRule="exact"/>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7"/>
        </w:trPr>
        <w:tc>
          <w:tcPr>
            <w:tcW w:w="3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2"/>
              </w:rPr>
              <w:t>Estate</w:t>
            </w:r>
            <w:r>
              <w:rPr>
                <w:rFonts w:ascii="Arial" w:cs="Arial" w:eastAsia="Arial" w:hAnsi="Arial"/>
                <w:sz w:val="30"/>
                <w:szCs w:val="30"/>
                <w:color w:val="auto"/>
                <w:w w:val="82"/>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3"/>
                <w:szCs w:val="23"/>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Special mention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7,147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Doubtful (9)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189,616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145,758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239,709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583,733</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Certain loans made for commercial purposes, but secured by residential collateral, are rated under the Company’s risk-rating system.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and the Board of Directors of the Company recognize that taking and managing risk is fundamental to the business of banking. Through the development, implementation and monitoring of its policies with respect to risk management, the Company strives to measure, evaluate and control the risks it faces. The Board and management understand that an effective risk management system is critical to the Company's safety and soundness. Chief among the risks faced by us are credit risk, market risk (including interest rate risk), liquidity risk, and operational (transaction)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considers credit risk to be the most significant risk that it faces, in that it has the greatest potential to affect the financial condition and operating results of the Company. Credit risk is managed through a combination of policies and limits established by the Board, the monitoring of compliance with these policies and limits, and the periodic evaluation of loans in the portfolio, including those with problem characteristics. The Company also utilizes the services of independent third parties to provide loan review services, which consist of a variety of monitoring techniques after a loan is purchased or originated.</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general, the Bank's policies establish limits on the maximum amount of credit that may be granted to a single borrower (including affiliates), the aggregate amount of loans outstanding by type in relation to total assets and capital, and concentrations of loans by size, property type, and geography. Underwriting criteria, such as collateral and debt service coverage ratios and approval limits are also specified in loan policies. The Company's policies also address the performance of periodic credit reviews, the risk rating of loans, when loans should be placed on non-performing status and factors that should be considered in establishing the Bank's allowance for loan losses. For additional information, refer to "Asset Quality" above and Item 1, "Business—Lending Activities."</w:t>
      </w:r>
    </w:p>
    <w:p>
      <w:pPr>
        <w:sectPr>
          <w:pgSz w:w="11900" w:h="16838" w:orient="portrait"/>
          <w:cols w:equalWidth="0" w:num="1">
            <w:col w:w="11380"/>
          </w:cols>
          <w:pgMar w:left="240" w:top="118" w:right="279" w:bottom="541"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541"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 As of June 30, 2018, the income simulation analysis (as noted in the table below) for the first twelve-month period indicated that exposure to changing interest rates fell within the Company's policy levels of tolerance.</w:t>
      </w:r>
    </w:p>
    <w:p>
      <w:pPr>
        <w:spacing w:after="0" w:line="16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Assuming a 200 basis point increase and 100 basis point decrease in interest rates starting on June 30, 2018, we estimate that our net interest income in the following 12 months would increase by 2.7% if rates increased by 200 basis points and decrease by 1.1% if rates declined by 100 basis points. These results indicate a modest level of asset sensitivity in our balance sheet. An asset-sensitive position indicates that there are more rate-sensitive assets than rate-sensitive liabilities repricing or maturing within specific time horizons, which would generally imply a favorable impact on net interest income in periods of rising interest rates and a negative impact in periods of falling rates. A liability-sensitive position would generally imply a negative impact on net interest income in periods of rising rates and a positive impact in periods of falling rates.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Down 100 Basis</w:t>
            </w:r>
          </w:p>
        </w:tc>
      </w:tr>
      <w:tr>
        <w:trPr>
          <w:trHeight w:val="230"/>
        </w:trPr>
        <w:tc>
          <w:tcPr>
            <w:tcW w:w="6220" w:type="dxa"/>
            <w:vAlign w:val="bottom"/>
          </w:tcPr>
          <w:p>
            <w:pPr>
              <w:spacing w:after="0"/>
              <w:rPr>
                <w:sz w:val="20"/>
                <w:szCs w:val="20"/>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Up 200 Basis Points</w:t>
            </w: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Points</w:t>
            </w:r>
          </w:p>
        </w:tc>
        <w:tc>
          <w:tcPr>
            <w:tcW w:w="16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June 30, 2017</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Liquidity risk is defined as the risk associated with an organization's ability to meet current and future financial obligations of a short-term nature. The Company uses its liquidity on a regular basis to fund existing and future loan commitments, to pay interest on deposits and on borrowings, to fund maturing certificates of deposit and borrowings, to fund other deposit withdrawals, to invest in other interest-earning assets, to make dividend payments to shareholders, and to meet operating expenses. The Company's primary sources of liquidity consist of deposit inflows, FHLBB advances, and the amortization, prepayment and maturities of loans and securities. While scheduled payments from the amortization and maturities of loans and securities are relatively predictable sources of funds, deposit flows and loan and investment prepayments can be greatly influenced by general interest rates, economic conditions and competition. In addition to these regular sources of funds, the Company may choose to sell portfolio loans and securities to meet liquidity demands.</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monitor and forecast our liquidity position. There are several interdependent methods used by us for this purpose, including daily review of Federal Funds positions, monthly review of balance sheet changes, monthly review of liquidity ratios, quarterly review of liquidity forecasts and periodic review of contingent funding plans. Using these methods, the Company actively manages its liquidity position under the direction of the ALCO.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unused borrowing capacity of the Company at June 30, 2018 available to meet our short-term funding needs: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9"/>
              </w:rPr>
              <w:t>As of June 30, 2018</w:t>
            </w:r>
          </w:p>
        </w:tc>
        <w:tc>
          <w:tcPr>
            <w:tcW w:w="436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30"/>
              <w:spacing w:after="0" w:line="195" w:lineRule="exact"/>
              <w:rPr>
                <w:sz w:val="20"/>
                <w:szCs w:val="20"/>
                <w:color w:val="auto"/>
              </w:rPr>
            </w:pPr>
            <w:r>
              <w:rPr>
                <w:rFonts w:ascii="Arial" w:cs="Arial" w:eastAsia="Arial" w:hAnsi="Arial"/>
                <w:sz w:val="18"/>
                <w:szCs w:val="18"/>
                <w:color w:val="auto"/>
                <w:w w:val="96"/>
              </w:rPr>
              <w:t>(Dollars in</w:t>
            </w:r>
          </w:p>
        </w:tc>
        <w:tc>
          <w:tcPr>
            <w:tcW w:w="436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color w:val="auto"/>
                <w:w w:val="87"/>
              </w:rPr>
              <w:t>thousands)</w:t>
            </w:r>
          </w:p>
        </w:tc>
        <w:tc>
          <w:tcPr>
            <w:tcW w:w="436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289,434</w:t>
            </w:r>
          </w:p>
        </w:tc>
        <w:tc>
          <w:tcPr>
            <w:tcW w:w="4360" w:type="dxa"/>
            <w:vAlign w:val="bottom"/>
            <w:tcBorders>
              <w:lef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Subject to policy limitation of 25% of total assets</w:t>
            </w:r>
          </w:p>
        </w:tc>
      </w:tr>
      <w:tr>
        <w:trPr>
          <w:trHeight w:val="202"/>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60" w:type="dxa"/>
            <w:vAlign w:val="bottom"/>
          </w:tcPr>
          <w:p>
            <w:pPr>
              <w:ind w:left="100"/>
              <w:spacing w:after="0" w:line="201" w:lineRule="exact"/>
              <w:rPr>
                <w:sz w:val="20"/>
                <w:szCs w:val="20"/>
                <w:color w:val="auto"/>
              </w:rPr>
            </w:pPr>
            <w:r>
              <w:rPr>
                <w:rFonts w:ascii="Arial" w:cs="Arial" w:eastAsia="Arial" w:hAnsi="Arial"/>
                <w:sz w:val="18"/>
                <w:szCs w:val="18"/>
                <w:color w:val="auto"/>
                <w:w w:val="92"/>
              </w:rPr>
              <w:t>Unused advance capacity subject to eligible and qualified</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48,656</w:t>
            </w:r>
          </w:p>
        </w:tc>
        <w:tc>
          <w:tcPr>
            <w:tcW w:w="4360" w:type="dxa"/>
            <w:vAlign w:val="bottom"/>
          </w:tcPr>
          <w:p>
            <w:pPr>
              <w:ind w:left="100"/>
              <w:spacing w:after="0"/>
              <w:rPr>
                <w:sz w:val="20"/>
                <w:szCs w:val="20"/>
                <w:color w:val="auto"/>
              </w:rPr>
            </w:pPr>
            <w:r>
              <w:rPr>
                <w:rFonts w:ascii="Arial" w:cs="Arial" w:eastAsia="Arial" w:hAnsi="Arial"/>
                <w:sz w:val="18"/>
                <w:szCs w:val="18"/>
                <w:color w:val="auto"/>
              </w:rPr>
              <w:t>collateral</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Federal Discount Window Borrower-in-Custody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4360" w:type="dxa"/>
            <w:vAlign w:val="bottom"/>
            <w:tcBorders>
              <w:lef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available lines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17,500</w:t>
            </w:r>
          </w:p>
        </w:tc>
        <w:tc>
          <w:tcPr>
            <w:tcW w:w="436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unused borrowing capacity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356,736</w:t>
            </w:r>
          </w:p>
        </w:tc>
        <w:tc>
          <w:tcPr>
            <w:tcW w:w="4360" w:type="dxa"/>
            <w:vAlign w:val="bottom"/>
            <w:tcBorders>
              <w:left w:val="single" w:sz="8" w:color="CCEEFF"/>
            </w:tcBorders>
            <w:shd w:val="clear" w:color="auto" w:fill="CCEEFF"/>
          </w:tcPr>
          <w:p>
            <w:pPr>
              <w:spacing w:after="0"/>
              <w:rPr>
                <w:sz w:val="19"/>
                <w:szCs w:val="19"/>
                <w:color w:val="auto"/>
              </w:rPr>
            </w:pP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43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in the Federal Home Loan Bank of Boston may be required.</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June 30, 2018, the Company had $425.4 million of immediately accessible liquidity, defined as cash that the Bank reasonably believes could be raised within seven days through collateralized borrowings, brokered deposits or security sales. This position represented 36.7% of total assets. The Company also had $157.4 million of cash and cash equivalents at June 30, 2018.</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 parent company only basis, commitments and debt service requirements at June 30, 2018 consisted of junior subordinated debentures issued to NBN Capital Trust II, NBN Capital Trust III and NBN Capital Trust IV with a principal balance of $16.5 million as well as subordinated debt issued in June 2016 with a principal balance of $15.05 million. See Note 9 of the Notes to the Consolidated Financial Statements for carrying values, maturity dates and the use of purchased interest rate caps and swaps to hedge the interest expense in periods of rising interest rates. Based on the interest rates at June 30, 2018, the annual aggregate payments to meet the debt service of the junior subordinated debentures is approximately $754 thousand. In addition, for the year ended June 30, 2018, total annual interest expense on subordinated notes issued in June 2016 was $1.0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principal sources of funds for the Company to meet parent-only obligations are dividends from the Bank, which are subject to regulatory limitations, and borrowings from public and private sources. For information on the restrictions on the payment of dividends by Northeast Bank, see Note 10 of the Notes to the Company's Consolidated Financial Statements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Operational risk, which we define as the risk of loss from failed internal processes, people and systems, and external events, is inherent in all of our business activities. The principal ways in which we manage operational risk include the establishment of departmental and business-specific policies and procedures, internal controls and monitoring requirements. Some specific examples include our information security program, business continuity planning and testing, our vendor management program, reconciliation processes, our enterprise risk assessment process, and new product and/or system introduction processes. Periodic internal audits provide an important independent check on adherence to policies, procedures and controls designed to mitigate risk exposure.</w:t>
      </w:r>
    </w:p>
    <w:p>
      <w:pPr>
        <w:spacing w:after="0" w:line="15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To address these risks, management has a Senior Management Risk and Compliance Committee (“SMRCC”), whose responsibility is to proactively identify, accurately measure, and adequately monitor and control the risks assumed by the Bank in its various products and lines of business to ensure safe and sound operations and that the risks assumed by the Bank are consistent with the risk appetite established by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on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unused lines of credit and standby letters of credit is represented by the contractual amount of those instruments. 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committed amounts do not necessarily represent future cash requirements. To control the credit risk associated with entering into commitments and issuing letters of credit, the Company uses the same credit quality, collateral policies, and monitoring controls in making commitments and letters of credit as it does with its lending activities.</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The credit risk involved in issuing letters of credit is essentially the same as that involved in extending loans to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Unused lines of credit and commitments to extend credit typically result in loans with a market 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amounts of the Company’s contractual obligations and other commitments with off-balance sheet risk as of June 30, 2018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Payments Due - By Period</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After 5</w:t>
            </w:r>
          </w:p>
        </w:tc>
        <w:tc>
          <w:tcPr>
            <w:tcW w:w="10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Arial" w:cs="Arial" w:eastAsia="Arial" w:hAnsi="Arial"/>
                <w:sz w:val="18"/>
                <w:szCs w:val="18"/>
                <w:color w:val="auto"/>
                <w:w w:val="87"/>
              </w:rPr>
              <w:t>(Dollars 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15,000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w:t>
            </w: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Subordinated debt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15,050</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20" w:type="dxa"/>
            <w:vAlign w:val="bottom"/>
          </w:tcPr>
          <w:p>
            <w:pPr>
              <w:ind w:left="180"/>
              <w:spacing w:after="0"/>
              <w:rPr>
                <w:sz w:val="20"/>
                <w:szCs w:val="20"/>
                <w:color w:val="auto"/>
              </w:rPr>
            </w:pPr>
            <w:r>
              <w:rPr>
                <w:rFonts w:ascii="Arial" w:cs="Arial" w:eastAsia="Arial" w:hAnsi="Arial"/>
                <w:sz w:val="18"/>
                <w:szCs w:val="18"/>
                <w:color w:val="auto"/>
              </w:rPr>
              <w:t>Total debt obligations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15,306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15,381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16,496</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r>
      <w:tr>
        <w:trPr>
          <w:trHeight w:val="20"/>
        </w:trPr>
        <w:tc>
          <w:tcPr>
            <w:tcW w:w="37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20" w:type="dxa"/>
            <w:vAlign w:val="bottom"/>
          </w:tcPr>
          <w:p>
            <w:pPr>
              <w:ind w:left="180"/>
              <w:spacing w:after="0"/>
              <w:rPr>
                <w:sz w:val="20"/>
                <w:szCs w:val="20"/>
                <w:color w:val="auto"/>
              </w:rPr>
            </w:pPr>
            <w:r>
              <w:rPr>
                <w:rFonts w:ascii="Arial" w:cs="Arial" w:eastAsia="Arial" w:hAnsi="Arial"/>
                <w:sz w:val="18"/>
                <w:szCs w:val="18"/>
                <w:color w:val="auto"/>
              </w:rPr>
              <w:t>Total contractual obligations</w:t>
            </w:r>
          </w:p>
        </w:tc>
        <w:tc>
          <w:tcPr>
            <w:tcW w:w="9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54,237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16,563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17,873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17,857</w:t>
            </w:r>
          </w:p>
        </w:tc>
      </w:tr>
      <w:tr>
        <w:trPr>
          <w:trHeight w:val="20"/>
        </w:trPr>
        <w:tc>
          <w:tcPr>
            <w:tcW w:w="3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8"/>
                <w:szCs w:val="18"/>
                <w:color w:val="auto"/>
                <w:w w:val="96"/>
              </w:rPr>
              <w:t>Amount of Commitment Expiring - By Period</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1-3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After 5</w:t>
            </w:r>
          </w:p>
        </w:tc>
        <w:tc>
          <w:tcPr>
            <w:tcW w:w="100" w:type="dxa"/>
            <w:vAlign w:val="bottom"/>
          </w:tcPr>
          <w:p>
            <w:pPr>
              <w:spacing w:after="0"/>
              <w:rPr>
                <w:sz w:val="16"/>
                <w:szCs w:val="16"/>
                <w:color w:val="auto"/>
              </w:rPr>
            </w:pPr>
          </w:p>
        </w:tc>
      </w:tr>
      <w:tr>
        <w:trPr>
          <w:trHeight w:val="230"/>
        </w:trPr>
        <w:tc>
          <w:tcPr>
            <w:tcW w:w="4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1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Years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8"/>
                <w:szCs w:val="18"/>
                <w:color w:val="auto"/>
                <w:w w:val="87"/>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Commitments with off-balance sheet risk:</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20,431</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20,431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Unused lines of credit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13,004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Standby letters of credit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 to fund investment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 commitments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54,092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37,618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9,730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Shareholders’ equity was $138.4 million at June 30, 2018, an increase of $15.6 million from June 30, 2017. The increase was primarily due to earnings of $16.2 million. Additionally, there was stock-based compensation of $870 thousand, an increase in accumulated other comprehensive loss of $129 thousand and $355 thousand in dividends paid on common stock.</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See Note 10 of the Notes to the Consolidated Financial Statements for information on the Company's capital ratios. Regulatory capital ratios for the Company and the Bank currently exceed all applicable requirements, including the commitments made to the Federal Reserve and the Bureau in connection with the Merger with FHB Formation LLC to maintain minimum Tier 1 leverage and total capital ratios of 10% and 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consolidated financial statements and related notes have been presented in terms of historic dollars without considering changes in the relative purchasing power of money over time due to inflation. Unlike industrial companies, nearly all of the assets and virtually all of the liabilities of the Company are monetary in nature. As a result, interest rates have a more significant impact on the Company's performance than the general level of inflation. Over short periods of time, interest rates may not necessarily move in the same direction or in the same magnitude as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Note 1 of the Notes to the Consolidated Financial Statement includes the Financial Accounting Standards Board (“FASB”) and the U.S. Securities and Exchange Commission (“SEC”) issued statements and interpretations affecting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Critical accounting policies are those that involve significant judgments and assessments by management, and that could potentially result in materially different results under different assumptions and conditions. The Company considers the following to be its critical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estimated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88"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2018 or 2017.</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Purchased Loans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Loans that the Company purchases are initially recorded at fair value with no carryover of the related allowance for loan and lease losses. Determining the fair value of the purchased loans involves estimating the amount and timing of principal and interest cash flows initially expected to be collected on the loans and discounting those cash flows at an appropriate market rate of interest. The Company continues to evaluate the reasonableness of expectations for the timing and the amount of cash to be collected. Subsequent decreases in expected cash flows may result in changes in the amortization or accretion of fair market value adjustments, and in some cases may result in a loan being considered impaired.</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Operations—Risk Management” and accompanying table set forth therein for quantitative and qualitative disclosures about market risk.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Northeast Bancorp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audited the accompanying consolidated balance sheets of Northeast Bancorp and subsidiary (the “Company”) as of June 30, 2018 and 2017, the related consolidated statements of income, comprehensive income, changes in shareholders’ equity and cash flows for each of the three years in the period ended June 30, 2018, and the related notes to the consolidated financial statements (collectively, the financial statements). In our opinion, the financial statements present fairly, in all material respects, the financial position of the Company as of June 30, 2018 and 2017, and the results of its operations and its cash flows for each of the three years in the period ended June 30, 2018, in conformity with accounting principles generally accepted in the United States of America.</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and our report dated September 13, 2018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June 30, 2018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3,889</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163,283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Available-for-sale securities, at fair value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87,687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Residential real estate loans held for sale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loans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loans held for sale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188,852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871,802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Allowance for loan losses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stock, at cost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16,620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1,157,736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70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Savings and interest checking</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109,637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Time</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23,958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24,803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Preferred stock, $1.00 par value, 1,000,000 shares authorized; no shares issued and outstanding at June 30,</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 and June 30, 2017</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6"/>
              </w:rPr>
              <w:t>Voting common stock, $1.00 par value, 25,000,000 shares authorized; 8,056,527 and 7,840,460 shares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issued and outstanding at June 30, 2018 and June 30, 2017, respectively</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Non-voting common stock, $1.00 par value, 3,000,000 shares authorized; 882,314 and 991,194 shares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June 30, 2018 and June 30, 2017, respectively</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77,016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1,157,736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52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28" w:gutter="0" w:footer="0" w:header="0"/>
          <w:type w:val="continuous"/>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89"/>
              </w:rPr>
              <w:t>Years Ended June 30,</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62,146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55,857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65,893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9,897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12,584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53,309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47,825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51,899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46,231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37,762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Noninterest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loans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 of other loans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Loss recognized on real estate owned and other repossessed collateral and premises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equipment, net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Bank-owned life insurance income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Total noninterest income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9,696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21,565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21,706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23,197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7,799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8,906,710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8,898,448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9,129,152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8,952,614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9,484,635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75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57" w:gutter="0" w:footer="0" w:header="0"/>
          <w:type w:val="continuous"/>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89"/>
              </w:rPr>
              <w:t>Years Ended June 30,</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16,166</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Change in net unrealized (loss) gain on available-for-sale securities</w:t>
            </w:r>
          </w:p>
        </w:tc>
        <w:tc>
          <w:tcPr>
            <w:tcW w:w="9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and hedging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Change in accumulated gain (loss) on effective cash flow hedges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included in net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64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color w:val="auto"/>
              </w:rPr>
              <w:t>Total derivatives and hedging activities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(2,035)</w:t>
            </w:r>
          </w:p>
        </w:tc>
      </w:tr>
      <w:tr>
        <w:trPr>
          <w:trHeight w:val="20"/>
        </w:trPr>
        <w:tc>
          <w:tcPr>
            <w:tcW w:w="6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 before tax</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Income tax expense (benefit) related to other comprehensive income (loss)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0"/>
        </w:trPr>
        <w:tc>
          <w:tcPr>
            <w:tcW w:w="6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r>
      <w:tr>
        <w:trPr>
          <w:trHeight w:val="20"/>
        </w:trPr>
        <w:tc>
          <w:tcPr>
            <w:tcW w:w="64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16,320</w:t>
            </w:r>
          </w:p>
        </w:tc>
        <w:tc>
          <w:tcPr>
            <w:tcW w:w="1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12,613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7,001</w:t>
            </w:r>
          </w:p>
        </w:tc>
      </w:tr>
      <w:tr>
        <w:trPr>
          <w:trHeight w:val="20"/>
        </w:trPr>
        <w:tc>
          <w:tcPr>
            <w:tcW w:w="6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90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(Dollars 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Voting Common</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Non-voting Common</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Additional</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Preferred Stock</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Stock</w:t>
            </w:r>
          </w:p>
        </w:tc>
        <w:tc>
          <w:tcPr>
            <w:tcW w:w="7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Stock</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Paid-in</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Retained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Comprehensive</w:t>
            </w:r>
          </w:p>
        </w:tc>
        <w:tc>
          <w:tcPr>
            <w:tcW w:w="11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Shares</w:t>
            </w: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Amount</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Amount</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Amount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Capital</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Earnings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Loss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June 30,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8,575,144</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$ 8,575</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1,012,739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$ 1,013</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85,506</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18,921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7,619</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net of tax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(322,900)</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Common stock</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repurchased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(3,036)</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Conversion of</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voting common</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to non-</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voting common</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(214,944)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214,944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Dividends on</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common stock at</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$0.04 per share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613</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Issuance of</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w w:val="97"/>
              </w:rPr>
              <w:t>restricted common</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stock</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100,000</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Cancellations and</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forfeiture of</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restricted common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(47,510)</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w:t>
            </w:r>
          </w:p>
        </w:tc>
        <w:tc>
          <w:tcPr>
            <w:tcW w:w="6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4"/>
              </w:rPr>
              <w:t>Balance at June 30, 2016</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8,089,790</w:t>
            </w:r>
          </w:p>
        </w:tc>
        <w:tc>
          <w:tcPr>
            <w:tcW w:w="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8,089</w:t>
            </w: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1,227,683</w:t>
            </w:r>
          </w:p>
        </w:tc>
        <w:tc>
          <w:tcPr>
            <w:tcW w:w="7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1,228</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83,020</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26,160</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116,591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12,339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Other</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comprehensive</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loss, net of tax</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Common stock</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repurchased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(645,238)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Conversion of non-</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voting common</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stock to voting</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236,489</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237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(236,489)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Dividends on</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at</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$0.04 per share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945</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Issuance of</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restricted common</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170,000</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Cancellations and</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forfeiture of</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w w:val="97"/>
              </w:rPr>
              <w:t>restricted common</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stock</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(16,956)</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Stock options</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exercised,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6,375</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June 30,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7,840,460</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7,841</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991,194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77,455</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38,142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16,166</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net of tax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Conversion of non-</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voting common</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stock to voting</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108,880</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(108,880)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Dividends on</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at</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$0.04 per share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320"/>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compensation</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870</w:t>
            </w:r>
          </w:p>
        </w:tc>
        <w:tc>
          <w:tcPr>
            <w:tcW w:w="9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w:t>
            </w:r>
          </w:p>
        </w:tc>
        <w:tc>
          <w:tcPr>
            <w:tcW w:w="1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22,000</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restricted common</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tcPr>
          <w:p>
            <w:pPr>
              <w:ind w:left="340"/>
              <w:spacing w:after="0" w:line="201" w:lineRule="exact"/>
              <w:rPr>
                <w:sz w:val="20"/>
                <w:szCs w:val="20"/>
                <w:color w:val="auto"/>
              </w:rPr>
            </w:pPr>
            <w:r>
              <w:rPr>
                <w:rFonts w:ascii="Arial" w:cs="Arial" w:eastAsia="Arial" w:hAnsi="Arial"/>
                <w:sz w:val="18"/>
                <w:szCs w:val="18"/>
                <w:color w:val="auto"/>
              </w:rPr>
              <w:t>Cancellations and</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forfeiture of</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w w:val="97"/>
              </w:rPr>
              <w:t>restricted common</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500"/>
              <w:spacing w:after="0"/>
              <w:rPr>
                <w:sz w:val="20"/>
                <w:szCs w:val="20"/>
                <w:color w:val="auto"/>
              </w:rPr>
            </w:pPr>
            <w:r>
              <w:rPr>
                <w:rFonts w:ascii="Arial" w:cs="Arial" w:eastAsia="Arial" w:hAnsi="Arial"/>
                <w:sz w:val="18"/>
                <w:szCs w:val="18"/>
                <w:color w:val="auto"/>
              </w:rPr>
              <w:t>stock</w:t>
            </w:r>
          </w:p>
        </w:tc>
        <w:tc>
          <w:tcPr>
            <w:tcW w:w="102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(40,003)</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exercised, net</w:t>
            </w:r>
          </w:p>
        </w:tc>
        <w:tc>
          <w:tcPr>
            <w:tcW w:w="1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125,190</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2"/>
        </w:trPr>
        <w:tc>
          <w:tcPr>
            <w:tcW w:w="1960" w:type="dxa"/>
            <w:vAlign w:val="bottom"/>
          </w:tcPr>
          <w:p>
            <w:pPr>
              <w:ind w:left="340"/>
              <w:spacing w:after="0" w:line="201" w:lineRule="exact"/>
              <w:rPr>
                <w:sz w:val="20"/>
                <w:szCs w:val="20"/>
                <w:color w:val="auto"/>
              </w:rPr>
            </w:pPr>
            <w:r>
              <w:rPr>
                <w:rFonts w:ascii="Arial" w:cs="Arial" w:eastAsia="Arial" w:hAnsi="Arial"/>
                <w:sz w:val="18"/>
                <w:szCs w:val="18"/>
                <w:color w:val="auto"/>
              </w:rPr>
              <w:t>Adjustment for</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500"/>
              <w:spacing w:after="0"/>
              <w:rPr>
                <w:sz w:val="20"/>
                <w:szCs w:val="20"/>
                <w:color w:val="auto"/>
              </w:rPr>
            </w:pPr>
            <w:r>
              <w:rPr>
                <w:rFonts w:ascii="Arial" w:cs="Arial" w:eastAsia="Arial" w:hAnsi="Arial"/>
                <w:sz w:val="18"/>
                <w:szCs w:val="18"/>
                <w:color w:val="auto"/>
              </w:rPr>
              <w:t>adoption of ASU</w:t>
            </w:r>
          </w:p>
        </w:tc>
        <w:tc>
          <w:tcPr>
            <w:tcW w:w="102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283</w:t>
            </w:r>
          </w:p>
        </w:tc>
        <w:tc>
          <w:tcPr>
            <w:tcW w:w="4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60" w:type="dxa"/>
            <w:vAlign w:val="bottom"/>
          </w:tcPr>
          <w:p>
            <w:pPr>
              <w:ind w:left="500"/>
              <w:spacing w:after="0"/>
              <w:rPr>
                <w:sz w:val="20"/>
                <w:szCs w:val="20"/>
                <w:color w:val="auto"/>
              </w:rPr>
            </w:pPr>
            <w:r>
              <w:rPr>
                <w:rFonts w:ascii="Arial" w:cs="Arial" w:eastAsia="Arial" w:hAnsi="Arial"/>
                <w:sz w:val="18"/>
                <w:szCs w:val="18"/>
                <w:color w:val="auto"/>
              </w:rPr>
              <w:t>2018-02</w:t>
            </w:r>
          </w:p>
        </w:tc>
        <w:tc>
          <w:tcPr>
            <w:tcW w:w="10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2018</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8,056,527</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$ 8,057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882,314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77,016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  54,236</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89"/>
              </w:rPr>
              <w:t>Years Ended June 30,</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16,166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12,339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Loss recognized on real estate owned and other repossessed collateral and premises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equipment, net</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loans, net</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(8,694)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fair value adjustments on deposits,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borrowings, net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subordinated debt issuance costs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Originations of loans held for sale</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(91,975)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(122,924)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sales of loans held for sale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 net</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and other loans held for sale,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(decrease) increase in loan servicing rights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Bank-owned life insurance income, net</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of premises and equipment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income tax expense (benefit)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Amortization of available-for-sale securities, net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other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19,454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33,990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w w:val="97"/>
              </w:rPr>
              <w:t>Proceeds from maturities and principal payments on available-for-sale securities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33,742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21,204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(124,111)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32,372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(83,600)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(93,680)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(67,639)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subordinated debt, net of debt issuance costs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65,090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89,423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short-term borrowings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Repayment of FHLBB borrowings and wholesale repurchase agreements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Repurchases for tax withholdings on restricted common stock</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 exercised,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58,265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71,816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163,283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151,157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157,402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163,283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12,171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9,502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w w:val="98"/>
              </w:rPr>
              <w:t>Transfers from loans to real estate owned and other repossessed collateral,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2,959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8" w:right="239" w:bottom="81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11"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accounting and reporting policies of Northeast Bancorp and Subsidiary (the “Company" or "Northeast") conform to accounting principles generally accepted in the United States of America ("US GAAP") and conform to practices within the financial services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 Maine corporation and a bank holding company registered with the Federal Reserve Bank of Boston ("FRB") under the Bank Holding Company Act of 1956. As a bank holding company, the Company is subject to the regulation and supervision of the FRB. The Company provides a full range of banking services to individual and corporate customers throughout south-central and western Maine and conducts loan purchasing and origination activities nationwide through its wholly-owned subsidiary, Northeast Bank (the "Bank"), a Maine state-chartered bank. The Bank is subject to supervision and regulation by applicable state and federal banking agencies, including the Bureau, the Federal Deposit Insurance Corporation ("FDIC"), and the FRB. The Bank faces competition from banks and other financial institutions.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 Accounting</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29, 2010, the Company merged with FHB Formation LLC (the "Merger"). The Company applied the acquisition method of accounting to this business combination, which represented an acquisition by FHB Formation LLC ("FHB") of Northeast, with Northeast as the surviving company. Under the acquisition method, the acquiring entity in a business combination recognizes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In the Merger, amounts allocated to assets acquired and liabilities assumed were greater than the purchase price, which resulted in the recognition of a bargain purchase gain. Acquisition-related costs were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Northeast Bancorp, and its wholly-owned subsidiary, Northeast Bank (including the Bank's wholly-owned subsidiaries). All significant intercompany transactions and balances have been eliminated in consolidation.</w:t>
      </w:r>
    </w:p>
    <w:p>
      <w:pPr>
        <w:spacing w:after="0" w:line="14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 xml:space="preserve">NBN Capital Trust II, NBN Capital Trust III and NBN Capital Trust IV are considered affiliates and are deconsolidated pursuant to criteria established by Financial Accounting Standards Board (“FASB”)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investments in these affiliates were $496 thousand in aggregate and are included in other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previously reported amounts have been reclassified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consolidated financial statements have been prepared in conformity with US GAAP. In preparing the consolidated financial statements, management is required to make estimates and assumptions that affect the reported amounts of assets and liabilities and the disclosure of contingent assets and liabilities as of the date of the balance sheet and reported amounts of revenue and expenses during the reporting period. Actual results could differ significantly from those estimates.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Material estimates that are particularly susceptible to significant change relate to the determination of the allowance for loan losses, the determination of fair values in conjunction with the application of loan acquisition accounting, and the on-going evaluation of assets for potential impairment.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 of Credit Risk</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Most of the Community Banking Division's business activity is with customers located within the State of Maine. However, the business activities of the Bank’s Loan Acquisition and Servicing Group ("LASG") and the SBA Division are diversified across the country. In all regions, the Company’s focus is to originate and purchase commercial real estate loans. Repayment of loans is expected from cash flows of the borrower. Losses on secured loans are limited by the value of the collateral upon default of the borrowers. The Company does not have any significant concentrations to any one industry or customer.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purposes of presentation in the consolidated statements of cash flows, cash and cash equivalents consist of cash and due from banks and short-term investments. The Company is required to maintain a certain reserve balance in the form of cash or deposits with other financial institutions. At June 30, 2018 and 2017, such reserve balances totaled $1.5 million and $2.7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Available-for-Sale Securities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Securities for which the Company has the positive intent and ability to hold to maturity are classified as held to maturity and carried at amortized cost. Those securities held for indefinite periods of time, but not necessarily to maturity are classified as available for sale. Securities held for indefinite periods of time include securities that management intends to use as part of its asset/liability, liquidity, or capital management strategies and may be sold in response to changes in interest rates, maturities, asset/liability mix, liquidity needs, regulatory capital needs or other business factors. Securities available for sale are carried at estimated fair value with unrealized gains and losses reported on an after-tax basis in shareholders' equity as accumulated other comprehensive income or loss.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Interest and dividends on securities are recorded on the accrual method. Premiums and discounts on securities are amortized or accreted into interest income by the level-yield method over the remaining period to contractual maturity, adjusted for the effect of actual prepayments in the case of mortgage-backed securities. These estimates of prepayment assumptions are made based upon the actual performance of the underlying security, current interest rates, the general market consensus regarding changes in mortgage interest rates, the contractual repayment terms of the underlying loans, the priority rights of the investors to the cash flows from the mortgage securities and other economic conditions. When differences arise between anticipated prepayments and actual prepayments, the effective yield is recalculated to reflect actual payments to date and anticipated future payments. Unamortized premium or discount is adjusted to the amount that would have existed had the new effective yield been applied since purchase, with a corresponding charge or credit to interest income.</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Security transactions are recorded on the trade date. Realized gains and losses are determined using the specific identification method and are recorded in noninterest income.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evaluates securities for other-than-temporary impairment on a periodic basis. Factors considered in determining whether an impairment is other than temporary include: (1) the length of time and the extent to which the fair value has been less than cost, (2) the financial condition and near-term prospects of the issuer and (3) the intent and ability of the Company to hold the investment for a period of time sufficient to allow for any anticipated recovery in fair value. If the Company intends to sell an impaired security, the Company records an other-than-temporary loss in an amount equal to the entire difference between the fair value and amortized cost. If a security is determined to be other-than-temporarily impaired, but the Company does not intend to sell the security, only the credit portion of the estimated loss is recognized in earnings, with the other portion of the loss recognized in other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Stock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periods presented, the Company has owned investments in the stock of the Federal Home Loan Bank of Boston ("FHLBB"). No readily-available market exists for these stocks, and they have no quoted market values. The Bank, as a member of the FHLBB, is required to maintain investments in the capital stock of the FHLBB equal to their membership base investments plus an activity-based investment determined according to the Bank's level of outstanding FHLBB advances. The Company reviews its investments in FHLBB stock periodically to determine if other-than-temporary impairment exists. The Company reviews recent public filings, rating agency analysis and other factors, when making the determination. As of June 30, 2018, no impairment has been recognized.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Sale and Loan Servicing</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Residential real estate mortgage loans are designated as held for sale or held to maturity based on intent, which is determined when loans are underwritten. Loans originated and held for sale in the secondary market are carried at the lower of cost or fair value. The SBA Division loans are designated as held for sale based on intent to sell, which is determined on a quarterly basis. The guaranteed portions of the loans are transferred to held for sale and are carried at the lower of cost or fair value. Realized gains and losses on sales of residential loans are determined using the specific identification method, and realized gains and losses on sales of SBA loans are determined using the allocation of participating interests sold and retained. Direct loan origination costs and fees related to loans held for sale are deferred upon origination and are recognized as an adjustment to the gain or loss on the date of sale.</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mortgage loans to be held for sale, the Company often offers interest rate lock commitments to prospective borrowers. The Company manages this interest rate risk by entering into offsetting forward sale agreements with third party investors for certain funded loans and loan commitments. The Company uses "best efforts" forward loan sale commitments to mitigate the risk of potential decreases in the values of loans that would result from the exercise of the derivative loan commitments. The gross effect of the derivative loan commitments and forward sale agreements is nominal at each date presented.</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its SBA Division activities, the Company recognizes the SBA servicing rights as separate assets, which is classified as servicing rights, net, on the consolidated balance sheet. The Company capitalizes SBA servicing rights at the net present value of the fee income and servicing cost spread upon the sale of the related loans. The Company uses the amortization method to subsequently measure servicing assets. The SBA servicing rights are amortized over the estimated weighted average life of the loans. The Company's assumptions with respect to prepayments, which affect the estimated average life of the loans, are adjusted quarterly and as necessary to reflect current circumstances. The Company evaluates the estimated life and fair value of its servicing portfolio based on data that is disaggregated to reflect note rate, type, and term on the underlying loans. The Company performs an assessment of capitalized SBA servicing rights for impairment based on the current fair value of those rights. Fair value of the servicing rights is based on a valuation model that calculates the present value of estimated future net servicing income. The valuation model incorporates assumptions that market participants would use in estimating future net servicing income, such as the cost to service, the discount rate, prepayment speeds and default rates and losses. Impairment is recognized through a valuation allowance to the extent that fair value is less than the capitalized amount. If the Company later determines that all or a portion of the impairment no longer exists, a reduction of the allowance may be recorded as an increase to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any unamortized discount or premium is recognized in interest income. Interest income is accrued based upon the daily principal amount outstanding except for loans on nonaccrual status.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income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cases where a borrower experiences financial difficulties and the Company makes certain concessionary modifications to contractual terms, the loan is classified as a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generally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estimated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88"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years ended June 30, 2018 or 2017.</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Premises and Equipment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Premises and equipment are stated at cost less accumulated depreciation and amortization. Depreciation and amortization are computed by the straight-line method over the estimated useful lives of the assets or the respective lease terms. Premises and equipment under capital leases are amortized over the estimated useful lives of the assets or the respective lease terms, whichever is shorter. Maintenance and repairs are charged to expense as incurred and the cost of major renewals and betterments are capitalized.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Identifiable intangible assets subject to amortization are amortized over the estimated lives of the intangibles using a method that approximates the amount of economic benefits that are realized by the Company. Identifiable intangible assets are reviewed for impairment annually and whenever events or changes in circumstances indicate that the carrying amount of the assets may not be recoverable.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Owned and Other Repossessed Collateral</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Assets in control of the Company or acquired through foreclosure or repossession are held for sale and are initially recorded at fair value less estimated costs to sell at the date control is established, resulting in a new cost basis. The amount by which the recorded investment in the loan exceeds the fair value (net of estimated cost to sell) of the foreclosed asset is charged to the allowance for loan losses. Subsequent declines in the fair value of the foreclosed asset below the new cost basis are recorded through the use of a valuation allowance or through a direct write-off. Subsequent increases in the fair value may only be recorded to the extent of any previously recognized valuation allowance. Rental revenue received and gains and losses recognized on foreclosed assets is included in other noninterest income, whereas operating expenses and changes in the valuation allowance relating to foreclosed assets are included in other noninterest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The Company reviews long-lived assets, including premises and equipment, for impairment whenever events or changes in business circumstances indicate that the remaining useful life may warrant revision or that the carrying amount of the long-lived asset may not be fully recoverable. The Company performs undiscounted cash flow analyses to determine if impairment exists. If impairment is determined to exist, any related impairment loss is calculated based on fair value. Impairment losses on assets to be disposed of, if any, are based on the estimated proceeds to be received, less costs of disposal.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Bank-Owned Life Insurance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Increases in the cash surrender value of bank-owned life insurance policies, as well as death benefits received net of any cash surrender value, are recorded in noninterest income, and are not subject to income taxes. The cash surrender value of the policies not previously endorsed to participants are recorded as assets of the Company. Any amounts owed to participants relating to these policies are recorded as liabilities of the Company. The Company reviews the financial strength of the insurance carriers prior to the purchase of life insurance policies and no less than annually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Accordingly, changes resulting from the Tax Cuts and Jobs Act (the “Act”) enacted on December 22, 2017 have been recognized in the consolidated financial statements as of and for the year ended June 30, 2018. The Company's policy is to recognize interest and penalties assessed on uncertain tax positions in income tax expense. See Note 12 to the consolidated financial statements. The Company exercises significant judgment in evaluating the amount and timing of recognition of the resulting tax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reserve for uncertain tax positions as of June 30, 2018 or 2017.</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July 1, 2017, with the application of ASU 2016-09, Compensation-Stock Compensation (Topic 718): Improvements to Employee Share-Based Payment Accounting, the Company no longer records the excess tax benefits or deficiencies related to share-based compensation in additional paid-in capital. Instead, excess tax benefits or deficiencies are recorded in the income statement as part of the income tax expense on a prospective basis. For interim reporting purposes, the excess tax benefits or deficiencies are recorded as discrete items in the period in which they arise. Excess tax benefits are now presented as an operating activity in the consolidated statement of cash flows. In addition, under the new guidance, when calculating incremental shares for earnings per share, entities exclude from assumed proceeds excess tax benefits that previously would have been recorded in additional paid-in capital. The total income tax benefit recorded in income tax expense relating to excess tax benefits on stock-based compensation for the year ended June 30, 2018 was $1.3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stock-based compensation plans provide for awards of stock options, restricted stock and other stock-based compensation to directors, officers and employees. The cost of employee services received in exchange for awards of equity instruments is based on the grant-date fair value of those awards. Compensation cost is recognized over the requisite service period as a component of compensation expense. For awards with graded-vesting, compensation cost is recognized on a straight-line basis over the requisite service period for the entire award. The Company uses the Black-Scholes model to estimate the fair value of stock options, while the market price of the Company's common stock at the date of grant is used for restricted stock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Comprehensive income consists of net income and other comprehensive income (loss). Other comprehensive income (loss) includes unrealized gains and losses on securities available for sale, unrealized losses related to factors other than credit on debt securities, unrealized gains and losses on cash flow hedges and deferred gains on hedge accounting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performance-based measures. Basic earnings per share is calculated by dividing net income available to common shareholders by the weighted-average number of common shares outstanding (inclusive of participating securities). Diluted earnings per share have been calculated in a manner similar to that of basic earnings per share, except that the weighted-average number of common shares outstanding is increased to include the number of additional common shares that would have been outstanding if all potentially dilutive common shares (such as those resulting from the exercise of stock options or the attainment of performance measures) were issued during the period, computed using the treasury stock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Derivative instruments are carried at fair value in the Company's consolidated financial statements. The accounting for changes in the fair value of a derivative instrument is determined by whether it has been designated and qualifies as part of a hedging relationship, and further, by the type of hedging relationship. For those derivative instruments that are designated and qualify as hedging instruments, the Company designates the hedging instrument, based upon the exposure being hedged, as either a fair value hedge or a cash flow hedge. For derivative instruments that are designated and qualify as a cash flow hedge (i.e., hedging the exposure to variability in expected future cash flows that is attributable to a particular risk), the effective portion of the gain or loss on the derivative instrument is reported as a component of other comprehensive income, net of related tax, and reclassified into earnings in the same period or periods during which the hedged transactions affect earnings. The remaining gain or loss on the derivative instrument in excess of the cumulative change in the present value of future cash flows of the hedged item (i.e., the ineffective portion), if any, is recognized in current earnings during the period. For derivative instruments designated and qualifying as a fair value hedge (i.e., hedging the exposure to changes in the fair value of an asset or liability or an identified portion thereof that is attributable to the hedged risk), the gain or loss on the derivative instrument, as well as the offsetting gain or loss on the hedged item attributable to the hedged risk, are recognized in current earnings during the period of the change in fair values. At the inception of a hedge, the Company documents certain items, including but not limited to the following: the relationship between hedging instruments and hedged items, Company risk management objectives, hedging strategies, and the evaluation of hedge transaction effectiveness. Documentation includes linking all derivatives designated as fair value or cash flow hedges to specific assets and liabilities on the balance sheet or to specific forecasted transactions.</w:t>
      </w:r>
    </w:p>
    <w:p>
      <w:pPr>
        <w:spacing w:after="0" w:line="17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Hedge accounting is discontinued prospectively when (1) a derivative is no longer highly effective in offsetting changes in the fair value or cash flow of a hedged item, (2) a derivative expires or is sold, (3) a derivative is de-designated as a hedge, because it is unlikely that a forecasted transaction will occur, or</w:t>
      </w:r>
    </w:p>
    <w:p>
      <w:pPr>
        <w:ind w:right="80" w:firstLine="8"/>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determined that designation of a derivative as a hedge is no longer appropriate. For derivative instruments not designated as hedging instruments, the gain or loss on the derivative is recognized in current earnings during the period of change.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Transfer of Financial Assets</w:t>
      </w:r>
    </w:p>
    <w:p>
      <w:pPr>
        <w:spacing w:after="0" w:line="225"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There are no agreements to repurchase before their maturity.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Transfers of a portion of a loan must meet the criteria of a participating interest. If it does not meet the criteria of a participating interest, the transfer must be accounted for as a secured borrowing. In order to meet the criteria for a participating interest, all cash flows from the loan must be divided proportionately, the rights of each loan holder must have the same priority, and the loan holders must have no recourse to the transferor other than standard representations and warranties and no loan holder has the right to pledge or exchange the entire loan.</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sells financial assets in the normal course of business, the majority of which are related to the SBA-guaranteed portion of loans, as well as residential mortgage loan sales through established programs, commercial loan sales through participation agreements, and other individual or portfolio loan and securities sales. In accordance with accounting guidance for asset transfers, the Company considers any ongoing involvement with transferred assets in determining whether the assets can be derecognized from the balance sheet. With the exception of servicing and certain performance-based guarantees, the Company's continuing involvement with financial assets sold is minimal and generally limited to market customary representation and warranty clauses.</w:t>
      </w:r>
    </w:p>
    <w:p>
      <w:pPr>
        <w:spacing w:after="0" w:line="15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When the Company sells financial assets, it may retain servicing rights and/or other interests in the financial assets. The gain or loss on sale depends on the previous carrying amount of the transferred financial assets, the servicing right recognized, and the consideration received and any liabilities incurred in exchange for the transferred assets. Upon transfer, any servicing assets and other interests held by the Company are carried at the lower of cost or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operations are considered by management to be one operating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606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w:t>
      </w:r>
      <w:r>
        <w:rPr>
          <w:rFonts w:ascii="Arial" w:cs="Arial" w:eastAsia="Arial" w:hAnsi="Arial"/>
          <w:sz w:val="17"/>
          <w:szCs w:val="17"/>
          <w:color w:val="auto"/>
        </w:rPr>
        <w:t>606</w:t>
      </w:r>
      <w:r>
        <w:rPr>
          <w:rFonts w:ascii="Arial" w:cs="Arial" w:eastAsia="Arial" w:hAnsi="Arial"/>
          <w:sz w:val="17"/>
          <w:szCs w:val="17"/>
          <w:i w:val="1"/>
          <w:iCs w:val="1"/>
          <w:color w:val="auto"/>
        </w:rPr>
        <w:t xml:space="preserve">) </w:t>
      </w:r>
      <w:r>
        <w:rPr>
          <w:rFonts w:ascii="Arial" w:cs="Arial" w:eastAsia="Arial" w:hAnsi="Arial"/>
          <w:sz w:val="17"/>
          <w:szCs w:val="17"/>
          <w:color w:val="auto"/>
        </w:rPr>
        <w:t>(“ASU 2015-14”) was issued in August 2015 which defers adoption to annual reporting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2017. The timing of the Company’s revenue recognition is not expected to materially change. The Company’s largest portions of revenue, interest and fees on loans and gain on sales of loans, are specifically excluded from the scope of the guidance, and the Company currently recognizes the majority of the remaining revenue sources in a manner that management believes is consistent with the new guidance. Because of this, management believes that revenue recognized under the new guidance will generally approximate revenue recognized under current US GAAP. These observations are subject to change as the evaluation is completed.</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w:t>
      </w:r>
      <w:r>
        <w:rPr>
          <w:rFonts w:ascii="Arial" w:cs="Arial" w:eastAsia="Arial" w:hAnsi="Arial"/>
          <w:sz w:val="16"/>
          <w:szCs w:val="16"/>
          <w:color w:val="auto"/>
        </w:rPr>
        <w:t xml:space="preserve"> 825</w:t>
      </w:r>
      <w:r>
        <w:rPr>
          <w:rFonts w:ascii="Arial" w:cs="Arial" w:eastAsia="Arial" w:hAnsi="Arial"/>
          <w:sz w:val="16"/>
          <w:szCs w:val="16"/>
          <w:i w:val="1"/>
          <w:iCs w:val="1"/>
          <w:color w:val="auto"/>
        </w:rPr>
        <w:t>-</w:t>
      </w:r>
      <w:r>
        <w:rPr>
          <w:rFonts w:ascii="Arial" w:cs="Arial" w:eastAsia="Arial" w:hAnsi="Arial"/>
          <w:sz w:val="16"/>
          <w:szCs w:val="16"/>
          <w:color w:val="auto"/>
        </w:rPr>
        <w:t>10</w:t>
      </w:r>
      <w:r>
        <w:rPr>
          <w:rFonts w:ascii="Arial" w:cs="Arial" w:eastAsia="Arial" w:hAnsi="Arial"/>
          <w:sz w:val="16"/>
          <w:szCs w:val="16"/>
          <w:i w:val="1"/>
          <w:iCs w:val="1"/>
          <w:color w:val="auto"/>
        </w:rPr>
        <w:t>):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Early adoption is permitted for only one of the six amendments. The impact of the change in equity investments will depend on market conditions, but if applied in fiscal 2018, would have resulted in a loss related to changes in fair value of equity investments of $152 thousand (pre-tax) being recognized in net income versus other comprehensive income. The disclosure of the fair value of “Loans, net” in “Note 18: Fair Value Measurements” is subject to change at adoption of the guidance based on an exit pricing strategy versus an entry pricing strategy when determining the fair value. The Company is currently evaluating the amount of expected change in the disclosure, but the adoption does not impact the operations of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842</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consolidated financial statements.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718</w:t>
      </w:r>
      <w:r>
        <w:rPr>
          <w:rFonts w:ascii="Arial" w:cs="Arial" w:eastAsia="Arial" w:hAnsi="Arial"/>
          <w:sz w:val="18"/>
          <w:szCs w:val="18"/>
          <w:i w:val="1"/>
          <w:iCs w:val="1"/>
          <w:color w:val="auto"/>
        </w:rPr>
        <w:t>):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are required to recognize the income tax effects of awards in the income statement when the awards vest or are settled. This guidance became effective for the Company for the fiscal year beginning July 1, 2017. For reporting purposes the excess tax benefits or deficiencies shall be recorded as discrete items in the period in which they occur. In addition to the excess tax benefit treatment, the amendment removed the assumed proceeds related to the excess tax benefit from the calculation of diluted shares.</w:t>
      </w:r>
    </w:p>
    <w:p>
      <w:pPr>
        <w:spacing w:after="0" w:line="18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Upon adoption, the most significant impact of this amendment resulted from the prospective application of current excess tax benefits and deficiencies being recognized in income tax expense, which would previously have been recognized in additional paid-in capital. For the year ended June 30, 2018, this item reduced income tax expense and increased net income by approximately $1.3 million, representing an income tax benefit arising from individuals who exercised non-qualified stock options and restricted stock awards that vested during the period. For the year ended June 30, 2017, the Company recognized $27 thousand in additional paid-in-capital related to the excess tax benefit, which, if under the new ASU, would have been recognized as an income tax benefit in the income statement. These amounts, treated as discrete items in the period in which they occur, will vary from year to year as a function of the volume of share-based payments vested or exercised and the then fair market value of the Company's stock in comparison to the compensation cost recognized in the financial statements. In addition to the excess tax benefit treatment, the amendment removed the assumed proceeds related to the excess tax benefit from the calculation of diluted shares which increased diluted weighted average common shares outstanding by 40,966 shares to 9,089,936. This amendment is applied on a prospective basis, and no prior periods were adjusted. Additionally upon adoption, the Company made a policy election to record forfeitures as they occur rather than make use of an estimate. The other provisions did not have a material impact on the Company's consolidated financial statements upon adoption.</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326</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US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has engaged an existing third party service provider to assist in implementation.</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w:t>
      </w:r>
      <w:r>
        <w:rPr>
          <w:rFonts w:ascii="Arial" w:cs="Arial" w:eastAsia="Arial" w:hAnsi="Arial"/>
          <w:sz w:val="17"/>
          <w:szCs w:val="17"/>
          <w:color w:val="auto"/>
        </w:rPr>
        <w:t xml:space="preserve"> 718</w:t>
      </w:r>
      <w:r>
        <w:rPr>
          <w:rFonts w:ascii="Arial" w:cs="Arial" w:eastAsia="Arial" w:hAnsi="Arial"/>
          <w:sz w:val="17"/>
          <w:szCs w:val="17"/>
          <w:i w:val="1"/>
          <w:iCs w:val="1"/>
          <w:color w:val="auto"/>
        </w:rPr>
        <w:t>): Scope of Modification Accounting</w:t>
      </w:r>
      <w:r>
        <w:rPr>
          <w:rFonts w:ascii="Arial" w:cs="Arial" w:eastAsia="Arial" w:hAnsi="Arial"/>
          <w:sz w:val="17"/>
          <w:szCs w:val="17"/>
          <w:color w:val="auto"/>
        </w:rPr>
        <w:t xml:space="preserve"> (“ASU 2017-09”) which amends the scope of modification accounting for share-based payment arrangements. This update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is effective for public business entities for annual periods being after December 15, 2017, including interim periods within those annual periods. Early adoption is permitted including adopting in any interim period. This update will be applied prospectively to awards modified on or after the effective date. The adoption of this guidance is not expected to have an impact on the Company’s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w:t>
      </w:r>
      <w:r>
        <w:rPr>
          <w:rFonts w:ascii="Arial" w:cs="Arial" w:eastAsia="Arial" w:hAnsi="Arial"/>
          <w:sz w:val="16"/>
          <w:szCs w:val="16"/>
          <w:color w:val="auto"/>
        </w:rPr>
        <w:t xml:space="preserve"> 815</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2017-12”). This guidance permits hedge accounting for risk components in hedging relationships involving nonfinancial risk and interest rate risk, and improves the financial reporting of hedging relationships to better portray the economic results of an entity’s risk management activities in its financial statements.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consolidated financial statements.</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Reporting Comprehensive Income (Topic</w:t>
      </w:r>
      <w:r>
        <w:rPr>
          <w:rFonts w:ascii="Arial" w:cs="Arial" w:eastAsia="Arial" w:hAnsi="Arial"/>
          <w:sz w:val="17"/>
          <w:szCs w:val="17"/>
          <w:color w:val="auto"/>
        </w:rPr>
        <w:t xml:space="preserve"> 220</w:t>
      </w:r>
      <w:r>
        <w:rPr>
          <w:rFonts w:ascii="Arial" w:cs="Arial" w:eastAsia="Arial" w:hAnsi="Arial"/>
          <w:sz w:val="17"/>
          <w:szCs w:val="17"/>
          <w:i w:val="1"/>
          <w:iCs w:val="1"/>
          <w:color w:val="auto"/>
        </w:rPr>
        <w:t>)</w:t>
      </w:r>
      <w:r>
        <w:rPr>
          <w:rFonts w:ascii="Arial" w:cs="Arial" w:eastAsia="Arial" w:hAnsi="Arial"/>
          <w:sz w:val="17"/>
          <w:szCs w:val="17"/>
          <w:color w:val="auto"/>
        </w:rPr>
        <w:t xml:space="preserve"> (“ASU 2018-02”). This guidance allows a reclassification from accumulated other comprehensive income to retained earnings for stranded tax effects resulting from the “Tax Cuts and Jobs Act,” which was signed into law in December 2017. The amendments in this guidance are effective for all entities for fiscal years beginning after December 15, 2018, and interim periods within those fiscal years. Early adoption is permitted, including adoption in an interim period. The Company adopted this guidance during the three months ended March 31, 2018. This adoption resulted in a reclassification of $283 thousand to accumulated other comprehensive income from retained earnings in the consolidated financial statements, with no net effect on shareholders' equity.</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2018, the FASB issued ASU 2018-10, </w:t>
      </w:r>
      <w:r>
        <w:rPr>
          <w:rFonts w:ascii="Arial" w:cs="Arial" w:eastAsia="Arial" w:hAnsi="Arial"/>
          <w:sz w:val="17"/>
          <w:szCs w:val="17"/>
          <w:i w:val="1"/>
          <w:iCs w:val="1"/>
          <w:color w:val="auto"/>
        </w:rPr>
        <w:t>Codification Improvements to Topic</w:t>
      </w:r>
      <w:r>
        <w:rPr>
          <w:rFonts w:ascii="Arial" w:cs="Arial" w:eastAsia="Arial" w:hAnsi="Arial"/>
          <w:sz w:val="17"/>
          <w:szCs w:val="17"/>
          <w:color w:val="auto"/>
        </w:rPr>
        <w:t xml:space="preserve">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2018-10”) and ASU 2018-11, </w:t>
      </w:r>
      <w:r>
        <w:rPr>
          <w:rFonts w:ascii="Arial" w:cs="Arial" w:eastAsia="Arial" w:hAnsi="Arial"/>
          <w:sz w:val="17"/>
          <w:szCs w:val="17"/>
          <w:i w:val="1"/>
          <w:iCs w:val="1"/>
          <w:color w:val="auto"/>
        </w:rPr>
        <w:t>Leases (Topic</w:t>
      </w:r>
      <w:r>
        <w:rPr>
          <w:rFonts w:ascii="Arial" w:cs="Arial" w:eastAsia="Arial" w:hAnsi="Arial"/>
          <w:sz w:val="17"/>
          <w:szCs w:val="17"/>
          <w:color w:val="auto"/>
        </w:rPr>
        <w:t xml:space="preserve"> 842</w:t>
      </w:r>
      <w:r>
        <w:rPr>
          <w:rFonts w:ascii="Arial" w:cs="Arial" w:eastAsia="Arial" w:hAnsi="Arial"/>
          <w:sz w:val="17"/>
          <w:szCs w:val="17"/>
          <w:i w:val="1"/>
          <w:iCs w:val="1"/>
          <w:color w:val="auto"/>
        </w:rPr>
        <w:t>)</w:t>
      </w:r>
      <w:r>
        <w:rPr>
          <w:rFonts w:ascii="Arial" w:cs="Arial" w:eastAsia="Arial" w:hAnsi="Arial"/>
          <w:sz w:val="17"/>
          <w:szCs w:val="17"/>
          <w:color w:val="auto"/>
        </w:rPr>
        <w:t xml:space="preserve"> (“ASU 2018-11”). The guidance provides clarification on the application of ASU 2016-02, specifically on certain narrow aspects of the guidance issued under ASU 2016-02, including comparative reporting requirements for initial adoption and, for lessors only, separating lease and non-lease components in a contract and allocating the consideration in the contract to the separate components. For entities that have not adopted ASU 2016-02 before the issuance of these updates, the amendments in this guidance are the same as the effective date and transition requirements in ASU 2016-02. The adoption of this guidance is not expected to have an impact on the Company’s consolidated financial statements.</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 for 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color w:val="auto"/>
                <w:w w:val="89"/>
              </w:rPr>
              <w:t>June 30, 2018</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57,129</w:t>
            </w:r>
          </w:p>
        </w:tc>
        <w:tc>
          <w:tcPr>
            <w:tcW w:w="13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25,276</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89,271</w:t>
            </w:r>
          </w:p>
        </w:tc>
        <w:tc>
          <w:tcPr>
            <w:tcW w:w="13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87,687</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color w:val="auto"/>
                <w:w w:val="89"/>
              </w:rPr>
              <w:t>June 30, 2017</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57,401</w:t>
            </w:r>
          </w:p>
        </w:tc>
        <w:tc>
          <w:tcPr>
            <w:tcW w:w="13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33,523</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97,641</w:t>
            </w:r>
          </w:p>
        </w:tc>
        <w:tc>
          <w:tcPr>
            <w:tcW w:w="13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2018, the Company held no securities of any single issuer (excluding the U. S. Government and federal agencies) with a book value that exceeded 10% of shareholders’ equity.</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When securities are sold, the adjusted cost of the specific security sold is used to compute the gain or loss on sale. There were no securities sold during the years ending June 30, 2018 or 2017. At June 30, 2018, no investment securities were pledged as collateral to secure outstanding FHLBB advances.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27,253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86,144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81,854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years ended June 30, 2018, 2017, and 2016.</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June 30, 2018, the Company had thirty securities in a continuous loss position for greater than twelve months. At June 30, 2018, all of the Company’s available-for-sale securities were issued or guaranteed by either government agencies or government-sponsored enterprises. The decline in fair value of the Company’s available-for-sale securities at June 30, 2018 is attributable to changes in interest rates.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June 30, 2018,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June 30, 2018.</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 SBA 7(a) loans, as applicable. As of June 30, 2018, the effective duration of the fund that seeks to invest in securities either issued or guaranteed by the U.S. government or its agencies is 4.60 years.</w:t>
      </w:r>
    </w:p>
    <w:p>
      <w:pPr>
        <w:spacing w:after="0" w:line="18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June 30, 2018. Actual maturities may differ from contractual maturities because borrowers may have the right to call or prepay obligations with or without call or prepayment penalties.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Amortized 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c>
          <w:tcPr>
            <w:tcW w:w="22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32,887</w:t>
            </w:r>
          </w:p>
        </w:tc>
        <w:tc>
          <w:tcPr>
            <w:tcW w:w="228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33,485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33,101</w:t>
            </w:r>
          </w:p>
        </w:tc>
        <w:tc>
          <w:tcPr>
            <w:tcW w:w="22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15,080</w:t>
            </w:r>
          </w:p>
        </w:tc>
        <w:tc>
          <w:tcPr>
            <w:tcW w:w="228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ten years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81,068</w:t>
            </w:r>
          </w:p>
        </w:tc>
        <w:tc>
          <w:tcPr>
            <w:tcW w:w="2280" w:type="dxa"/>
            <w:vAlign w:val="bottom"/>
          </w:tcPr>
          <w:p>
            <w:pPr>
              <w:spacing w:after="0"/>
              <w:rPr>
                <w:sz w:val="19"/>
                <w:szCs w:val="19"/>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w w:val="91"/>
              </w:rPr>
              <w:t>June 30, 2018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2017</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Originated</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20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13,931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256,280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498,004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187,857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174,468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r>
      <w:tr>
        <w:trPr>
          <w:trHeight w:val="20"/>
        </w:trPr>
        <w:tc>
          <w:tcPr>
            <w:tcW w:w="3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2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580,830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290,972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871,802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532,807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r>
      <w:tr>
        <w:trPr>
          <w:trHeight w:val="20"/>
        </w:trPr>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loans include deferred loan origination costs, net, of $223 thousand as of June 30, 2018 and $507 thousand as of June 30, 2017.</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Loans pledged as collateral with the FHLBB for outstanding borrowings and additional borrowing capacity totaled $128.3 million and $163.5 million at June 30, 2018 and 2017, respectively.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years ended June 30, 2018 and 2017, the Company sold four LASG purchased loans with a total principal balance of $2.8 million for a gain of $918 thousand, and a commercial loan portfolio of $18.3 million for a gain of $365 thousand,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Related Party Loans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Certain of the Company's related parties are credit customers of the Company in the ordinary course of business. All loans and commitments included in such transactions are on such terms, including interest rates, repayment terms and collateral, as those prevailing at the time for comparable transactions with persons who are not affiliated with the Bank and do not involve more than a normal risk of collectability or present other features unfavorable to the Bank.</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2018 and 2017, the outstanding loan balances to directors, officers, principal shareholders and their associates were $129 thousand and $208 thousand, respectively. All loans to these related parties were current and accruing at those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June 30, 2018</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89"/>
              </w:rPr>
              <w:t>Past Due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89"/>
              </w:rPr>
              <w:t>Past Due</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90 Days or</w:t>
            </w:r>
          </w:p>
        </w:tc>
        <w:tc>
          <w:tcPr>
            <w:tcW w:w="100" w:type="dxa"/>
            <w:vAlign w:val="bottom"/>
          </w:tcPr>
          <w:p>
            <w:pPr>
              <w:spacing w:after="0"/>
              <w:rPr>
                <w:sz w:val="18"/>
                <w:szCs w:val="18"/>
                <w:color w:val="auto"/>
              </w:rPr>
            </w:pPr>
          </w:p>
        </w:tc>
        <w:tc>
          <w:tcPr>
            <w:tcW w:w="1120" w:type="dxa"/>
            <w:vAlign w:val="bottom"/>
            <w:gridSpan w:val="3"/>
          </w:tcPr>
          <w:p>
            <w:pPr>
              <w:jc w:val="center"/>
              <w:ind w:right="130"/>
              <w:spacing w:after="0"/>
              <w:rPr>
                <w:sz w:val="20"/>
                <w:szCs w:val="20"/>
                <w:color w:val="auto"/>
              </w:rPr>
            </w:pPr>
            <w:r>
              <w:rPr>
                <w:rFonts w:ascii="Arial" w:cs="Arial" w:eastAsia="Arial" w:hAnsi="Arial"/>
                <w:sz w:val="18"/>
                <w:szCs w:val="18"/>
                <w:color w:val="auto"/>
                <w:w w:val="89"/>
              </w:rPr>
              <w:t>90 Days or</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30-59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More-Still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30"/>
              <w:spacing w:after="0"/>
              <w:rPr>
                <w:sz w:val="20"/>
                <w:szCs w:val="20"/>
                <w:color w:val="auto"/>
              </w:rPr>
            </w:pPr>
            <w:r>
              <w:rPr>
                <w:rFonts w:ascii="Arial" w:cs="Arial" w:eastAsia="Arial" w:hAnsi="Arial"/>
                <w:sz w:val="18"/>
                <w:szCs w:val="18"/>
                <w:color w:val="auto"/>
                <w:w w:val="97"/>
              </w:rPr>
              <w:t>More-</w:t>
            </w:r>
          </w:p>
        </w:tc>
        <w:tc>
          <w:tcPr>
            <w:tcW w:w="1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Past</w:t>
            </w:r>
          </w:p>
        </w:tc>
        <w:tc>
          <w:tcPr>
            <w:tcW w:w="10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Days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Accruing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Nonaccrual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Due</w:t>
            </w:r>
          </w:p>
        </w:tc>
        <w:tc>
          <w:tcPr>
            <w:tcW w:w="22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Current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(Dollars in</w:t>
            </w:r>
          </w:p>
        </w:tc>
        <w:tc>
          <w:tcPr>
            <w:tcW w:w="900" w:type="dxa"/>
            <w:vAlign w:val="bottom"/>
            <w:gridSpan w:val="3"/>
          </w:tcPr>
          <w:p>
            <w:pPr>
              <w:jc w:val="right"/>
              <w:ind w:right="110"/>
              <w:spacing w:after="0"/>
              <w:rPr>
                <w:sz w:val="20"/>
                <w:szCs w:val="20"/>
                <w:color w:val="auto"/>
              </w:rPr>
            </w:pPr>
            <w:r>
              <w:rPr>
                <w:rFonts w:ascii="Arial" w:cs="Arial" w:eastAsia="Arial" w:hAnsi="Arial"/>
                <w:sz w:val="18"/>
                <w:szCs w:val="18"/>
                <w:color w:val="auto"/>
                <w:w w:val="76"/>
              </w:rPr>
              <w:t>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1,201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1,786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74,087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75,873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302,993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303,399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187,065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187,857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2,335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577,425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580,830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272,032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276,051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286,643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290,972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864,068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871,802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6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June 30, 2017</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89"/>
              </w:rPr>
              <w:t>Past Due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30"/>
              <w:spacing w:after="0" w:line="195" w:lineRule="exact"/>
              <w:rPr>
                <w:sz w:val="20"/>
                <w:szCs w:val="20"/>
                <w:color w:val="auto"/>
              </w:rPr>
            </w:pPr>
            <w:r>
              <w:rPr>
                <w:rFonts w:ascii="Arial" w:cs="Arial" w:eastAsia="Arial" w:hAnsi="Arial"/>
                <w:sz w:val="18"/>
                <w:szCs w:val="18"/>
                <w:color w:val="auto"/>
                <w:w w:val="89"/>
              </w:rPr>
              <w:t>Past Due</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90 Days or</w:t>
            </w:r>
          </w:p>
        </w:tc>
        <w:tc>
          <w:tcPr>
            <w:tcW w:w="100" w:type="dxa"/>
            <w:vAlign w:val="bottom"/>
          </w:tcPr>
          <w:p>
            <w:pPr>
              <w:spacing w:after="0"/>
              <w:rPr>
                <w:sz w:val="18"/>
                <w:szCs w:val="18"/>
                <w:color w:val="auto"/>
              </w:rPr>
            </w:pPr>
          </w:p>
        </w:tc>
        <w:tc>
          <w:tcPr>
            <w:tcW w:w="1120" w:type="dxa"/>
            <w:vAlign w:val="bottom"/>
            <w:gridSpan w:val="3"/>
          </w:tcPr>
          <w:p>
            <w:pPr>
              <w:jc w:val="center"/>
              <w:ind w:right="130"/>
              <w:spacing w:after="0"/>
              <w:rPr>
                <w:sz w:val="20"/>
                <w:szCs w:val="20"/>
                <w:color w:val="auto"/>
              </w:rPr>
            </w:pPr>
            <w:r>
              <w:rPr>
                <w:rFonts w:ascii="Arial" w:cs="Arial" w:eastAsia="Arial" w:hAnsi="Arial"/>
                <w:sz w:val="18"/>
                <w:szCs w:val="18"/>
                <w:color w:val="auto"/>
                <w:w w:val="89"/>
              </w:rPr>
              <w:t>90 Days or</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5"/>
              </w:rPr>
              <w:t>60-89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More-Still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30"/>
              <w:spacing w:after="0"/>
              <w:rPr>
                <w:sz w:val="20"/>
                <w:szCs w:val="20"/>
                <w:color w:val="auto"/>
              </w:rPr>
            </w:pPr>
            <w:r>
              <w:rPr>
                <w:rFonts w:ascii="Arial" w:cs="Arial" w:eastAsia="Arial" w:hAnsi="Arial"/>
                <w:sz w:val="18"/>
                <w:szCs w:val="18"/>
                <w:color w:val="auto"/>
                <w:w w:val="97"/>
              </w:rPr>
              <w:t>More-</w:t>
            </w:r>
          </w:p>
        </w:tc>
        <w:tc>
          <w:tcPr>
            <w:tcW w:w="1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Past</w:t>
            </w:r>
          </w:p>
        </w:tc>
        <w:tc>
          <w:tcPr>
            <w:tcW w:w="100" w:type="dxa"/>
            <w:vAlign w:val="bottom"/>
          </w:tcPr>
          <w:p>
            <w:pPr>
              <w:spacing w:after="0"/>
              <w:rPr>
                <w:sz w:val="18"/>
                <w:szCs w:val="18"/>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Days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Accruing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Nonaccrual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Due</w:t>
            </w:r>
          </w:p>
        </w:tc>
        <w:tc>
          <w:tcPr>
            <w:tcW w:w="220" w:type="dxa"/>
            <w:vAlign w:val="bottom"/>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Current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(Dollars in</w:t>
            </w:r>
          </w:p>
        </w:tc>
        <w:tc>
          <w:tcPr>
            <w:tcW w:w="900" w:type="dxa"/>
            <w:vAlign w:val="bottom"/>
            <w:gridSpan w:val="3"/>
          </w:tcPr>
          <w:p>
            <w:pPr>
              <w:jc w:val="right"/>
              <w:ind w:right="110"/>
              <w:spacing w:after="0"/>
              <w:rPr>
                <w:sz w:val="20"/>
                <w:szCs w:val="20"/>
                <w:color w:val="auto"/>
              </w:rPr>
            </w:pPr>
            <w:r>
              <w:rPr>
                <w:rFonts w:ascii="Arial" w:cs="Arial" w:eastAsia="Arial" w:hAnsi="Arial"/>
                <w:sz w:val="18"/>
                <w:szCs w:val="18"/>
                <w:color w:val="auto"/>
                <w:w w:val="76"/>
              </w:rPr>
              <w:t>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1,398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81,646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253,890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256,280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172,035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174,468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525,613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532,807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236,632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241,724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240,198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246,388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765,811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779,195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7"/>
              </w:rPr>
              <w:t>Year Ended June 30, 2018</w:t>
            </w: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9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6"/>
                <w:szCs w:val="16"/>
                <w:color w:val="auto"/>
              </w:rPr>
            </w:pPr>
          </w:p>
        </w:tc>
        <w:tc>
          <w:tcPr>
            <w:tcW w:w="116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7"/>
              </w:rPr>
              <w:t>Commercial</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6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Provision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Charge-offs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6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7"/>
              </w:rPr>
              <w:t>Year Ended June 30, 2017</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9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6"/>
                <w:szCs w:val="16"/>
                <w:color w:val="auto"/>
              </w:rPr>
            </w:pPr>
          </w:p>
        </w:tc>
        <w:tc>
          <w:tcPr>
            <w:tcW w:w="116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7"/>
              </w:rPr>
              <w:t>Commercial</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Provision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Charge-offs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6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7"/>
              </w:rPr>
              <w:t>Year Ended June 30, 2016</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w w:val="94"/>
              </w:rPr>
              <w:t>Residential</w:t>
            </w:r>
          </w:p>
        </w:tc>
        <w:tc>
          <w:tcPr>
            <w:tcW w:w="80" w:type="dxa"/>
            <w:vAlign w:val="bottom"/>
          </w:tcPr>
          <w:p>
            <w:pPr>
              <w:spacing w:after="0"/>
              <w:rPr>
                <w:sz w:val="16"/>
                <w:szCs w:val="16"/>
                <w:color w:val="auto"/>
              </w:rPr>
            </w:pPr>
          </w:p>
        </w:tc>
        <w:tc>
          <w:tcPr>
            <w:tcW w:w="9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16"/>
                <w:szCs w:val="16"/>
                <w:color w:val="auto"/>
              </w:rPr>
            </w:pPr>
          </w:p>
        </w:tc>
        <w:tc>
          <w:tcPr>
            <w:tcW w:w="116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7"/>
              </w:rPr>
              <w:t>Commercial</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Provision</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Charge-offs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w w:val="91"/>
              </w:rPr>
              <w:t>June 30, 2018</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w w:val="94"/>
              </w:rPr>
              <w:t>Residential</w:t>
            </w:r>
          </w:p>
        </w:tc>
        <w:tc>
          <w:tcPr>
            <w:tcW w:w="120" w:type="dxa"/>
            <w:vAlign w:val="bottom"/>
          </w:tcPr>
          <w:p>
            <w:pPr>
              <w:spacing w:after="0"/>
              <w:rPr>
                <w:sz w:val="16"/>
                <w:szCs w:val="16"/>
                <w:color w:val="auto"/>
              </w:rPr>
            </w:pPr>
          </w:p>
        </w:tc>
        <w:tc>
          <w:tcPr>
            <w:tcW w:w="11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2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3"/>
              </w:rPr>
              <w:t>Commercial</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and Industrial</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right"/>
              <w:ind w:right="110"/>
              <w:spacing w:after="0"/>
              <w:rPr>
                <w:sz w:val="20"/>
                <w:szCs w:val="20"/>
                <w:color w:val="auto"/>
              </w:rPr>
            </w:pPr>
            <w:r>
              <w:rPr>
                <w:rFonts w:ascii="Arial" w:cs="Arial" w:eastAsia="Arial" w:hAnsi="Arial"/>
                <w:sz w:val="18"/>
                <w:szCs w:val="18"/>
                <w:color w:val="auto"/>
              </w:rPr>
              <w:t>(Dollars in thousands)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ASC 310-30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520" w:type="dxa"/>
            <w:vAlign w:val="bottom"/>
            <w:tcBorders>
              <w:lef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5,682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2,882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3,008</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300,517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184,849</w:t>
            </w:r>
          </w:p>
        </w:tc>
        <w:tc>
          <w:tcPr>
            <w:tcW w:w="2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ASC 310-30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290,972</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86,330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303,399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187,857</w:t>
            </w:r>
          </w:p>
        </w:tc>
        <w:tc>
          <w:tcPr>
            <w:tcW w:w="520" w:type="dxa"/>
            <w:vAlign w:val="bottom"/>
            <w:tcBorders>
              <w:lef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290,972</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3420"/>
        <w:spacing w:after="0"/>
        <w:rPr>
          <w:sz w:val="20"/>
          <w:szCs w:val="20"/>
          <w:color w:val="auto"/>
        </w:rPr>
      </w:pPr>
      <w:r>
        <w:rPr>
          <w:rFonts w:ascii="Arial" w:cs="Arial" w:eastAsia="Arial" w:hAnsi="Arial"/>
          <w:sz w:val="18"/>
          <w:szCs w:val="18"/>
          <w:color w:val="auto"/>
        </w:rPr>
        <w:t>June 30, 2017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2"/>
              </w:rPr>
              <w:t>Residential</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14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and 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gridSpan w:val="7"/>
          </w:tcPr>
          <w:p>
            <w:pPr>
              <w:jc w:val="right"/>
              <w:ind w:right="25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60" w:type="dxa"/>
            <w:vAlign w:val="bottom"/>
            <w:gridSpan w:val="2"/>
          </w:tcPr>
          <w:p>
            <w:pPr>
              <w:jc w:val="right"/>
              <w:ind w:right="20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252</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2,165</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2,810</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4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r>
      <w:tr>
        <w:trPr>
          <w:trHeight w:val="210"/>
        </w:trPr>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-719455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-445135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-162560</wp:posOffset>
            </wp:positionV>
            <wp:extent cx="72466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720"/>
            <w:col w:w="7960"/>
          </w:cols>
          <w:pgMar w:left="240" w:top="118" w:right="239" w:bottom="852"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5,676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2,694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10,425</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254,521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522,382</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ASC 310-30</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246,388</w:t>
            </w: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r>
      <w:tr>
        <w:trPr>
          <w:trHeight w:val="20"/>
        </w:trPr>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97,690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256,280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174,468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246,388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r>
      <w:tr>
        <w:trPr>
          <w:trHeight w:val="20"/>
        </w:trPr>
        <w:tc>
          <w:tcPr>
            <w:tcW w:w="2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7"/>
              </w:rPr>
              <w:t>June 30, 2018</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2017</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9"/>
              </w:rPr>
              <w:t>Recorded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Related</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Investment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26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16,315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7"/>
              </w:rPr>
              <w:t>Impaired loans with a valuation allowance:</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impaired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30,729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23,831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852"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52" w:gutter="0" w:footer="0" w:header="0"/>
          <w:type w:val="continuous"/>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color w:val="auto"/>
                <w:w w:val="95"/>
              </w:rPr>
              <w:t>Year Ended June 30,</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4"/>
          </w:tcPr>
          <w:p>
            <w:pPr>
              <w:jc w:val="center"/>
              <w:ind w:right="80"/>
              <w:spacing w:after="0" w:line="195" w:lineRule="exact"/>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right"/>
              <w:ind w:right="430"/>
              <w:spacing w:after="0" w:line="195" w:lineRule="exact"/>
              <w:rPr>
                <w:sz w:val="20"/>
                <w:szCs w:val="20"/>
                <w:color w:val="auto"/>
              </w:rPr>
            </w:pPr>
            <w:r>
              <w:rPr>
                <w:rFonts w:ascii="Arial" w:cs="Arial" w:eastAsia="Arial" w:hAnsi="Arial"/>
                <w:sz w:val="18"/>
                <w:szCs w:val="18"/>
                <w:color w:val="auto"/>
                <w:w w:val="99"/>
              </w:rPr>
              <w:t>Interest</w:t>
            </w:r>
          </w:p>
        </w:tc>
        <w:tc>
          <w:tcPr>
            <w:tcW w:w="2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4"/>
          </w:tcPr>
          <w:p>
            <w:pPr>
              <w:jc w:val="center"/>
              <w:ind w:right="80"/>
              <w:spacing w:after="0"/>
              <w:rPr>
                <w:sz w:val="20"/>
                <w:szCs w:val="20"/>
                <w:color w:val="auto"/>
              </w:rPr>
            </w:pPr>
            <w:r>
              <w:rPr>
                <w:rFonts w:ascii="Arial" w:cs="Arial" w:eastAsia="Arial" w:hAnsi="Arial"/>
                <w:sz w:val="18"/>
                <w:szCs w:val="18"/>
                <w:color w:val="auto"/>
                <w:w w:val="87"/>
              </w:rPr>
              <w:t>Recorded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6"/>
          </w:tcPr>
          <w:p>
            <w:pPr>
              <w:jc w:val="right"/>
              <w:ind w:right="100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Recognized</w:t>
            </w:r>
          </w:p>
        </w:tc>
        <w:tc>
          <w:tcPr>
            <w:tcW w:w="48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gridSpan w:val="8"/>
          </w:tcPr>
          <w:p>
            <w:pPr>
              <w:jc w:val="right"/>
              <w:ind w:right="60"/>
              <w:spacing w:after="0"/>
              <w:rPr>
                <w:sz w:val="20"/>
                <w:szCs w:val="20"/>
                <w:color w:val="auto"/>
              </w:rPr>
            </w:pPr>
            <w:r>
              <w:rPr>
                <w:rFonts w:ascii="Arial" w:cs="Arial" w:eastAsia="Arial" w:hAnsi="Arial"/>
                <w:sz w:val="18"/>
                <w:szCs w:val="18"/>
                <w:color w:val="auto"/>
                <w:w w:val="95"/>
              </w:rPr>
              <w:t>(Dollars in thousands)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2,054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4,266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8,868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26,079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jc w:val="right"/>
              <w:ind w:right="740"/>
              <w:spacing w:after="0"/>
              <w:rPr>
                <w:sz w:val="20"/>
                <w:szCs w:val="20"/>
                <w:color w:val="auto"/>
              </w:rPr>
            </w:pPr>
            <w:r>
              <w:rPr>
                <w:rFonts w:ascii="Arial" w:cs="Arial" w:eastAsia="Arial" w:hAnsi="Arial"/>
                <w:sz w:val="18"/>
                <w:szCs w:val="18"/>
                <w:color w:val="auto"/>
              </w:rPr>
              <w:t>Years Ended June 30,</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880" w:type="dxa"/>
            <w:vAlign w:val="bottom"/>
            <w:gridSpan w:val="4"/>
          </w:tcPr>
          <w:p>
            <w:pPr>
              <w:jc w:val="center"/>
              <w:ind w:left="210"/>
              <w:spacing w:after="0" w:line="195" w:lineRule="exact"/>
              <w:rPr>
                <w:sz w:val="20"/>
                <w:szCs w:val="20"/>
                <w:color w:val="auto"/>
              </w:rPr>
            </w:pPr>
            <w:r>
              <w:rPr>
                <w:rFonts w:ascii="Arial" w:cs="Arial" w:eastAsia="Arial" w:hAnsi="Arial"/>
                <w:sz w:val="18"/>
                <w:szCs w:val="18"/>
                <w:color w:val="auto"/>
                <w:w w:val="89"/>
              </w:rPr>
              <w:t>Interest</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880" w:type="dxa"/>
            <w:vAlign w:val="bottom"/>
            <w:gridSpan w:val="4"/>
          </w:tcPr>
          <w:p>
            <w:pPr>
              <w:jc w:val="center"/>
              <w:ind w:left="210"/>
              <w:spacing w:after="0"/>
              <w:rPr>
                <w:sz w:val="20"/>
                <w:szCs w:val="20"/>
                <w:color w:val="auto"/>
              </w:rPr>
            </w:pPr>
            <w:r>
              <w:rPr>
                <w:rFonts w:ascii="Arial" w:cs="Arial" w:eastAsia="Arial" w:hAnsi="Arial"/>
                <w:sz w:val="18"/>
                <w:szCs w:val="18"/>
                <w:color w:val="auto"/>
                <w:w w:val="91"/>
              </w:rPr>
              <w:t>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Recognized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11"/>
          </w:tcPr>
          <w:p>
            <w:pPr>
              <w:jc w:val="right"/>
              <w:ind w:right="700"/>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6,123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10,512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1,984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1,346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4,440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18,534</w:t>
            </w: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765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14,952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18" w:right="819" w:bottom="1440" w:gutter="0" w:footer="0" w:header="0"/>
        </w:sectPr>
      </w:pPr>
    </w:p>
    <w:p>
      <w:pPr>
        <w:spacing w:after="0" w:line="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type w:val="continuous"/>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rated 1-6: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credit quality and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June 30, 2018</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0"/>
              <w:spacing w:after="0" w:line="199"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199"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7"/>
                <w:szCs w:val="17"/>
                <w:color w:val="auto"/>
              </w:rPr>
            </w:pPr>
          </w:p>
        </w:tc>
        <w:tc>
          <w:tcPr>
            <w:tcW w:w="118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0"/>
              </w:rPr>
              <w:t>Residential Real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2"/>
              </w:rPr>
              <w:t>Estate</w:t>
            </w:r>
            <w:r>
              <w:rPr>
                <w:rFonts w:ascii="Arial" w:cs="Arial" w:eastAsia="Arial" w:hAnsi="Arial"/>
                <w:sz w:val="30"/>
                <w:szCs w:val="30"/>
                <w:color w:val="auto"/>
                <w:w w:val="82"/>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279,111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774,866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Special mention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5,899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Doubtful (9)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303,399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187,857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14,454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290,972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796,682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June 30, 2017</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0"/>
              <w:spacing w:after="0" w:line="199"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199"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7"/>
                <w:szCs w:val="17"/>
                <w:color w:val="auto"/>
              </w:rPr>
            </w:pPr>
          </w:p>
        </w:tc>
        <w:tc>
          <w:tcPr>
            <w:tcW w:w="1180" w:type="dxa"/>
            <w:vAlign w:val="bottom"/>
            <w:gridSpan w:val="2"/>
          </w:tcPr>
          <w:p>
            <w:pPr>
              <w:jc w:val="center"/>
              <w:spacing w:after="0" w:line="199" w:lineRule="exact"/>
              <w:rPr>
                <w:sz w:val="20"/>
                <w:szCs w:val="20"/>
                <w:color w:val="auto"/>
              </w:rPr>
            </w:pPr>
            <w:r>
              <w:rPr>
                <w:rFonts w:ascii="Arial" w:cs="Arial" w:eastAsia="Arial" w:hAnsi="Arial"/>
                <w:sz w:val="18"/>
                <w:szCs w:val="18"/>
                <w:color w:val="auto"/>
                <w:w w:val="90"/>
              </w:rPr>
              <w:t>Residential Real</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82"/>
              </w:rPr>
              <w:t>Estate</w:t>
            </w:r>
            <w:r>
              <w:rPr>
                <w:rFonts w:ascii="Arial" w:cs="Arial" w:eastAsia="Arial" w:hAnsi="Arial"/>
                <w:sz w:val="30"/>
                <w:szCs w:val="30"/>
                <w:color w:val="auto"/>
                <w:w w:val="82"/>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Pass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Special mention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9,622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Substandard (8)</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Doubtful (9)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Loss (10)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256,281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174,468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10,932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246,388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688,069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right="1220" w:hanging="5327"/>
        <w:spacing w:after="0" w:line="528" w:lineRule="auto"/>
        <w:tabs>
          <w:tab w:leader="none" w:pos="6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loans made for commercial purposes, but secured by residential collateral, are rated under the Company’s risk-rating system.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Years 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2017</w:t>
            </w:r>
          </w:p>
        </w:tc>
        <w:tc>
          <w:tcPr>
            <w:tcW w:w="11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3400" w:type="dxa"/>
            <w:vAlign w:val="bottom"/>
          </w:tcPr>
          <w:p>
            <w:pPr>
              <w:spacing w:after="0"/>
              <w:rPr>
                <w:sz w:val="16"/>
                <w:szCs w:val="16"/>
                <w:color w:val="auto"/>
              </w:rPr>
            </w:pPr>
          </w:p>
        </w:tc>
        <w:tc>
          <w:tcPr>
            <w:tcW w:w="106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95"/>
              </w:rPr>
              <w:t>Number of</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6"/>
                <w:szCs w:val="16"/>
                <w:color w:val="auto"/>
              </w:rPr>
            </w:pPr>
          </w:p>
        </w:tc>
        <w:tc>
          <w:tcPr>
            <w:tcW w:w="106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1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Contracts</w:t>
            </w: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Investment</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Contracts</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Investment</w:t>
            </w: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3"/>
          </w:tcPr>
          <w:p>
            <w:pPr>
              <w:ind w:left="38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4,537</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Adjusted interest rate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Principal deferment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1,978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5,846</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8,256</w:t>
            </w:r>
          </w:p>
        </w:tc>
      </w:tr>
      <w:tr>
        <w:trPr>
          <w:trHeight w:val="20"/>
        </w:trPr>
        <w:tc>
          <w:tcPr>
            <w:tcW w:w="3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color w:val="auto"/>
              </w:rPr>
              <w:t>Years Ended June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Recorded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Post-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Modification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Modification</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Contracts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Modification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ind w:right="410"/>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Consumer</w:t>
            </w:r>
          </w:p>
        </w:tc>
        <w:tc>
          <w:tcPr>
            <w:tcW w:w="9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9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9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9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1,112</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there were no further commitments to lend to borrowers associated with loans modified in a TDR.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considers TDRs past due 90 days or more to be in payment default. No loans modified in a TDR in the last twelve months defaulted during the years ended June 30, 2018 and 2017.</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ASC </w:t>
      </w:r>
      <w:r>
        <w:rPr>
          <w:rFonts w:ascii="Arial" w:cs="Arial" w:eastAsia="Arial" w:hAnsi="Arial"/>
          <w:sz w:val="18"/>
          <w:szCs w:val="18"/>
          <w:u w:val="single" w:color="auto"/>
          <w:color w:val="auto"/>
        </w:rPr>
        <w:t>310</w:t>
      </w:r>
      <w:r>
        <w:rPr>
          <w:rFonts w:ascii="Arial" w:cs="Arial" w:eastAsia="Arial" w:hAnsi="Arial"/>
          <w:sz w:val="18"/>
          <w:szCs w:val="18"/>
          <w:i w:val="1"/>
          <w:iCs w:val="1"/>
          <w:u w:val="single" w:color="auto"/>
          <w:color w:val="auto"/>
        </w:rPr>
        <w:t>-</w:t>
      </w:r>
      <w:r>
        <w:rPr>
          <w:rFonts w:ascii="Arial" w:cs="Arial" w:eastAsia="Arial" w:hAnsi="Arial"/>
          <w:sz w:val="18"/>
          <w:szCs w:val="18"/>
          <w:u w:val="single" w:color="auto"/>
          <w:color w:val="auto"/>
        </w:rPr>
        <w:t>30</w:t>
      </w:r>
      <w:r>
        <w:rPr>
          <w:rFonts w:ascii="Arial" w:cs="Arial" w:eastAsia="Arial" w:hAnsi="Arial"/>
          <w:sz w:val="18"/>
          <w:szCs w:val="18"/>
          <w:i w:val="1"/>
          <w:iCs w:val="1"/>
          <w:u w:val="single" w:color="auto"/>
          <w:color w:val="auto"/>
        </w:rPr>
        <w:t xml:space="preserve">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5"/>
              </w:rPr>
              <w:t>Years Ended June 30,</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w w:val="87"/>
              </w:rPr>
              <w:t>(Dollars in thousands)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179,726</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175,274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148,394</w:t>
            </w:r>
          </w:p>
        </w:tc>
        <w:tc>
          <w:tcPr>
            <w:tcW w:w="228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(4,518)</w:t>
            </w: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(2,050)</w:t>
            </w:r>
          </w:p>
        </w:tc>
        <w:tc>
          <w:tcPr>
            <w:tcW w:w="228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175,405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170,756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146,344</w:t>
            </w:r>
          </w:p>
        </w:tc>
        <w:tc>
          <w:tcPr>
            <w:tcW w:w="228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Accretable yield</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(51,294)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(57,949)</w:t>
            </w: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(46,345)</w:t>
            </w:r>
          </w:p>
        </w:tc>
        <w:tc>
          <w:tcPr>
            <w:tcW w:w="228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124,111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112,807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99,999</w:t>
            </w:r>
          </w:p>
        </w:tc>
        <w:tc>
          <w:tcPr>
            <w:tcW w:w="2280" w:type="dxa"/>
            <w:vAlign w:val="bottom"/>
          </w:tcPr>
          <w:p>
            <w:pPr>
              <w:spacing w:after="0"/>
              <w:rPr>
                <w:sz w:val="19"/>
                <w:szCs w:val="19"/>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gridSpan w:val="3"/>
          </w:tcPr>
          <w:p>
            <w:pPr>
              <w:jc w:val="right"/>
              <w:ind w:right="250"/>
              <w:spacing w:after="0"/>
              <w:rPr>
                <w:sz w:val="20"/>
                <w:szCs w:val="20"/>
                <w:color w:val="auto"/>
              </w:rPr>
            </w:pPr>
            <w:r>
              <w:rPr>
                <w:rFonts w:ascii="Arial" w:cs="Arial" w:eastAsia="Arial" w:hAnsi="Arial"/>
                <w:sz w:val="18"/>
                <w:szCs w:val="18"/>
                <w:color w:val="auto"/>
                <w:w w:val="79"/>
              </w:rPr>
              <w:t>73</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Certain of the loans accounted for under ASC 310-30 that were acquired by the Company are not accounted for using the income recognition model because the Company cannot reasonably estimate cash flows expected to be collected. When acquired these loans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color w:val="auto"/>
                <w:w w:val="91"/>
              </w:rPr>
              <w:t>As of and for the Years Ended 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1,850</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6,582</w:t>
            </w:r>
          </w:p>
        </w:tc>
        <w:tc>
          <w:tcPr>
            <w:tcW w:w="5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89"/>
              </w:rPr>
              <w:t>Years Ended June 30,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131,197</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124,151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111,449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Acquisitions</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57,949</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46,345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(17,947)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7"/>
              </w:rPr>
              <w:t>Reclassifications from nonaccretable difference to accretable yield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6,109</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7,079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(32,193)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(38,544)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(23,822)</w:t>
            </w:r>
          </w:p>
        </w:tc>
      </w:tr>
      <w:tr>
        <w:trPr>
          <w:trHeight w:val="20"/>
        </w:trPr>
        <w:tc>
          <w:tcPr>
            <w:tcW w:w="5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Ending balance</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131,197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124,151</w:t>
            </w:r>
          </w:p>
        </w:tc>
      </w:tr>
      <w:tr>
        <w:trPr>
          <w:trHeight w:val="20"/>
        </w:trPr>
        <w:tc>
          <w:tcPr>
            <w:tcW w:w="5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June 30, 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318,876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271,709</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284,317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239,583</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Capitalized servicing rights as of June 30, 2018 totaled $3.0 million, compared to $2.8 million as of June 30, 2017, and are classified as servicing rights, net, on the consolidated balance sheets.</w:t>
      </w:r>
    </w:p>
    <w:p>
      <w:pPr>
        <w:spacing w:after="0" w:line="170"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Mortgage loans sold in the year ended June 30, 2018 totaled $63.8 million, compared to $74.7 million in the year ended June 30, 2017. Mortgage loans serviced for others totaled $8.7 million at June 30, 2018 and $10.7 million at June 30, 2017. Additionally, the Company was servicing commercial loans participated out to various other institutions amounting to $32.2 million and $25.2 million at June 30, 2018 and 2017, respectively.</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SBA loans sold during the year ended June 30, 2018 totaled $29.2 million, compared to $53.8 million in the year ended June 30, 2017. SBA loans serviced for others totaled $162.0 million at June 30, 2018 and $144.4 million at June 30, 2017.</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on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Contractually specified servicing fees were $817 thousand, $988 thousand, and $649 thousand for the years ended June 30, 2018, 2017 and 2016, respectively, and were included as a component of fees for other services to customers within noninterest income.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significant assumptions used in the valuation for loan servicing rights as of June 30, 2018 included a discount rate, ranging from 9.0% to 16.0% and a weighted average prepayment speed assumption of 10.6 %.</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SBA servicing rights activity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gridSpan w:val="6"/>
          </w:tcPr>
          <w:p>
            <w:pPr>
              <w:ind w:left="62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1,230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Disposals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Balance, June 30, 2016</w:t>
            </w: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Borders>
              <w:top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Balance, June 30, 2017</w:t>
            </w: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80" w:type="dxa"/>
            <w:vAlign w:val="bottom"/>
            <w:tcBorders>
              <w:top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4"/>
          </w:tcPr>
          <w:p>
            <w:pPr>
              <w:spacing w:after="0"/>
              <w:rPr>
                <w:sz w:val="20"/>
                <w:szCs w:val="20"/>
                <w:color w:val="auto"/>
              </w:rPr>
            </w:pPr>
            <w:r>
              <w:rPr>
                <w:rFonts w:ascii="Arial" w:cs="Arial" w:eastAsia="Arial" w:hAnsi="Arial"/>
                <w:sz w:val="18"/>
                <w:szCs w:val="18"/>
                <w:color w:val="auto"/>
              </w:rPr>
              <w:t>Balance, June 30, 2018</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2,970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5. Premises and Equipment</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3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20" w:type="dxa"/>
            <w:vAlign w:val="bottom"/>
            <w:gridSpan w:val="4"/>
          </w:tcPr>
          <w:p>
            <w:pPr>
              <w:spacing w:after="0"/>
              <w:rPr>
                <w:sz w:val="20"/>
                <w:szCs w:val="20"/>
                <w:color w:val="auto"/>
              </w:rPr>
            </w:pPr>
            <w:r>
              <w:rPr>
                <w:rFonts w:ascii="Arial" w:cs="Arial" w:eastAsia="Arial" w:hAnsi="Arial"/>
                <w:sz w:val="18"/>
                <w:szCs w:val="18"/>
                <w:color w:val="auto"/>
              </w:rPr>
              <w:t>Premises and equipment consists of the following: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June 30, 2018</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June 30, 2017</w:t>
            </w:r>
          </w:p>
        </w:tc>
        <w:tc>
          <w:tcPr>
            <w:tcW w:w="200" w:type="dxa"/>
            <w:vAlign w:val="bottom"/>
          </w:tcPr>
          <w:p>
            <w:pPr>
              <w:spacing w:after="0"/>
              <w:rPr>
                <w:sz w:val="24"/>
                <w:szCs w:val="24"/>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Estimated Useful Life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6"/>
          </w:tcPr>
          <w:p>
            <w:pPr>
              <w:jc w:val="right"/>
              <w:ind w:right="860"/>
              <w:spacing w:after="0"/>
              <w:rPr>
                <w:sz w:val="20"/>
                <w:szCs w:val="20"/>
                <w:color w:val="auto"/>
              </w:rPr>
            </w:pPr>
            <w:r>
              <w:rPr>
                <w:rFonts w:ascii="Arial" w:cs="Arial" w:eastAsia="Arial" w:hAnsi="Arial"/>
                <w:sz w:val="18"/>
                <w:szCs w:val="18"/>
                <w:color w:val="auto"/>
              </w:rPr>
              <w:t>(Dollars in thousands)</w:t>
            </w:r>
          </w:p>
        </w:tc>
        <w:tc>
          <w:tcPr>
            <w:tcW w:w="2740" w:type="dxa"/>
            <w:vAlign w:val="bottom"/>
            <w:gridSpan w:val="3"/>
          </w:tcPr>
          <w:p>
            <w:pPr>
              <w:jc w:val="center"/>
              <w:spacing w:after="0"/>
              <w:rPr>
                <w:sz w:val="20"/>
                <w:szCs w:val="20"/>
                <w:color w:val="auto"/>
              </w:rPr>
            </w:pPr>
            <w:r>
              <w:rPr>
                <w:rFonts w:ascii="Arial" w:cs="Arial" w:eastAsia="Arial" w:hAnsi="Arial"/>
                <w:sz w:val="18"/>
                <w:szCs w:val="18"/>
                <w:color w:val="auto"/>
                <w:w w:val="92"/>
              </w:rPr>
              <w:t>(In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28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1,755</w:t>
            </w:r>
          </w:p>
        </w:tc>
        <w:tc>
          <w:tcPr>
            <w:tcW w:w="1620" w:type="dxa"/>
            <w:vAlign w:val="bottom"/>
          </w:tcPr>
          <w:p>
            <w:pPr>
              <w:jc w:val="center"/>
              <w:ind w:left="1030"/>
              <w:spacing w:after="0"/>
              <w:rPr>
                <w:sz w:val="20"/>
                <w:szCs w:val="20"/>
                <w:color w:val="auto"/>
              </w:rPr>
            </w:pPr>
            <w:r>
              <w:rPr>
                <w:rFonts w:ascii="Arial" w:cs="Arial" w:eastAsia="Arial" w:hAnsi="Arial"/>
                <w:sz w:val="18"/>
                <w:szCs w:val="18"/>
                <w:color w:val="auto"/>
                <w:w w:val="89"/>
              </w:rPr>
              <w:t>39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recorded under capital lease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1,850</w:t>
            </w:r>
          </w:p>
        </w:tc>
        <w:tc>
          <w:tcPr>
            <w:tcW w:w="28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Term of lease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Leasehold and building improvements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3,150</w:t>
            </w:r>
          </w:p>
        </w:tc>
        <w:tc>
          <w:tcPr>
            <w:tcW w:w="2840" w:type="dxa"/>
            <w:vAlign w:val="bottom"/>
            <w:gridSpan w:val="4"/>
          </w:tcPr>
          <w:p>
            <w:pPr>
              <w:jc w:val="center"/>
              <w:ind w:right="120"/>
              <w:spacing w:after="0"/>
              <w:rPr>
                <w:sz w:val="20"/>
                <w:szCs w:val="20"/>
                <w:color w:val="auto"/>
              </w:rPr>
            </w:pPr>
            <w:r>
              <w:rPr>
                <w:rFonts w:ascii="Arial" w:cs="Arial" w:eastAsia="Arial" w:hAnsi="Arial"/>
                <w:sz w:val="18"/>
                <w:szCs w:val="18"/>
                <w:color w:val="auto"/>
                <w:w w:val="96"/>
              </w:rPr>
              <w:t>5-39 (or term of lease, if shorter)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8,274</w:t>
            </w:r>
          </w:p>
        </w:tc>
        <w:tc>
          <w:tcPr>
            <w:tcW w:w="1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15,796</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8,859</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4"/>
          </w:tcPr>
          <w:p>
            <w:pPr>
              <w:spacing w:after="0"/>
              <w:rPr>
                <w:sz w:val="20"/>
                <w:szCs w:val="20"/>
                <w:color w:val="auto"/>
              </w:rPr>
            </w:pPr>
            <w:r>
              <w:rPr>
                <w:rFonts w:ascii="Arial" w:cs="Arial" w:eastAsia="Arial" w:hAnsi="Arial"/>
                <w:sz w:val="18"/>
                <w:szCs w:val="18"/>
                <w:color w:val="auto"/>
              </w:rPr>
              <w:t>Net premises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6,937</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of premises and equipment included in occupancy and equipment expense was $1.3 million for the year ended June 30, 2018, $1.4 million for the year ended June 30, 2017 and $1.6 million for the year ended June 30, 2016.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June 30, 2018 and 2017, intangible assets consisted of a core deposit intangible. The Company’s core deposit intangible is being amortized on an accelerated basis over 9.5 years, with an estimated remaining life of 2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w w:val="99"/>
              </w:rPr>
              <w:t>The changes in the carrying amount of the core deposit intangible follow:</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(Dollars in</w:t>
            </w:r>
          </w:p>
        </w:tc>
      </w:tr>
      <w:tr>
        <w:trPr>
          <w:trHeight w:val="230"/>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r>
      <w:tr>
        <w:trPr>
          <w:trHeight w:val="25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13"/>
        </w:trPr>
        <w:tc>
          <w:tcPr>
            <w:tcW w:w="5780" w:type="dxa"/>
            <w:vAlign w:val="bottom"/>
          </w:tcPr>
          <w:p>
            <w:pPr>
              <w:spacing w:after="0"/>
              <w:rPr>
                <w:sz w:val="20"/>
                <w:szCs w:val="20"/>
                <w:color w:val="auto"/>
              </w:rPr>
            </w:pPr>
            <w:r>
              <w:rPr>
                <w:rFonts w:ascii="Arial" w:cs="Arial" w:eastAsia="Arial" w:hAnsi="Arial"/>
                <w:sz w:val="18"/>
                <w:szCs w:val="18"/>
                <w:color w:val="auto"/>
              </w:rPr>
              <w:t>The components of core deposit intangible follow:</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June 30, 2017</w:t>
            </w:r>
          </w:p>
        </w:tc>
        <w:tc>
          <w:tcPr>
            <w:tcW w:w="80" w:type="dxa"/>
            <w:vAlign w:val="bottom"/>
          </w:tcPr>
          <w:p>
            <w:pPr>
              <w:spacing w:after="0"/>
              <w:rPr>
                <w:sz w:val="24"/>
                <w:szCs w:val="24"/>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6"/>
          </w:tcPr>
          <w:p>
            <w:pPr>
              <w:jc w:val="right"/>
              <w:ind w:right="92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Gross carrying amount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6,348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6,348</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(5,048)</w:t>
            </w:r>
          </w:p>
        </w:tc>
      </w:tr>
      <w:tr>
        <w:trPr>
          <w:trHeight w:val="210"/>
        </w:trPr>
        <w:tc>
          <w:tcPr>
            <w:tcW w:w="57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Intangible asset, 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18" w:right="379" w:bottom="866" w:gutter="0" w:footer="0" w:header="0"/>
        </w:sectPr>
      </w:pP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866" w:gutter="0" w:footer="0" w:header="0"/>
          <w:type w:val="continuous"/>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Expected annual amortization expense associated with the core deposit intangible over the period of estimated economic benefit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3"/>
          </w:tcPr>
          <w:p>
            <w:pPr>
              <w:spacing w:after="0"/>
              <w:rPr>
                <w:sz w:val="20"/>
                <w:szCs w:val="20"/>
                <w:color w:val="auto"/>
              </w:rPr>
            </w:pPr>
            <w:r>
              <w:rPr>
                <w:rFonts w:ascii="Arial" w:cs="Arial" w:eastAsia="Arial" w:hAnsi="Arial"/>
                <w:sz w:val="18"/>
                <w:szCs w:val="18"/>
                <w:color w:val="auto"/>
              </w:rPr>
              <w:t>Fiscal Year</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Expected Amortization Expense</w:t>
            </w:r>
          </w:p>
        </w:tc>
      </w:tr>
      <w:tr>
        <w:trPr>
          <w:trHeight w:val="210"/>
        </w:trPr>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8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r>
      <w:tr>
        <w:trPr>
          <w:trHeight w:val="250"/>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w:t>
            </w:r>
          </w:p>
        </w:tc>
      </w:tr>
      <w:tr>
        <w:trPr>
          <w:trHeight w:val="615"/>
        </w:trPr>
        <w:tc>
          <w:tcPr>
            <w:tcW w:w="57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7. Deposits</w:t>
            </w: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780" w:type="dxa"/>
            <w:vAlign w:val="bottom"/>
            <w:gridSpan w:val="3"/>
          </w:tcPr>
          <w:p>
            <w:pPr>
              <w:spacing w:after="0"/>
              <w:rPr>
                <w:sz w:val="20"/>
                <w:szCs w:val="20"/>
                <w:color w:val="auto"/>
              </w:rPr>
            </w:pPr>
            <w:r>
              <w:rPr>
                <w:rFonts w:ascii="Arial" w:cs="Arial" w:eastAsia="Arial" w:hAnsi="Arial"/>
                <w:sz w:val="18"/>
                <w:szCs w:val="18"/>
                <w:color w:val="auto"/>
              </w:rPr>
              <w:t>The composition of deposits is as follows: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4"/>
              </w:rPr>
              <w:t>June 30, 2018</w:t>
            </w:r>
          </w:p>
        </w:tc>
        <w:tc>
          <w:tcPr>
            <w:tcW w:w="140" w:type="dxa"/>
            <w:vAlign w:val="bottom"/>
          </w:tcPr>
          <w:p>
            <w:pPr>
              <w:spacing w:after="0"/>
              <w:rPr>
                <w:sz w:val="24"/>
                <w:szCs w:val="24"/>
                <w:color w:val="auto"/>
              </w:rPr>
            </w:pPr>
          </w:p>
        </w:tc>
        <w:tc>
          <w:tcPr>
            <w:tcW w:w="15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June 30, 2017</w:t>
            </w:r>
          </w:p>
        </w:tc>
        <w:tc>
          <w:tcPr>
            <w:tcW w:w="80" w:type="dxa"/>
            <w:vAlign w:val="bottom"/>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4"/>
          </w:tcPr>
          <w:p>
            <w:pPr>
              <w:jc w:val="right"/>
              <w:ind w:right="110"/>
              <w:spacing w:after="0"/>
              <w:rPr>
                <w:sz w:val="20"/>
                <w:szCs w:val="20"/>
                <w:color w:val="auto"/>
              </w:rPr>
            </w:pPr>
            <w:r>
              <w:rPr>
                <w:rFonts w:ascii="Arial" w:cs="Arial" w:eastAsia="Arial" w:hAnsi="Arial"/>
                <w:sz w:val="18"/>
                <w:szCs w:val="18"/>
                <w:color w:val="auto"/>
              </w:rPr>
              <w:t>(Dollars in thousands)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Demand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72,272</w:t>
            </w:r>
          </w:p>
        </w:tc>
        <w:tc>
          <w:tcPr>
            <w:tcW w:w="10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69,827</w:t>
            </w: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NOW</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73,347</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71,247</w:t>
            </w: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w:t>
            </w:r>
          </w:p>
        </w:tc>
        <w:tc>
          <w:tcPr>
            <w:tcW w:w="1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420,886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374,569</w:t>
            </w: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Regular savings</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36,290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37,170</w:t>
            </w:r>
          </w:p>
        </w:tc>
      </w:tr>
      <w:tr>
        <w:trPr>
          <w:trHeight w:val="216"/>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Time certificates</w:t>
            </w:r>
          </w:p>
        </w:tc>
        <w:tc>
          <w:tcPr>
            <w:tcW w:w="1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352,145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337,037</w:t>
            </w:r>
          </w:p>
        </w:tc>
      </w:tr>
      <w:tr>
        <w:trPr>
          <w:trHeight w:val="20"/>
        </w:trPr>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gridSpan w:val="3"/>
          </w:tcPr>
          <w:p>
            <w:pPr>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954,940</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889,850</w:t>
            </w:r>
          </w:p>
        </w:tc>
      </w:tr>
      <w:tr>
        <w:trPr>
          <w:trHeight w:val="20"/>
        </w:trPr>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360" w:type="dxa"/>
            <w:vAlign w:val="bottom"/>
            <w:gridSpan w:val="6"/>
          </w:tcPr>
          <w:p>
            <w:pPr>
              <w:spacing w:after="0"/>
              <w:rPr>
                <w:sz w:val="20"/>
                <w:szCs w:val="20"/>
                <w:color w:val="auto"/>
              </w:rPr>
            </w:pPr>
            <w:r>
              <w:rPr>
                <w:rFonts w:ascii="Arial" w:cs="Arial" w:eastAsia="Arial" w:hAnsi="Arial"/>
                <w:sz w:val="18"/>
                <w:szCs w:val="18"/>
                <w:color w:val="auto"/>
              </w:rPr>
              <w:t>There were no time deposits greater than $250 thousand as of June 30, 2018 and 2017.</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color w:val="auto"/>
                <w:w w:val="99"/>
              </w:rPr>
              <w:t>The scheduled maturities of time certificates by fiscal year are as follows: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color w:val="auto"/>
              </w:rPr>
              <w:t>Fiscal Year</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June 30, 2018</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8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248,119</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63,986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22,263</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2022</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12,606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5,171</w:t>
            </w:r>
          </w:p>
        </w:tc>
      </w:tr>
      <w:tr>
        <w:trPr>
          <w:trHeight w:val="216"/>
        </w:trPr>
        <w:tc>
          <w:tcPr>
            <w:tcW w:w="57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352,145</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Home Loan Bank Advances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advances from the Federal Home Loan Bank of Boston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2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Maturity</w:t>
            </w:r>
          </w:p>
        </w:tc>
        <w:tc>
          <w:tcPr>
            <w:tcW w:w="160" w:type="dxa"/>
            <w:vAlign w:val="bottom"/>
          </w:tcPr>
          <w:p>
            <w:pPr>
              <w:spacing w:after="0"/>
              <w:rPr>
                <w:sz w:val="24"/>
                <w:szCs w:val="24"/>
                <w:color w:val="auto"/>
              </w:rPr>
            </w:pPr>
          </w:p>
        </w:tc>
        <w:tc>
          <w:tcPr>
            <w:tcW w:w="2340" w:type="dxa"/>
            <w:vAlign w:val="bottom"/>
            <w:gridSpan w:val="6"/>
          </w:tcPr>
          <w:p>
            <w:pPr>
              <w:jc w:val="right"/>
              <w:ind w:right="420"/>
              <w:spacing w:after="0"/>
              <w:rPr>
                <w:sz w:val="20"/>
                <w:szCs w:val="20"/>
                <w:color w:val="auto"/>
              </w:rPr>
            </w:pPr>
            <w:r>
              <w:rPr>
                <w:rFonts w:ascii="Arial" w:cs="Arial" w:eastAsia="Arial" w:hAnsi="Arial"/>
                <w:sz w:val="18"/>
                <w:szCs w:val="18"/>
                <w:color w:val="auto"/>
                <w:w w:val="94"/>
              </w:rPr>
              <w:t>Unpaid Principal Balance</w:t>
            </w:r>
          </w:p>
        </w:tc>
        <w:tc>
          <w:tcPr>
            <w:tcW w:w="220" w:type="dxa"/>
            <w:vAlign w:val="bottom"/>
          </w:tcPr>
          <w:p>
            <w:pPr>
              <w:spacing w:after="0"/>
              <w:rPr>
                <w:sz w:val="24"/>
                <w:szCs w:val="24"/>
                <w:color w:val="auto"/>
              </w:rPr>
            </w:pPr>
          </w:p>
        </w:tc>
        <w:tc>
          <w:tcPr>
            <w:tcW w:w="2080" w:type="dxa"/>
            <w:vAlign w:val="bottom"/>
            <w:gridSpan w:val="5"/>
          </w:tcPr>
          <w:p>
            <w:pPr>
              <w:jc w:val="right"/>
              <w:ind w:right="350"/>
              <w:spacing w:after="0"/>
              <w:rPr>
                <w:sz w:val="20"/>
                <w:szCs w:val="20"/>
                <w:color w:val="auto"/>
              </w:rPr>
            </w:pPr>
            <w:r>
              <w:rPr>
                <w:rFonts w:ascii="Arial" w:cs="Arial" w:eastAsia="Arial" w:hAnsi="Arial"/>
                <w:sz w:val="18"/>
                <w:szCs w:val="18"/>
                <w:color w:val="auto"/>
              </w:rPr>
              <w:t>Carrying Amount</w:t>
            </w:r>
            <w:r>
              <w:rPr>
                <w:rFonts w:ascii="Arial" w:cs="Arial" w:eastAsia="Arial" w:hAnsi="Arial"/>
                <w:sz w:val="30"/>
                <w:szCs w:val="30"/>
                <w:color w:val="auto"/>
                <w:vertAlign w:val="superscript"/>
              </w:rPr>
              <w:t>(1)</w:t>
            </w:r>
          </w:p>
        </w:tc>
        <w:tc>
          <w:tcPr>
            <w:tcW w:w="180" w:type="dxa"/>
            <w:vAlign w:val="bottom"/>
          </w:tcPr>
          <w:p>
            <w:pPr>
              <w:spacing w:after="0"/>
              <w:rPr>
                <w:sz w:val="24"/>
                <w:szCs w:val="24"/>
                <w:color w:val="auto"/>
              </w:rPr>
            </w:pPr>
          </w:p>
        </w:tc>
        <w:tc>
          <w:tcPr>
            <w:tcW w:w="2520" w:type="dxa"/>
            <w:vAlign w:val="bottom"/>
            <w:gridSpan w:val="4"/>
          </w:tcPr>
          <w:p>
            <w:pPr>
              <w:jc w:val="right"/>
              <w:ind w:right="200"/>
              <w:spacing w:after="0"/>
              <w:rPr>
                <w:sz w:val="20"/>
                <w:szCs w:val="20"/>
                <w:color w:val="auto"/>
              </w:rPr>
            </w:pPr>
            <w:r>
              <w:rPr>
                <w:rFonts w:ascii="Arial" w:cs="Arial" w:eastAsia="Arial" w:hAnsi="Arial"/>
                <w:sz w:val="18"/>
                <w:szCs w:val="18"/>
                <w:color w:val="auto"/>
                <w:w w:val="89"/>
              </w:rPr>
              <w:t>Weighted Average Interest Rate</w:t>
            </w:r>
          </w:p>
        </w:tc>
      </w:tr>
      <w:tr>
        <w:trPr>
          <w:trHeight w:val="210"/>
        </w:trPr>
        <w:tc>
          <w:tcPr>
            <w:tcW w:w="22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By Fiscal</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r>
      <w:tr>
        <w:trPr>
          <w:trHeight w:val="210"/>
        </w:trPr>
        <w:tc>
          <w:tcPr>
            <w:tcW w:w="220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Year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right"/>
              <w:ind w:right="440"/>
              <w:spacing w:after="0"/>
              <w:rPr>
                <w:sz w:val="20"/>
                <w:szCs w:val="20"/>
                <w:color w:val="auto"/>
              </w:rPr>
            </w:pPr>
            <w:r>
              <w:rPr>
                <w:rFonts w:ascii="Arial" w:cs="Arial" w:eastAsia="Arial" w:hAnsi="Arial"/>
                <w:sz w:val="18"/>
                <w:szCs w:val="18"/>
                <w:color w:val="auto"/>
                <w:w w:val="97"/>
              </w:rPr>
              <w:t>(Dollars 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820" w:right="1380" w:hanging="488"/>
        <w:spacing w:after="0" w:line="308"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no FHLBB advances were subject to call provisions and as such, may not be called prior to the stated maturity.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mortgage loans, free of liens, pledges and encumbrances have been pledged under a blanket agreement to secure these advances. The Company is required to own stock in the Federal Home Loan Bank of Boston in order to borrow from the FHLBB.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the Company had approximately $48.7 million of additional capacity to borrow from the FHLBB.</w:t>
      </w:r>
    </w:p>
    <w:p>
      <w:pPr>
        <w:sectPr>
          <w:pgSz w:w="11900" w:h="16838" w:orient="portrait"/>
          <w:cols w:equalWidth="0" w:num="1">
            <w:col w:w="11080"/>
          </w:cols>
          <w:pgMar w:left="240" w:top="118" w:right="579" w:bottom="1440" w:gutter="0" w:footer="0" w:header="0"/>
        </w:sect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type w:val="continuous"/>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Lease Obligation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2006, the Company recognized a capital lease obligation for its Lewiston, Maine, headquarters. The present value of the lease payments over fifteen years exceeded 90% of the fair value of the property.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The outstanding capital lease obligations are as follows for years ending June 30:</w:t>
            </w:r>
          </w:p>
        </w:tc>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jc w:val="right"/>
              <w:ind w:right="290"/>
              <w:spacing w:after="0"/>
              <w:rPr>
                <w:sz w:val="20"/>
                <w:szCs w:val="20"/>
                <w:color w:val="auto"/>
              </w:rPr>
            </w:pPr>
            <w:r>
              <w:rPr>
                <w:rFonts w:ascii="Arial" w:cs="Arial" w:eastAsia="Arial" w:hAnsi="Arial"/>
                <w:sz w:val="18"/>
                <w:szCs w:val="18"/>
                <w:color w:val="auto"/>
                <w:w w:val="95"/>
              </w:rPr>
              <w:t>Capital Lease Obligation</w:t>
            </w: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(Dollars in thousands)</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w:t>
            </w:r>
          </w:p>
        </w:tc>
        <w:tc>
          <w:tcPr>
            <w:tcW w:w="180" w:type="dxa"/>
            <w:vAlign w:val="bottom"/>
            <w:shd w:val="clear" w:color="auto" w:fill="CCEEFF"/>
          </w:tcPr>
          <w:p>
            <w:pPr>
              <w:spacing w:after="0"/>
              <w:rPr>
                <w:sz w:val="18"/>
                <w:szCs w:val="18"/>
                <w:color w:val="auto"/>
              </w:rPr>
            </w:pPr>
          </w:p>
        </w:tc>
        <w:tc>
          <w:tcPr>
            <w:tcW w:w="2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8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Subordinated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Trust Preferred Securities and Junior Subordinated Debentures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NBN Capital Trust II and NBN Capital Trust III were created in December 2003. NBN Capital Trust IV was created in December 2004. Each such trust is a Delaware statutory trust (together, the "Private Trusts"). The exclusive purpose of the Private Trusts was (i) issuing and selling common securities and preferred securities in a private placement offering (the "Private Trust Securities"), (ii) using the proceeds of the sale of the Private Trust Securities to acquire Junior Subordinated Deferrable Interest Notes ("Junior Subordinated Debentures"); and (iii) engaging only in those other activities necessary, convenient or incidental thereto. Accordingly, the Junior Subordinated Debentures are the sole assets of each of the Private Trusts.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following table summarizes the Junior Subordinated Debentures issued by the Company to each affiliated trust and the Private Trust Securities issued by each affiliated trust as of June 30, 2018 and June 30, 2017. Amounts include the junior subordinated debentures acquired by the affiliated trusts from the Company with the capital contributed by the Company in exchange for the common securities of such trust, which were $93 thousand each for NBN Capital Trust II and III and $310 thousand for NBN Capital Trust IV. The trust preferred securities (the "Preferred Securities") were sold in two separate private placement offerings. The Company has the right to redeem the Junior Subordinated Debentures, in whole or in part, on or after March 30, 2009, for NBN Capital Trust II and III, and on or after February 23, 2010, for NBN Capital Trust IV, at the redemption price specified in the associated Indenture, plus accrued but unpaid interest to the redemption date.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43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Maturity Date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140"/>
              <w:spacing w:after="0"/>
              <w:rPr>
                <w:sz w:val="20"/>
                <w:szCs w:val="20"/>
                <w:color w:val="auto"/>
              </w:rPr>
            </w:pPr>
            <w:r>
              <w:rPr>
                <w:rFonts w:ascii="Arial" w:cs="Arial" w:eastAsia="Arial" w:hAnsi="Arial"/>
                <w:sz w:val="18"/>
                <w:szCs w:val="18"/>
                <w:color w:val="auto"/>
              </w:rPr>
              <w:t>Unpaid Principal Balance</w:t>
            </w:r>
          </w:p>
        </w:tc>
        <w:tc>
          <w:tcPr>
            <w:tcW w:w="240" w:type="dxa"/>
            <w:vAlign w:val="bottom"/>
          </w:tcPr>
          <w:p>
            <w:pPr>
              <w:spacing w:after="0"/>
              <w:rPr>
                <w:sz w:val="24"/>
                <w:szCs w:val="24"/>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color w:val="auto"/>
              </w:rPr>
              <w:t>Carrying Amount</w:t>
            </w:r>
            <w:r>
              <w:rPr>
                <w:rFonts w:ascii="Arial" w:cs="Arial" w:eastAsia="Arial" w:hAnsi="Arial"/>
                <w:sz w:val="30"/>
                <w:szCs w:val="30"/>
                <w:color w:val="auto"/>
                <w:vertAlign w:val="superscript"/>
              </w:rPr>
              <w:t>(1)</w:t>
            </w:r>
          </w:p>
        </w:tc>
      </w:tr>
      <w:tr>
        <w:trPr>
          <w:trHeight w:val="210"/>
        </w:trPr>
        <w:tc>
          <w:tcPr>
            <w:tcW w:w="43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NBN Capital Trust II</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2034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NBN Capital Trust III</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30, 2034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NBN Capital Trust IV</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23, 2035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r>
      <w:tr>
        <w:trPr>
          <w:trHeight w:val="20"/>
        </w:trPr>
        <w:tc>
          <w:tcPr>
            <w:tcW w:w="43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16,496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16,496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9,011</w:t>
            </w:r>
          </w:p>
        </w:tc>
      </w:tr>
      <w:tr>
        <w:trPr>
          <w:trHeight w:val="20"/>
        </w:trPr>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difference between the carrying amount and the unpaid principal balance is the result of purchase accounting. The premium or discount is being amortized or accreted as interest expense over the instrument’s contractual life.</w:t>
      </w:r>
    </w:p>
    <w:p>
      <w:pPr>
        <w:spacing w:after="0" w:line="19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NBN Capital Trust II and III pay a variable rate based on three month LIBOR plus 2.80%, and NBN Capital Trust IV pays a variable rate based on three month LIBOR plus 1.89%. Accordingly, the Preferred Securities of the Private Trusts currently pay quarterly distributions at an annual rate of 3.45% for the stated liquidation amount of $1,000 per Preferred Security for NBN Capital Trust II and III and an annual rate of 2.54% for the stated liquidation amount of $1,000 per Preferred Security for NBN Capital Trust IV. The Company has fully and unconditionally guaranteed all of the obligations of each trust. The guaranty covers the quarterly distributions and payments on liquidation or redemption of the Private Trust Securities, but only to the extent of funds held by the trusts.</w:t>
      </w:r>
    </w:p>
    <w:p>
      <w:pPr>
        <w:spacing w:after="0" w:line="193"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Junior Subordinated Debentures each have variable rates indexed to three-month LIBOR. During the fiscal year ended June 30, 2015, the Company purchased two interest rate caps to hedge the interest rate risk on notional amounts of $6 million and $10 million, respectively, of the Company's Junior Subordinated Debentures. Each is a cash flow hedge used to manage the risk to net interest income in a period of rising rates.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interest rate caps hedge the junior subordinated debt resulting from the issuance of trust preferred securities by our affiliates NBN Capital Trust II, NBN Capital Trust III and NBN Capital Trust IV. The notional amount of $6 million and $10 million for each interest rate cap represents the outstanding junior subordinated debt from each trust. The strike rate is 2.50%. The Company will recognize higher interest expense on the junior subordinated debt for the first 200 basis points increase in three-month LIBOR. Once the three-month LIBOR rate exceeds 2.50% on a quarterly reset date, there will be a payment by the counterparty to the Company at the following quarter end. The effective date of the purchased interest rate caps were October 2014 and March 2015, respectively, and mature five years 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Subordinated Notes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June 29, 2016, the Company entered into a Subordinated Note Purchase Agreement with certain institutional accredited investors (the “Purchasers”) whereby the Company sold and issued $15.05 million in aggregate principal amount of 6.75% fixed-to-floating subordinated notes due 2026 (the “Notes”). The Notes were issued by the Company to the Purchasers at a price equal to 100% of their face amount. Issuance costs were $552 thousand and have been netted against Subordinated Debt on the consolidated balance sheet. These costs are being amortized over five years, which represents the period from issuance to the first redemption date of July 1, 2021. Total amortization expense for both years ended June 30, 2018 and 2017 was $110 thousand, with $331 thousand remaining to be amortized as of June 30, 2018.</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Notes mature on July 1, 2026, with a fixed interest rate of 6.75% payable semiannually in arrears for five years until July 1, 2021. Subsequently, the Company will be obligated to pay 3-month LIBOR plus 557 basis points quarterly in arrears until either the early redemption date or the maturity date. The Notes are not convertible into or exchangeable for any other securities or assets of the Company or any of its subsidiaries. The Notes are redeemable by the Company, in whole or in part, on or after July 1, 2021 and at any time upon the occurrence of certain events. Any redemption by the Company would be at a redemption price equal to 100% of the outstanding principal amount of the Notes being redeemed, including any accrued and unpaid interest.</w:t>
      </w:r>
    </w:p>
    <w:p>
      <w:pPr>
        <w:spacing w:after="0" w:line="397"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and Regulatory Matters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Company's and the Bank's capital amounts and classification are also subject to qualitative judgments by the regulators about components, risk weightings and other factors.</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prompt corrective action regulations define specific capital categories based on an institution's capital ratios. The capital categories, in declining order, are "well capitalized," "adequately capitalized," "undercapitalized," "significantly undercapitalized" and "critically undercapitalized."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2018 and 2017, the most recent notification from the Company's and the Bank's regulator categorized the Company and the Bank as "well capitalized" under the regulatory framework for prompt corrective action. To be categorized as "well capitalized," the Company and the Bank must maintain minimum Common equity tier 1 capital, total capital, Tier 1 capital and Tier 1 leverage ratios as set forth in the table below. There are no conditions or events since that notification that management believes have changed the institution's regulatory designation as "well-capitalized" under the regulatory framework for prompt corrective action.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as set forth in the table below. At June 30, 2018 and 2017, the Company's and the Bank's ratios exceeded the regulatory requirements. Management believes that the Company and the Bank met all capital adequacy requirements to which they were subject as of June 30, 2018 and 2017. The Company's and the Bank's regulatory capital ratios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8"/>
                <w:szCs w:val="18"/>
                <w:color w:val="auto"/>
                <w:w w:val="95"/>
              </w:rPr>
              <w:t>Minimum To Be Well</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Capital 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8"/>
          </w:tcPr>
          <w:p>
            <w:pPr>
              <w:jc w:val="center"/>
              <w:ind w:right="320"/>
              <w:spacing w:after="0"/>
              <w:rPr>
                <w:sz w:val="20"/>
                <w:szCs w:val="20"/>
                <w:color w:val="auto"/>
              </w:rPr>
            </w:pPr>
            <w:r>
              <w:rPr>
                <w:rFonts w:ascii="Arial" w:cs="Arial" w:eastAsia="Arial" w:hAnsi="Arial"/>
                <w:sz w:val="18"/>
                <w:szCs w:val="18"/>
                <w:color w:val="auto"/>
                <w:w w:val="92"/>
              </w:rPr>
              <w:t>Capitalized Under</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with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8"/>
                <w:szCs w:val="18"/>
                <w:color w:val="auto"/>
                <w:w w:val="95"/>
              </w:rPr>
              <w:t>Minimum Capital</w:t>
            </w:r>
          </w:p>
        </w:tc>
        <w:tc>
          <w:tcPr>
            <w:tcW w:w="120" w:type="dxa"/>
            <w:vAlign w:val="bottom"/>
          </w:tcPr>
          <w:p>
            <w:pPr>
              <w:spacing w:after="0"/>
              <w:rPr>
                <w:sz w:val="18"/>
                <w:szCs w:val="18"/>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8"/>
                <w:szCs w:val="18"/>
                <w:color w:val="auto"/>
                <w:w w:val="92"/>
              </w:rPr>
              <w:t>Prompt Corrective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Conservation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ind w:left="580"/>
              <w:spacing w:after="0"/>
              <w:rPr>
                <w:sz w:val="20"/>
                <w:szCs w:val="20"/>
                <w:color w:val="auto"/>
              </w:rPr>
            </w:pPr>
            <w:r>
              <w:rPr>
                <w:rFonts w:ascii="Arial" w:cs="Arial" w:eastAsia="Arial" w:hAnsi="Arial"/>
                <w:sz w:val="18"/>
                <w:szCs w:val="18"/>
                <w:color w:val="auto"/>
                <w:w w:val="99"/>
              </w:rPr>
              <w:t>Actual</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8"/>
                <w:szCs w:val="18"/>
                <w:color w:val="auto"/>
                <w:w w:val="89"/>
              </w:rPr>
              <w:t>Requirements</w:t>
            </w:r>
          </w:p>
        </w:tc>
        <w:tc>
          <w:tcPr>
            <w:tcW w:w="120" w:type="dxa"/>
            <w:vAlign w:val="bottom"/>
          </w:tcPr>
          <w:p>
            <w:pPr>
              <w:spacing w:after="0"/>
              <w:rPr>
                <w:sz w:val="20"/>
                <w:szCs w:val="20"/>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8"/>
                <w:szCs w:val="18"/>
                <w:color w:val="auto"/>
                <w:w w:val="94"/>
              </w:rPr>
              <w:t>Action Provisions</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Buffer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Amount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Ratio</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Amount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5"/>
          </w:tcPr>
          <w:p>
            <w:pPr>
              <w:ind w:left="26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9"/>
          </w:tcPr>
          <w:p>
            <w:pPr>
              <w:jc w:val="right"/>
              <w:ind w:right="620"/>
              <w:spacing w:after="0"/>
              <w:rPr>
                <w:sz w:val="20"/>
                <w:szCs w:val="20"/>
                <w:color w:val="auto"/>
              </w:rPr>
            </w:pPr>
            <w:r>
              <w:rPr>
                <w:rFonts w:ascii="Arial" w:cs="Arial" w:eastAsia="Arial" w:hAnsi="Arial"/>
                <w:sz w:val="18"/>
                <w:szCs w:val="18"/>
                <w:color w:val="auto"/>
              </w:rPr>
              <w:t>(Dollars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Common equity tier 1 capital to risk weighted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139,247</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16.02%</w:t>
            </w: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39,113</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18.04%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39,120</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56,506</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167,567</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19.28%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69,535</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161,714</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69,546</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86,933</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147,990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17.03%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52,151</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18.04%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52,160</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69,546</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147,990</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13.12%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45,102</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156,856</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13.92%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45,075</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56,344</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June 30, 2017: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equity tier 1 capital to risk weighted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123,442</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16.00%</w:t>
            </w: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34,714</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138,744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34,727</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&gt;4.5%</w:t>
            </w: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50,162</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150,269</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19.48%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61,715</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142,447</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18.46%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61,737</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&gt;8.0%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77,172</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131,958</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17.11%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46,286</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138,744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17.98%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46,303</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&gt;6.0%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61,737</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131,958</w:t>
            </w: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12.81%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41,215</w:t>
            </w:r>
          </w:p>
        </w:tc>
        <w:tc>
          <w:tcPr>
            <w:tcW w:w="78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138,744</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13.46%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41,238</w:t>
            </w:r>
          </w:p>
        </w:tc>
        <w:tc>
          <w:tcPr>
            <w:tcW w:w="78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&gt;4.0%</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51,547</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0.625% on January 1, 2016 and will increase by 0.625% each year until it reaches 2.5% on January 1, 2019.</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Company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 (“EPS”)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weighted-average common shares outstanding. The following table shows the weighted-average number of common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ectPr>
          <w:pgSz w:w="11900" w:h="16838" w:orient="portrait"/>
          <w:cols w:equalWidth="0" w:num="1">
            <w:col w:w="11400"/>
          </w:cols>
          <w:pgMar w:left="240" w:top="118" w:right="25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5" w:lineRule="exact"/>
        <w:rPr>
          <w:sz w:val="20"/>
          <w:szCs w:val="20"/>
          <w:color w:val="auto"/>
        </w:rPr>
      </w:pPr>
    </w:p>
    <w:p>
      <w:pPr>
        <w:ind w:left="180" w:right="280" w:hanging="161"/>
        <w:spacing w:after="0" w:line="317" w:lineRule="auto"/>
        <w:rPr>
          <w:sz w:val="20"/>
          <w:szCs w:val="20"/>
          <w:color w:val="auto"/>
        </w:rPr>
      </w:pPr>
      <w:r>
        <w:rPr>
          <w:rFonts w:ascii="Arial" w:cs="Arial" w:eastAsia="Arial" w:hAnsi="Arial"/>
          <w:sz w:val="16"/>
          <w:szCs w:val="16"/>
          <w:color w:val="auto"/>
        </w:rPr>
        <w:t>Weighted average shares used in calculation of basic earnings per share Incremental shares from assumed exercise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651764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51764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Weighted average shares used in calculation of diluted earnings per share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Years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r>
      <w:tr>
        <w:trPr>
          <w:trHeight w:val="195"/>
        </w:trPr>
        <w:tc>
          <w:tcPr>
            <w:tcW w:w="160" w:type="dxa"/>
            <w:vAlign w:val="bottom"/>
          </w:tcPr>
          <w:p>
            <w:pPr>
              <w:spacing w:after="0"/>
              <w:rPr>
                <w:sz w:val="16"/>
                <w:szCs w:val="16"/>
                <w:color w:val="auto"/>
              </w:rPr>
            </w:pPr>
          </w:p>
        </w:tc>
        <w:tc>
          <w:tcPr>
            <w:tcW w:w="4240" w:type="dxa"/>
            <w:vAlign w:val="bottom"/>
            <w:gridSpan w:val="7"/>
          </w:tcPr>
          <w:p>
            <w:pPr>
              <w:jc w:val="right"/>
              <w:ind w:right="150"/>
              <w:spacing w:after="0" w:line="195" w:lineRule="exact"/>
              <w:rPr>
                <w:sz w:val="20"/>
                <w:szCs w:val="20"/>
                <w:color w:val="auto"/>
              </w:rPr>
            </w:pPr>
            <w:r>
              <w:rPr>
                <w:rFonts w:ascii="Arial" w:cs="Arial" w:eastAsia="Arial" w:hAnsi="Arial"/>
                <w:sz w:val="18"/>
                <w:szCs w:val="18"/>
                <w:color w:val="auto"/>
                <w:w w:val="89"/>
              </w:rPr>
              <w:t>(Dollars in thousands, except share and per share data)</w:t>
            </w:r>
          </w:p>
        </w:tc>
      </w:tr>
      <w:tr>
        <w:trPr>
          <w:trHeight w:val="230"/>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16,166</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12,339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7,619</w:t>
            </w:r>
          </w:p>
        </w:tc>
      </w:tr>
      <w:tr>
        <w:trPr>
          <w:trHeight w:val="418"/>
        </w:trPr>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8,906,710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8,898,448</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9,474,999</w:t>
            </w:r>
          </w:p>
        </w:tc>
      </w:tr>
      <w:tr>
        <w:trPr>
          <w:trHeight w:val="230"/>
        </w:trPr>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222,442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54,166</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9,636</w:t>
            </w:r>
          </w:p>
        </w:tc>
      </w:t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9,129,152</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8,952,614</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9,484,635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340"/>
            <w:col w:w="5620"/>
          </w:cols>
          <w:pgMar w:left="240" w:top="118" w:right="259" w:bottom="852"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years ended June 30, 2018, 2017, and 2016,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Years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r>
      <w:tr>
        <w:trPr>
          <w:trHeight w:val="210"/>
        </w:trPr>
        <w:tc>
          <w:tcPr>
            <w:tcW w:w="5260" w:type="dxa"/>
            <w:vAlign w:val="bottom"/>
            <w:gridSpan w:val="2"/>
            <w:shd w:val="clear" w:color="auto" w:fill="CCEEFF"/>
          </w:tcPr>
          <w:p>
            <w:pPr>
              <w:jc w:val="right"/>
              <w:ind w:right="4170"/>
              <w:spacing w:after="0"/>
              <w:rPr>
                <w:sz w:val="20"/>
                <w:szCs w:val="20"/>
                <w:color w:val="auto"/>
              </w:rPr>
            </w:pPr>
            <w:r>
              <w:rPr>
                <w:rFonts w:ascii="Arial" w:cs="Arial" w:eastAsia="Arial" w:hAnsi="Arial"/>
                <w:sz w:val="18"/>
                <w:szCs w:val="18"/>
                <w:color w:val="auto"/>
                <w:w w:val="90"/>
              </w:rPr>
              <w:t>Stock options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642,641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714,545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deferred components of income tax expense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5"/>
              </w:rPr>
              <w:t>Years Ended June 30,</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2016</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60" w:type="dxa"/>
            <w:vAlign w:val="bottom"/>
          </w:tcPr>
          <w:p>
            <w:pPr>
              <w:jc w:val="right"/>
              <w:ind w:right="90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4,133</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7,071</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1,544</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w:t>
            </w:r>
          </w:p>
        </w:tc>
        <w:tc>
          <w:tcPr>
            <w:tcW w:w="7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r>
      <w:tr>
        <w:trPr>
          <w:trHeight w:val="20"/>
        </w:trPr>
        <w:tc>
          <w:tcPr>
            <w:tcW w:w="40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ind w:left="340"/>
              <w:spacing w:after="0"/>
              <w:rPr>
                <w:sz w:val="20"/>
                <w:szCs w:val="20"/>
                <w:color w:val="auto"/>
              </w:rPr>
            </w:pPr>
            <w:r>
              <w:rPr>
                <w:rFonts w:ascii="Arial" w:cs="Arial" w:eastAsia="Arial" w:hAnsi="Arial"/>
                <w:sz w:val="18"/>
                <w:szCs w:val="18"/>
                <w:color w:val="auto"/>
              </w:rPr>
              <w:t>Total current provision</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5,739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8,824</w:t>
            </w:r>
          </w:p>
        </w:tc>
        <w:tc>
          <w:tcPr>
            <w:tcW w:w="7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1,982</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 (benefit)</w:t>
            </w: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7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7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r>
      <w:tr>
        <w:trPr>
          <w:trHeight w:val="20"/>
        </w:trPr>
        <w:tc>
          <w:tcPr>
            <w:tcW w:w="40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ind w:left="340"/>
              <w:spacing w:after="0"/>
              <w:rPr>
                <w:sz w:val="20"/>
                <w:szCs w:val="20"/>
                <w:color w:val="auto"/>
              </w:rPr>
            </w:pPr>
            <w:r>
              <w:rPr>
                <w:rFonts w:ascii="Arial" w:cs="Arial" w:eastAsia="Arial" w:hAnsi="Arial"/>
                <w:sz w:val="18"/>
                <w:szCs w:val="18"/>
                <w:color w:val="auto"/>
              </w:rPr>
              <w:t>Total deferred expense (benefit)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7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2,122</w:t>
            </w:r>
          </w:p>
        </w:tc>
      </w:tr>
      <w:tr>
        <w:trPr>
          <w:trHeight w:val="20"/>
        </w:trPr>
        <w:tc>
          <w:tcPr>
            <w:tcW w:w="4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tax provision</w:t>
            </w: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60" w:type="dxa"/>
            <w:vAlign w:val="bottom"/>
            <w:tcBorders>
              <w:lef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7,799</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4,104</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reconciliation between the statutory federal income tax rate of 28% for fiscal 2018 and 35% for fiscal 2017 and 2016, and the effective tax rate on income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89"/>
              </w:rPr>
              <w:t>Years Ended June 30,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at federal tax rate</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Non-taxable BOLI income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Low-income housing tax credit, net of adoption of ASU 2014-01</w:t>
            </w:r>
          </w:p>
        </w:tc>
        <w:tc>
          <w:tcPr>
            <w:tcW w:w="10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 income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Stock compensation excess tax benefits (ASU 2016-09)</w:t>
            </w:r>
          </w:p>
        </w:tc>
        <w:tc>
          <w:tcPr>
            <w:tcW w:w="10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Statutory rate change</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0"/>
        </w:trPr>
        <w:tc>
          <w:tcPr>
            <w:tcW w:w="5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tax provision</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852"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852" w:gutter="0" w:footer="0" w:header="0"/>
          <w:type w:val="continuous"/>
        </w:sectPr>
      </w:pPr>
    </w:p>
    <w:bookmarkStart w:id="82" w:name="page83"/>
    <w:bookmarkEnd w:id="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deferred tax liabilities at June 30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8"/>
                <w:szCs w:val="18"/>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 (1)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 (2)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2840" w:type="dxa"/>
            <w:vAlign w:val="bottom"/>
            <w:gridSpan w:val="4"/>
          </w:tcPr>
          <w:p>
            <w:pPr>
              <w:jc w:val="right"/>
              <w:ind w:right="320"/>
              <w:spacing w:after="0"/>
              <w:rPr>
                <w:sz w:val="20"/>
                <w:szCs w:val="20"/>
                <w:color w:val="auto"/>
              </w:rPr>
            </w:pPr>
            <w:r>
              <w:rPr>
                <w:rFonts w:ascii="Arial" w:cs="Arial" w:eastAsia="Arial" w:hAnsi="Arial"/>
                <w:sz w:val="18"/>
                <w:szCs w:val="18"/>
                <w:color w:val="auto"/>
              </w:rPr>
              <w:t>(Dollars in thousands)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120" w:type="dxa"/>
            <w:vAlign w:val="bottom"/>
          </w:tcPr>
          <w:p>
            <w:pPr>
              <w:jc w:val="right"/>
              <w:ind w:right="95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1,315</w:t>
            </w:r>
          </w:p>
        </w:tc>
        <w:tc>
          <w:tcPr>
            <w:tcW w:w="220" w:type="dxa"/>
            <w:vAlign w:val="bottom"/>
          </w:tcPr>
          <w:p>
            <w:pPr>
              <w:spacing w:after="0"/>
              <w:rPr>
                <w:sz w:val="18"/>
                <w:szCs w:val="18"/>
                <w:color w:val="auto"/>
              </w:rPr>
            </w:pP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1,462</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basis differential</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1,242</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Capital lease</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1,425</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1,651</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derivatives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Unrealized loss on available for sale securities</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nonperforming loans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Derivative basis differential</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tcPr>
          <w:p>
            <w:pPr>
              <w:ind w:left="340"/>
              <w:spacing w:after="0"/>
              <w:rPr>
                <w:sz w:val="20"/>
                <w:szCs w:val="20"/>
                <w:color w:val="auto"/>
              </w:rPr>
            </w:pPr>
            <w:r>
              <w:rPr>
                <w:rFonts w:ascii="Arial" w:cs="Arial" w:eastAsia="Arial" w:hAnsi="Arial"/>
                <w:sz w:val="18"/>
                <w:szCs w:val="18"/>
                <w:color w:val="auto"/>
              </w:rPr>
              <w:t>Gross deferred tax asset</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4,975</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8,131</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4,975</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8,131</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basis differential</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2,943</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1,135</w:t>
            </w:r>
          </w:p>
        </w:tc>
        <w:tc>
          <w:tcPr>
            <w:tcW w:w="100" w:type="dxa"/>
            <w:vAlign w:val="bottom"/>
          </w:tcPr>
          <w:p>
            <w:pPr>
              <w:spacing w:after="0"/>
              <w:rPr>
                <w:sz w:val="18"/>
                <w:szCs w:val="18"/>
                <w:color w:val="auto"/>
              </w:rPr>
            </w:pPr>
          </w:p>
        </w:tc>
      </w:tr>
      <w:tr>
        <w:trPr>
          <w:trHeight w:val="21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liability</w:t>
            </w:r>
          </w:p>
        </w:tc>
        <w:tc>
          <w:tcPr>
            <w:tcW w:w="1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4,128</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1120" w:type="dxa"/>
            <w:vAlign w:val="bottom"/>
          </w:tcPr>
          <w:p>
            <w:pPr>
              <w:jc w:val="right"/>
              <w:ind w:right="95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2,223</w:t>
            </w:r>
          </w:p>
        </w:tc>
      </w:tr>
      <w:tr>
        <w:trPr>
          <w:trHeight w:val="20"/>
        </w:trPr>
        <w:tc>
          <w:tcPr>
            <w:tcW w:w="6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2018 balances reflect a statutory rate of 21%</w:t>
      </w:r>
    </w:p>
    <w:p>
      <w:pPr>
        <w:spacing w:after="0" w:line="23" w:lineRule="exact"/>
        <w:rPr>
          <w:rFonts w:ascii="Arial" w:cs="Arial" w:eastAsia="Arial" w:hAnsi="Arial"/>
          <w:sz w:val="18"/>
          <w:szCs w:val="18"/>
          <w:color w:val="auto"/>
        </w:rPr>
      </w:pPr>
    </w:p>
    <w:p>
      <w:pPr>
        <w:ind w:left="660" w:hanging="490"/>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2017 balances reflect a statutory rate of 35%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net deferred tax asset was included in other assets in the accompanying consolidated balance sheets as of June 30, 2018 and June 30, 2017.</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December 22, 2017, the Act became law. The Act amends the Internal Revenue Code to reduce tax rates and modify policies, credits, and deductions for individuals and businesses. For businesses, the Act reduced the corporate tax rate from a maximum of 35% to 21%. However, as the Company is a fiscal year June 30 year end, the blended corporate tax rate for the year ended June 30, 2018 was 28%. The corporate tax rate reduction to 21% is effective July 1, 2018.</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are to be reduced by a valuation allowance if, based on the weight of available evidence, it is more likely than not that some portion or all of the deferred tax assets will not be realized. The realization of the tax benefit depends upon the existence of sufficient taxable income within the carry-back and future periods. The Company believes that it is more likely than not that the net deferred tax asset as of June 30, 2018 will be realized, based upon the ability to generate future taxable income as well as the availability of current and historical taxable income.</w:t>
      </w:r>
    </w:p>
    <w:p>
      <w:pPr>
        <w:spacing w:after="0" w:line="15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federal tax purposes, the Company has a $2.0 million reserve for loan losses which remains subject to recapture. If any portion of the reserve is used for purposes other than to absorb the losses for which it was established, approximately 130% of the amount actually used (limited to the amount of the reserve) would be subject to taxation in the year in which used. As the Company intends to use the reserve only to absorb loan losses, no provision has been made for potential liability that would result if 100% of the reserve were recaptured.</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made adjustments amounting to $97 thousand to deferred tax assets representing future deductions for accrued compensation that are subject to new limitations under Internal Revenue Code Section 162(m) which, generally, limits the annual deduction for certain compensation paid to certain employees to $1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the Internal Revenue Service (the "IRS") and state tax authorities may review or challenge specific tax positions taken by the Company in its ordinary course of business. The Company accounts for uncertainties in income taxes by reserving for tax positions that may not be upheld under examination. Increases to the Company's unrealized tax positions occur as a result of accruing for the unrecognized tax benefit as well the accrual of interest and penalties related to prior year positions. Decreases in the Company's unrealized tax positions occur as a result of the statute of limitation lapsing on prior year positions or settlements relating to outstanding positions. The Company reserves for uncertain tax positions, as well as related interest and penalties, as a component of income tax expense therefore affecting the effective tax rate. The following is a reconciliation of the beginning and ending amounts of the Company's uncertain tax positions: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Tax Position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auto"/>
                <w:w w:val="98"/>
              </w:rPr>
              <w:t>Interest and Penalties</w:t>
            </w:r>
          </w:p>
        </w:tc>
        <w:tc>
          <w:tcPr>
            <w:tcW w:w="32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240" w:type="dxa"/>
            <w:vAlign w:val="bottom"/>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109</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2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240" w:type="dxa"/>
            <w:vAlign w:val="bottom"/>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2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240" w:type="dxa"/>
            <w:vAlign w:val="bottom"/>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Reduction of tax positions for prior years</w:t>
            </w: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Increase for prior year tax position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 for current year tax position</w:t>
            </w: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240" w:type="dxa"/>
            <w:vAlign w:val="bottom"/>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currently open to audit under the statute of limitations by the IRS and state taxing authorities for the fiscal 2015 tax return and forward.</w:t>
      </w:r>
    </w:p>
    <w:p>
      <w:pPr>
        <w:spacing w:after="0" w:line="200" w:lineRule="exact"/>
        <w:rPr>
          <w:sz w:val="20"/>
          <w:szCs w:val="20"/>
          <w:color w:val="auto"/>
        </w:rPr>
      </w:pPr>
    </w:p>
    <w:p>
      <w:pPr>
        <w:spacing w:after="0" w:line="27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w:t>
      </w:r>
      <w:r>
        <w:rPr>
          <w:rFonts w:ascii="Arial" w:cs="Arial" w:eastAsia="Arial" w:hAnsi="Arial"/>
          <w:sz w:val="18"/>
          <w:szCs w:val="18"/>
          <w:i w:val="1"/>
          <w:iCs w:val="1"/>
          <w:u w:val="single" w:color="auto"/>
          <w:color w:val="auto"/>
        </w:rPr>
        <w:t>(k) Plan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offers a contributory 401(k) plan that is available to all full-time salaried and hourly-paid employees who have attained age 18, and completed 90 days of employment. Employees may contribute up to 100% of their base compensation, subject to IRS limitations. The Company will match 50% of each employee's contribution up to the first 6% contributed. For the years ended June 30, 2018, 2017, and 2016, the Company contributed $340 thousand, $355 thousand and $331 thousand,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individual deferred compensation agreements with five former senior officers. The Company recognized deferred compensation expense of $31 thousand for each of the years ended June 30, 2018, 2017, and 2016, respectively. At June 30, 2018, 2017 and 2016, the Company's deferred compensation liability was $526 thousand, $540 thousand and $541 thousand, respectively.</w:t>
      </w:r>
    </w:p>
    <w:p>
      <w:pPr>
        <w:spacing w:after="0" w:line="200" w:lineRule="exact"/>
        <w:rPr>
          <w:sz w:val="20"/>
          <w:szCs w:val="20"/>
          <w:color w:val="auto"/>
        </w:rPr>
      </w:pPr>
    </w:p>
    <w:p>
      <w:pPr>
        <w:spacing w:after="0" w:line="220"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the 2017 annual meeting of shareholders, the Company's shareholders ratified the Northeast Bancorp Amended and Restated 2010 Stock Option and Incentive Plan (the "Restated Plan"). The Restated Plan amends and restates the Northeast Bancorp 2010 Option and Incentive Plan (the "2010 Plan"). The key material differences between the 2010 Plan and the Restated Plan are:</w:t>
      </w:r>
    </w:p>
    <w:p>
      <w:pPr>
        <w:spacing w:after="0" w:line="181" w:lineRule="exact"/>
        <w:rPr>
          <w:sz w:val="20"/>
          <w:szCs w:val="20"/>
          <w:color w:val="auto"/>
        </w:rPr>
      </w:pPr>
    </w:p>
    <w:p>
      <w:pPr>
        <w:ind w:left="660" w:right="48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9"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ectPr>
          <w:pgSz w:w="11900" w:h="16838" w:orient="portrait"/>
          <w:cols w:equalWidth="0" w:num="1">
            <w:col w:w="11400"/>
          </w:cols>
          <w:pgMar w:left="240" w:top="118" w:right="25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4" w:name="page85"/>
    <w:bookmarkEnd w:id="8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w w:val="94"/>
              </w:rPr>
              <w:t>A summary of stock option activity for the year ended June 30, 2018 follows: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Exercise 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890,866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(373,634)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(81,006)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436,226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Arial" w:cs="Arial" w:eastAsia="Arial" w:hAnsi="Arial"/>
                <w:sz w:val="18"/>
                <w:szCs w:val="18"/>
                <w:color w:val="auto"/>
              </w:rPr>
              <w:t>Exercisable</w:t>
            </w:r>
          </w:p>
        </w:tc>
        <w:tc>
          <w:tcPr>
            <w:tcW w:w="16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436,226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Weighted Average</w:t>
            </w:r>
          </w:p>
        </w:tc>
        <w:tc>
          <w:tcPr>
            <w:tcW w:w="0" w:type="dxa"/>
            <w:vAlign w:val="bottom"/>
          </w:tcPr>
          <w:p>
            <w:pPr>
              <w:spacing w:after="0" w:line="20" w:lineRule="exact"/>
              <w:rPr>
                <w:sz w:val="1"/>
                <w:szCs w:val="1"/>
                <w:color w:val="auto"/>
              </w:rPr>
            </w:pPr>
          </w:p>
        </w:tc>
      </w:tr>
      <w:tr>
        <w:trPr>
          <w:trHeight w:val="398"/>
        </w:trPr>
        <w:tc>
          <w:tcPr>
            <w:tcW w:w="5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Grant Date Fair</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Exercisable, beginning of year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506,911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302,949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(373,634)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436,226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in the year ended June 30, 2018 or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expected volatility is based on historical volatility. The risk-free interest rate is for periods within the expected life of the awards, and is based on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yield curve in effect at the time of the grant. The expected life is based on expected exercise experience.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June 30,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8"/>
                <w:szCs w:val="18"/>
                <w:color w:val="auto"/>
              </w:rPr>
              <w:t>Options Outstanding</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Options Exercisable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(Dollars in thousands,</w:t>
            </w:r>
          </w:p>
        </w:tc>
        <w:tc>
          <w:tcPr>
            <w:tcW w:w="1660" w:type="dxa"/>
            <w:vAlign w:val="bottom"/>
            <w:gridSpan w:val="5"/>
          </w:tcPr>
          <w:p>
            <w:pPr>
              <w:spacing w:after="0" w:line="195" w:lineRule="exact"/>
              <w:rPr>
                <w:sz w:val="20"/>
                <w:szCs w:val="20"/>
                <w:color w:val="auto"/>
              </w:rPr>
            </w:pPr>
            <w:r>
              <w:rPr>
                <w:rFonts w:ascii="Arial" w:cs="Arial" w:eastAsia="Arial" w:hAnsi="Arial"/>
                <w:sz w:val="18"/>
                <w:szCs w:val="18"/>
                <w:color w:val="auto"/>
                <w:w w:val="91"/>
              </w:rPr>
              <w:t>except per share data)</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Arial" w:cs="Arial" w:eastAsia="Arial" w:hAnsi="Arial"/>
                <w:sz w:val="18"/>
                <w:szCs w:val="18"/>
                <w:color w:val="auto"/>
                <w:w w:val="91"/>
              </w:rPr>
              <w:t>Aggregate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Weighted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Aggregate</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Remaining Life</w:t>
            </w:r>
          </w:p>
        </w:tc>
        <w:tc>
          <w:tcPr>
            <w:tcW w:w="16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Remaining Life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Intrinsic</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Exercise Price</w:t>
            </w: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 years)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Exercise 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139,607</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139,607</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12.63</w:t>
            </w: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291,619</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291,619</w:t>
            </w:r>
          </w:p>
        </w:tc>
        <w:tc>
          <w:tcPr>
            <w:tcW w:w="1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12.46</w:t>
            </w:r>
          </w:p>
        </w:tc>
        <w:tc>
          <w:tcPr>
            <w:tcW w:w="1180" w:type="dxa"/>
            <w:vAlign w:val="bottom"/>
          </w:tcPr>
          <w:p>
            <w:pPr>
              <w:jc w:val="right"/>
              <w:spacing w:after="0"/>
              <w:rPr>
                <w:sz w:val="20"/>
                <w:szCs w:val="20"/>
                <w:color w:val="auto"/>
              </w:rPr>
            </w:pPr>
            <w:r>
              <w:rPr>
                <w:rFonts w:ascii="Arial" w:cs="Arial" w:eastAsia="Arial" w:hAnsi="Arial"/>
                <w:sz w:val="18"/>
                <w:szCs w:val="18"/>
                <w:color w:val="auto"/>
              </w:rPr>
              <w:t>436,226</w:t>
            </w: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12.46</w:t>
            </w:r>
          </w:p>
        </w:tc>
        <w:tc>
          <w:tcPr>
            <w:tcW w:w="1140" w:type="dxa"/>
            <w:vAlign w:val="bottom"/>
          </w:tcPr>
          <w:p>
            <w:pPr>
              <w:jc w:val="right"/>
              <w:spacing w:after="0"/>
              <w:rPr>
                <w:sz w:val="20"/>
                <w:szCs w:val="20"/>
                <w:color w:val="auto"/>
              </w:rPr>
            </w:pPr>
            <w:r>
              <w:rPr>
                <w:rFonts w:ascii="Arial" w:cs="Arial" w:eastAsia="Arial" w:hAnsi="Arial"/>
                <w:sz w:val="18"/>
                <w:szCs w:val="18"/>
                <w:color w:val="auto"/>
              </w:rPr>
              <w:t>436,226</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for the year ended June 30, 2018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gridSpan w:val="3"/>
          </w:tcPr>
          <w:p>
            <w:pPr>
              <w:ind w:left="60"/>
              <w:spacing w:after="0"/>
              <w:rPr>
                <w:sz w:val="20"/>
                <w:szCs w:val="20"/>
                <w:color w:val="auto"/>
              </w:rPr>
            </w:pPr>
            <w:r>
              <w:rPr>
                <w:rFonts w:ascii="Arial" w:cs="Arial" w:eastAsia="Arial" w:hAnsi="Arial"/>
                <w:sz w:val="18"/>
                <w:szCs w:val="18"/>
                <w:color w:val="auto"/>
                <w:w w:val="96"/>
              </w:rPr>
              <w:t>Weighted Average Grant</w:t>
            </w:r>
          </w:p>
        </w:tc>
      </w:tr>
      <w:tr>
        <w:trPr>
          <w:trHeight w:val="230"/>
        </w:trPr>
        <w:tc>
          <w:tcPr>
            <w:tcW w:w="5420" w:type="dxa"/>
            <w:vAlign w:val="bottom"/>
          </w:tcPr>
          <w:p>
            <w:pPr>
              <w:spacing w:after="0"/>
              <w:rPr>
                <w:sz w:val="20"/>
                <w:szCs w:val="20"/>
                <w:color w:val="auto"/>
              </w:rPr>
            </w:pP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Date Fair Value</w:t>
            </w:r>
          </w:p>
        </w:tc>
        <w:tc>
          <w:tcPr>
            <w:tcW w:w="80" w:type="dxa"/>
            <w:vAlign w:val="bottom"/>
          </w:tcPr>
          <w:p>
            <w:pPr>
              <w:spacing w:after="0"/>
              <w:rPr>
                <w:sz w:val="20"/>
                <w:szCs w:val="20"/>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395,430</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22.41</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(59,093)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(40,003)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10.54</w:t>
            </w:r>
          </w:p>
        </w:tc>
      </w:tr>
      <w:tr>
        <w:trPr>
          <w:trHeight w:val="250"/>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318,334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schedule for the shares granted in the year ended June 30, 2018 follows:</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10,000 restricted shares vest in three equal annual installments, commencing on August 31,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2,000 restricted shares vest in three equal annual installments, commencing on November 10, 2020;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10,000 restricted shares vest in three equal annual installments, commencing on January 5,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Stock-based compensation totaled $870 thousand for the year ended June 30, 2018, $945 thousand for the year ended June 30, 2017, and $613 thousand for the year ended June 30, 2016. The tax benefit related to stock-based compensation expensed totaled $264 thousand for the year ended June 30, 2018, $366 thousand for the year ended June 30, 2017 and $215 thousand for the year ended June 30, 2016. The estimated amount and timing of future pre-tax stock-based compensation expense to be recognized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w w:val="99"/>
              </w:rPr>
              <w:t>Years Ended June 30,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760" w:type="dxa"/>
            <w:vAlign w:val="bottom"/>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Restricted stock</w:t>
            </w:r>
          </w:p>
        </w:tc>
        <w:tc>
          <w:tcPr>
            <w:tcW w:w="9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r>
      <w:tr>
        <w:trPr>
          <w:trHeight w:val="20"/>
        </w:trPr>
        <w:tc>
          <w:tcPr>
            <w:tcW w:w="1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7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r>
      <w:tr>
        <w:trPr>
          <w:trHeight w:val="20"/>
        </w:trPr>
        <w:tc>
          <w:tcPr>
            <w:tcW w:w="1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Contingent Liabilities and Other Off-Balance Sheet Risks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90"/>
              <w:spacing w:after="0"/>
              <w:rPr>
                <w:sz w:val="20"/>
                <w:szCs w:val="20"/>
                <w:color w:val="auto"/>
              </w:rPr>
            </w:pPr>
            <w:r>
              <w:rPr>
                <w:rFonts w:ascii="Arial" w:cs="Arial" w:eastAsia="Arial" w:hAnsi="Arial"/>
                <w:sz w:val="18"/>
                <w:szCs w:val="18"/>
                <w:color w:val="auto"/>
                <w:w w:val="86"/>
              </w:rPr>
              <w:t>June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2740" w:type="dxa"/>
            <w:vAlign w:val="bottom"/>
            <w:gridSpan w:val="5"/>
          </w:tcPr>
          <w:p>
            <w:pPr>
              <w:jc w:val="center"/>
              <w:ind w:left="455"/>
              <w:spacing w:after="0"/>
              <w:rPr>
                <w:sz w:val="20"/>
                <w:szCs w:val="20"/>
                <w:color w:val="auto"/>
              </w:rPr>
            </w:pPr>
            <w:r>
              <w:rPr>
                <w:rFonts w:ascii="Arial" w:cs="Arial" w:eastAsia="Arial" w:hAnsi="Arial"/>
                <w:sz w:val="18"/>
                <w:szCs w:val="18"/>
                <w:color w:val="auto"/>
                <w:w w:val="91"/>
              </w:rPr>
              <w:t>(Dollars in thousands)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020" w:type="dxa"/>
            <w:vAlign w:val="bottom"/>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20,431</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15,244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Unused lines of credit</w:t>
            </w: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29,478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31,858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10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counterparty. Collateral held varies but may include accounts receivable, inventory, property, plant and equipment, and income-producing commercial properties. The Company has recorded an allowance for possible losses on commitments and unfunded loans totaling $52 thousand and $39 thousand recorded in other liabilities at June 30, 2018 and 2017, respectively.</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Those guarantees are issued to support private borrowing arrangements. The credit risk involved in issuing letters of credit is essentially the same as that involved in extending loan facilities to customers. As of June 30, 2018 and 2017, the maximum potential amount of the Company's obligation was $3.2 million and $3.4 million, respectively, for financial and standby letters of credit. The Company's outstanding letters of credit generally have a term of less than one year. If a letter of credit is drawn upon, the Company may seek recourse through the customer's underlying line of credit. If the customer's line of credit is also in default, the Company may take possession of the collateral, if any, securing the line of credit.</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year ended June 30, 2016, the Company committed $2.5 million to a fund that acquires CRA qualified investments in loans for the Company’s portfolio. The fund manager calls the funds from the Company when an investment is successfully acquired. During the year ended June 30, 2017, the fund called $1.5 million from the Company. The Company has a remaining commitment of $1.0 million as of June 30, 2018 to a fund that invests in the federally guaranteed portion of SBA 7(a) loans.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Obligations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certain properties used in operations under terms of various non-cancelable operating leases, most of which include renewal options. The leases contain renewal options and escalation clauses which provide for increased rental expense as these leases expire. Rental expense under leases totaled $1.2 million for each of the years ended June 30, 2018,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minimum lease payments over the remaining terms of the Company's leases at June 30, 2018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Minimum lease</w:t>
            </w:r>
          </w:p>
        </w:tc>
      </w:tr>
      <w:tr>
        <w:trPr>
          <w:trHeight w:val="230"/>
        </w:trPr>
        <w:tc>
          <w:tcPr>
            <w:tcW w:w="4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payments</w:t>
            </w:r>
          </w:p>
        </w:tc>
      </w:tr>
      <w:tr>
        <w:trPr>
          <w:trHeight w:val="195"/>
        </w:trPr>
        <w:tc>
          <w:tcPr>
            <w:tcW w:w="4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3"/>
              </w:rPr>
              <w:t>(Dollars in</w:t>
            </w:r>
          </w:p>
        </w:tc>
        <w:tc>
          <w:tcPr>
            <w:tcW w:w="80" w:type="dxa"/>
            <w:vAlign w:val="bottom"/>
          </w:tcPr>
          <w:p>
            <w:pPr>
              <w:spacing w:after="0"/>
              <w:rPr>
                <w:sz w:val="16"/>
                <w:szCs w:val="16"/>
                <w:color w:val="auto"/>
              </w:rPr>
            </w:pPr>
          </w:p>
        </w:tc>
      </w:tr>
      <w:tr>
        <w:trPr>
          <w:trHeight w:val="230"/>
        </w:trPr>
        <w:tc>
          <w:tcPr>
            <w:tcW w:w="4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thousands)</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2020</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1,256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2022</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1,255</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8"/>
                <w:szCs w:val="18"/>
                <w:color w:val="auto"/>
              </w:rPr>
            </w:pP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386"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(loss)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color w:val="auto"/>
                <w:w w:val="95"/>
              </w:rPr>
              <w:t>Years Ended June 30,</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Pre-tax</w:t>
            </w:r>
          </w:p>
        </w:tc>
        <w:tc>
          <w:tcPr>
            <w:tcW w:w="80" w:type="dxa"/>
            <w:vAlign w:val="bottom"/>
          </w:tcPr>
          <w:p>
            <w:pPr>
              <w:spacing w:after="0"/>
              <w:rPr>
                <w:sz w:val="16"/>
                <w:szCs w:val="16"/>
                <w:color w:val="auto"/>
              </w:rPr>
            </w:pPr>
          </w:p>
        </w:tc>
        <w:tc>
          <w:tcPr>
            <w:tcW w:w="1200" w:type="dxa"/>
            <w:vAlign w:val="bottom"/>
            <w:gridSpan w:val="3"/>
          </w:tcPr>
          <w:p>
            <w:pPr>
              <w:jc w:val="center"/>
              <w:ind w:right="16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400"/>
              <w:spacing w:after="0" w:line="195" w:lineRule="exact"/>
              <w:rPr>
                <w:sz w:val="20"/>
                <w:szCs w:val="20"/>
                <w:color w:val="auto"/>
              </w:rPr>
            </w:pPr>
            <w:r>
              <w:rPr>
                <w:rFonts w:ascii="Arial" w:cs="Arial" w:eastAsia="Arial" w:hAnsi="Arial"/>
                <w:sz w:val="18"/>
                <w:szCs w:val="18"/>
                <w:color w:val="auto"/>
                <w:w w:val="99"/>
              </w:rPr>
              <w:t>Pre-tax</w:t>
            </w:r>
          </w:p>
        </w:tc>
        <w:tc>
          <w:tcPr>
            <w:tcW w:w="80" w:type="dxa"/>
            <w:vAlign w:val="bottom"/>
          </w:tcPr>
          <w:p>
            <w:pPr>
              <w:spacing w:after="0"/>
              <w:rPr>
                <w:sz w:val="16"/>
                <w:szCs w:val="16"/>
                <w:color w:val="auto"/>
              </w:rPr>
            </w:pPr>
          </w:p>
        </w:tc>
        <w:tc>
          <w:tcPr>
            <w:tcW w:w="11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net unrealized loss on available-for-sale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w w:val="98"/>
              </w:rPr>
              <w:t>Change in accumulated gain on effective cash flow</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hedges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8"/>
              </w:rPr>
              <w:t>Reclassification adjustment included in net income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derivatives and hedging activities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2018-02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w w:val="91"/>
              </w:rPr>
              <w:t>Year Ended June 30,</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rPr>
              <w:t>Pre-tax</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w w:val="93"/>
              </w:rPr>
              <w:t>Tax Expense</w:t>
            </w:r>
          </w:p>
        </w:tc>
        <w:tc>
          <w:tcPr>
            <w:tcW w:w="240" w:type="dxa"/>
            <w:vAlign w:val="bottom"/>
          </w:tcPr>
          <w:p>
            <w:pPr>
              <w:spacing w:after="0"/>
              <w:rPr>
                <w:sz w:val="16"/>
                <w:szCs w:val="16"/>
                <w:color w:val="auto"/>
              </w:rPr>
            </w:pPr>
          </w:p>
        </w:tc>
        <w:tc>
          <w:tcPr>
            <w:tcW w:w="12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After-tax</w:t>
            </w:r>
          </w:p>
        </w:tc>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(Benefit)</w:t>
            </w:r>
          </w:p>
        </w:tc>
        <w:tc>
          <w:tcPr>
            <w:tcW w:w="2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Amount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on available-for-sale</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1"/>
              </w:rPr>
              <w:t>Change in accumulated loss on effective cash flow hedges</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 included in net income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derivatives and hedging activities</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comprised of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June 30, 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June 30, 2017</w:t>
            </w:r>
          </w:p>
        </w:tc>
        <w:tc>
          <w:tcPr>
            <w:tcW w:w="16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Net-of-tax amount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(1,683)</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Net-of-tax amount</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June 30, 2018 and 2017, the Company had posted cash collateral totaling $800 thousand and $1.7 million, respectively, with dealer banks related to derivative instruments in a net liability position.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8" w:name="page89"/>
    <w:bookmarkEnd w:id="8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Information pertaining to outstanding interest rate caps and swap agreements used to hedge junior subordinated debt and FHLBB advances is as follows:</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June 30,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Notional</w:t>
            </w:r>
          </w:p>
        </w:tc>
        <w:tc>
          <w:tcPr>
            <w:tcW w:w="13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8"/>
                <w:szCs w:val="18"/>
                <w:color w:val="auto"/>
                <w:w w:val="93"/>
              </w:rPr>
              <w:t>Inception Date</w:t>
            </w:r>
          </w:p>
        </w:tc>
        <w:tc>
          <w:tcPr>
            <w:tcW w:w="136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92"/>
              </w:rPr>
              <w:t>Termination</w:t>
            </w:r>
          </w:p>
        </w:tc>
        <w:tc>
          <w:tcPr>
            <w:tcW w:w="1200" w:type="dxa"/>
            <w:vAlign w:val="bottom"/>
            <w:tcBorders>
              <w:top w:val="single" w:sz="8" w:color="auto"/>
            </w:tcBorders>
            <w:gridSpan w:val="2"/>
            <w:vMerge w:val="restart"/>
          </w:tcPr>
          <w:p>
            <w:pPr>
              <w:ind w:left="360"/>
              <w:spacing w:after="0"/>
              <w:rPr>
                <w:sz w:val="20"/>
                <w:szCs w:val="20"/>
                <w:color w:val="auto"/>
              </w:rPr>
            </w:pPr>
            <w:r>
              <w:rPr>
                <w:rFonts w:ascii="Arial" w:cs="Arial" w:eastAsia="Arial" w:hAnsi="Arial"/>
                <w:sz w:val="18"/>
                <w:szCs w:val="18"/>
                <w:color w:val="auto"/>
              </w:rPr>
              <w:t>Index</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9"/>
              </w:rPr>
              <w:t>Receive</w:t>
            </w:r>
          </w:p>
        </w:tc>
        <w:tc>
          <w:tcPr>
            <w:tcW w:w="96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0"/>
              </w:rPr>
              <w:t>Pay</w:t>
            </w:r>
          </w:p>
        </w:tc>
        <w:tc>
          <w:tcPr>
            <w:tcW w:w="94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1"/>
              </w:rPr>
              <w:t>Strike</w:t>
            </w:r>
          </w:p>
        </w:tc>
        <w:tc>
          <w:tcPr>
            <w:tcW w:w="1040" w:type="dxa"/>
            <w:vAlign w:val="bottom"/>
            <w:tcBorders>
              <w:top w:val="single" w:sz="8" w:color="auto"/>
            </w:tcBorders>
            <w:gridSpan w:val="3"/>
          </w:tcPr>
          <w:p>
            <w:pPr>
              <w:jc w:val="center"/>
              <w:ind w:right="140"/>
              <w:spacing w:after="0" w:line="195" w:lineRule="exact"/>
              <w:rPr>
                <w:sz w:val="20"/>
                <w:szCs w:val="20"/>
                <w:color w:val="auto"/>
              </w:rPr>
            </w:pPr>
            <w:r>
              <w:rPr>
                <w:rFonts w:ascii="Arial" w:cs="Arial" w:eastAsia="Arial" w:hAnsi="Arial"/>
                <w:sz w:val="18"/>
                <w:szCs w:val="18"/>
                <w:color w:val="auto"/>
                <w:w w:val="90"/>
              </w:rPr>
              <w:t>Unrealized</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Fair Value</w:t>
            </w: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Arial" w:cs="Arial" w:eastAsia="Arial" w:hAnsi="Arial"/>
                <w:sz w:val="18"/>
                <w:szCs w:val="18"/>
                <w:color w:val="auto"/>
              </w:rPr>
              <w:t>Amount</w:t>
            </w:r>
          </w:p>
        </w:tc>
        <w:tc>
          <w:tcPr>
            <w:tcW w:w="220" w:type="dxa"/>
            <w:vAlign w:val="bottom"/>
            <w:vMerge w:val="restart"/>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vMerge w:val="restart"/>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8"/>
                <w:szCs w:val="18"/>
                <w:color w:val="auto"/>
                <w:w w:val="82"/>
              </w:rPr>
              <w:t>(Dollars in thousands)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rPr>
              <w:t>Interest rate swaps on FHLB advances: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2033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2.05%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2028</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2023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2.05%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9"/>
            <w:shd w:val="clear" w:color="auto" w:fill="CCEEFF"/>
          </w:tcPr>
          <w:p>
            <w:pPr>
              <w:spacing w:after="0"/>
              <w:rPr>
                <w:sz w:val="20"/>
                <w:szCs w:val="20"/>
                <w:color w:val="auto"/>
              </w:rPr>
            </w:pPr>
            <w:r>
              <w:rPr>
                <w:rFonts w:ascii="Arial" w:cs="Arial" w:eastAsia="Arial" w:hAnsi="Arial"/>
                <w:sz w:val="18"/>
                <w:szCs w:val="18"/>
                <w:i w:val="1"/>
                <w:iCs w:val="1"/>
                <w:color w:val="auto"/>
                <w:w w:val="95"/>
              </w:rPr>
              <w:t>Forward-starting interest rate swaps on Trust Preferred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September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February 2018</w:t>
            </w:r>
          </w:p>
        </w:tc>
        <w:tc>
          <w:tcPr>
            <w:tcW w:w="1140" w:type="dxa"/>
            <w:vAlign w:val="bottom"/>
          </w:tcPr>
          <w:p>
            <w:pPr>
              <w:jc w:val="right"/>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5.14%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February 2018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February 2030</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5"/>
          </w:tcPr>
          <w:p>
            <w:pPr>
              <w:spacing w:after="0"/>
              <w:rPr>
                <w:sz w:val="20"/>
                <w:szCs w:val="20"/>
                <w:color w:val="auto"/>
              </w:rPr>
            </w:pPr>
            <w:r>
              <w:rPr>
                <w:rFonts w:ascii="Arial" w:cs="Arial" w:eastAsia="Arial" w:hAnsi="Arial"/>
                <w:sz w:val="18"/>
                <w:szCs w:val="18"/>
                <w:i w:val="1"/>
                <w:iCs w:val="1"/>
                <w:color w:val="auto"/>
              </w:rPr>
              <w:t>Interest rate caps: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September</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October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Mo. LIBOR</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March 2015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February 2020</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3 Mo. LIBOR</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June 30, 2017</w:t>
            </w:r>
          </w:p>
        </w:tc>
        <w:tc>
          <w:tcPr>
            <w:tcW w:w="6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Notional</w:t>
            </w: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3"/>
              </w:rPr>
              <w:t>Inception Date</w:t>
            </w:r>
          </w:p>
        </w:tc>
        <w:tc>
          <w:tcPr>
            <w:tcW w:w="13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Termination</w:t>
            </w:r>
          </w:p>
        </w:tc>
        <w:tc>
          <w:tcPr>
            <w:tcW w:w="1200" w:type="dxa"/>
            <w:vAlign w:val="bottom"/>
            <w:gridSpan w:val="2"/>
            <w:vMerge w:val="restart"/>
          </w:tcPr>
          <w:p>
            <w:pPr>
              <w:ind w:left="360"/>
              <w:spacing w:after="0"/>
              <w:rPr>
                <w:sz w:val="20"/>
                <w:szCs w:val="20"/>
                <w:color w:val="auto"/>
              </w:rPr>
            </w:pPr>
            <w:r>
              <w:rPr>
                <w:rFonts w:ascii="Arial" w:cs="Arial" w:eastAsia="Arial" w:hAnsi="Arial"/>
                <w:sz w:val="18"/>
                <w:szCs w:val="18"/>
                <w:color w:val="auto"/>
              </w:rPr>
              <w:t>Index</w:t>
            </w:r>
          </w:p>
        </w:tc>
        <w:tc>
          <w:tcPr>
            <w:tcW w:w="140" w:type="dxa"/>
            <w:vAlign w:val="bottom"/>
          </w:tcPr>
          <w:p>
            <w:pPr>
              <w:spacing w:after="0"/>
              <w:rPr>
                <w:sz w:val="16"/>
                <w:szCs w:val="16"/>
                <w:color w:val="auto"/>
              </w:rPr>
            </w:pPr>
          </w:p>
        </w:tc>
        <w:tc>
          <w:tcPr>
            <w:tcW w:w="94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Receive</w:t>
            </w:r>
          </w:p>
        </w:tc>
        <w:tc>
          <w:tcPr>
            <w:tcW w:w="9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0"/>
              </w:rPr>
              <w:t>Pay</w:t>
            </w:r>
          </w:p>
        </w:tc>
        <w:tc>
          <w:tcPr>
            <w:tcW w:w="94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1"/>
              </w:rPr>
              <w:t>Strike</w:t>
            </w:r>
          </w:p>
        </w:tc>
        <w:tc>
          <w:tcPr>
            <w:tcW w:w="10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6"/>
                <w:szCs w:val="16"/>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8"/>
                <w:szCs w:val="18"/>
                <w:color w:val="auto"/>
              </w:rPr>
              <w:t>Fair Value</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Arial" w:cs="Arial" w:eastAsia="Arial" w:hAnsi="Arial"/>
                <w:sz w:val="18"/>
                <w:szCs w:val="18"/>
                <w:color w:val="auto"/>
              </w:rPr>
              <w:t>Amount</w:t>
            </w:r>
          </w:p>
        </w:tc>
        <w:tc>
          <w:tcPr>
            <w:tcW w:w="220" w:type="dxa"/>
            <w:vAlign w:val="bottom"/>
            <w:vMerge w:val="restart"/>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vMerge w:val="restart"/>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4"/>
              </w:rPr>
              <w:t>Rate</w:t>
            </w:r>
          </w:p>
        </w:tc>
        <w:tc>
          <w:tcPr>
            <w:tcW w:w="26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8"/>
                <w:szCs w:val="18"/>
                <w:color w:val="auto"/>
                <w:w w:val="82"/>
              </w:rPr>
              <w:t>(Dollars in thousands)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rPr>
              <w:t>Interest rate swaps on FHLB advances: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2033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(666)</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2028</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July 2023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3 Mo. LIBOR</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September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October 2014</w:t>
            </w:r>
          </w:p>
        </w:tc>
        <w:tc>
          <w:tcPr>
            <w:tcW w:w="114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3 Mo. LIBOR</w:t>
            </w: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March 2015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February 2020</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 Mo. LIBOR</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(1,683)</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(1,337)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years ended June 30, 2018, 2017 and 2016,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years ended June 30, 2018, 2017 and 2016 related to the balance sheet hedging of variable rate debt indicates that the hedges were effective.</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Amounts recognized in income related to amounts excluded from effectiveness testing resulted from amortization of the acquisition price of interest rate caps. For the years ended June 30, 2018 and 2017, amounts recognized in income related to the amortization of the interest rate caps. The table below presents amounts recognized in income related to interest rate cap amortization, hedge ineffectiveness and amounts excluded from effectiveness testing.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5"/>
              </w:rPr>
              <w:t>Years Ended June 30,</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40" w:type="dxa"/>
            <w:vAlign w:val="bottom"/>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w w:val="87"/>
              </w:rPr>
              <w:t>(Dollars in thousands)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rate caps</w:t>
            </w:r>
          </w:p>
        </w:tc>
        <w:tc>
          <w:tcPr>
            <w:tcW w:w="1100" w:type="dxa"/>
            <w:vAlign w:val="bottom"/>
          </w:tcPr>
          <w:p>
            <w:pPr>
              <w:jc w:val="right"/>
              <w:ind w:right="94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ind w:right="94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0"/>
        </w:trPr>
        <w:tc>
          <w:tcPr>
            <w:tcW w:w="40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does not expect to record interest income or interest expense related to interest rate swap or interest rate cap ineffectiveness in the next twelve months.</w:t>
      </w:r>
    </w:p>
    <w:p>
      <w:pPr>
        <w:spacing w:after="0" w:line="200" w:lineRule="exact"/>
        <w:rPr>
          <w:sz w:val="20"/>
          <w:szCs w:val="20"/>
          <w:color w:val="auto"/>
        </w:rPr>
      </w:pPr>
    </w:p>
    <w:p>
      <w:pPr>
        <w:spacing w:after="0" w:line="210"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ectPr>
          <w:pgSz w:w="11900" w:h="16838" w:orient="portrait"/>
          <w:cols w:equalWidth="0" w:num="1">
            <w:col w:w="11420"/>
          </w:cols>
          <w:pgMar w:left="240" w:top="118" w:right="239" w:bottom="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6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hierarchy. 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660" w:right="22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Loan servicing rights </w:t>
      </w:r>
      <w:r>
        <w:rPr>
          <w:rFonts w:ascii="Arial" w:cs="Arial" w:eastAsia="Arial" w:hAnsi="Arial"/>
          <w:sz w:val="18"/>
          <w:szCs w:val="18"/>
          <w:color w:val="auto"/>
        </w:rPr>
        <w:t>- 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interest-bearing deposits and Federal Home Loan Bank of Boston overnight</w:t>
      </w:r>
      <w:r>
        <w:rPr>
          <w:rFonts w:ascii="Arial" w:cs="Arial" w:eastAsia="Arial" w:hAnsi="Arial"/>
          <w:sz w:val="18"/>
          <w:szCs w:val="18"/>
          <w:i w:val="1"/>
          <w:iCs w:val="1"/>
          <w:color w:val="auto"/>
        </w:rPr>
        <w:t xml:space="preserve"> </w:t>
      </w:r>
      <w:r>
        <w:rPr>
          <w:rFonts w:ascii="Arial" w:cs="Arial" w:eastAsia="Arial" w:hAnsi="Arial"/>
          <w:sz w:val="18"/>
          <w:szCs w:val="18"/>
          <w:color w:val="auto"/>
        </w:rPr>
        <w:t>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 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gridSpan w:val="7"/>
          </w:tcPr>
          <w:p>
            <w:pPr>
              <w:spacing w:after="0"/>
              <w:rPr>
                <w:sz w:val="20"/>
                <w:szCs w:val="20"/>
                <w:color w:val="auto"/>
              </w:rPr>
            </w:pPr>
            <w:r>
              <w:rPr>
                <w:rFonts w:ascii="Arial" w:cs="Arial" w:eastAsia="Arial" w:hAnsi="Arial"/>
                <w:sz w:val="18"/>
                <w:szCs w:val="18"/>
                <w:color w:val="auto"/>
                <w:w w:val="94"/>
              </w:rPr>
              <w:t>Assets and liabilities measured at fair value on a recurring basis are summarized below.</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24,181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swaps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32,903</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0" w:right="80" w:hanging="324"/>
        <w:spacing w:after="0" w:line="264" w:lineRule="auto"/>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is intended to permit reconciliation of the fair value amount to the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1,917</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2,233</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2,233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2,970</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w:t>
            </w:r>
          </w:p>
        </w:tc>
      </w:tr>
      <w:tr>
        <w:trPr>
          <w:trHeight w:val="459"/>
        </w:trPr>
        <w:tc>
          <w:tcPr>
            <w:tcW w:w="4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1,011</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826</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2,846</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55"/>
              <w:spacing w:after="0"/>
              <w:rPr>
                <w:sz w:val="20"/>
                <w:szCs w:val="20"/>
                <w:color w:val="auto"/>
              </w:rPr>
            </w:pPr>
            <w:r>
              <w:rPr>
                <w:rFonts w:ascii="Arial" w:cs="Arial" w:eastAsia="Arial" w:hAnsi="Arial"/>
                <w:sz w:val="18"/>
                <w:szCs w:val="18"/>
                <w:color w:val="auto"/>
                <w:w w:val="90"/>
              </w:rPr>
              <w:t>Fair Value</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108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86"/>
              </w:rPr>
              <w:t>June 30,</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left="355"/>
              <w:spacing w:after="0" w:line="195" w:lineRule="exact"/>
              <w:rPr>
                <w:sz w:val="20"/>
                <w:szCs w:val="20"/>
                <w:color w:val="auto"/>
              </w:rPr>
            </w:pPr>
            <w:r>
              <w:rPr>
                <w:rFonts w:ascii="Arial" w:cs="Arial" w:eastAsia="Arial" w:hAnsi="Arial"/>
                <w:sz w:val="18"/>
                <w:szCs w:val="18"/>
                <w:color w:val="auto"/>
                <w:w w:val="86"/>
              </w:rPr>
              <w:t>June 30,</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78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(Dollars in thousands)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1,917</w:t>
            </w:r>
          </w:p>
        </w:tc>
        <w:tc>
          <w:tcPr>
            <w:tcW w:w="1040" w:type="dxa"/>
            <w:vAlign w:val="bottom"/>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1,011</w:t>
            </w:r>
          </w:p>
        </w:tc>
        <w:tc>
          <w:tcPr>
            <w:tcW w:w="342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90"/>
              </w:rPr>
              <w:t>Appraisal of collateral</w:t>
            </w:r>
            <w:r>
              <w:rPr>
                <w:rFonts w:ascii="Arial" w:cs="Arial" w:eastAsia="Arial" w:hAnsi="Arial"/>
                <w:sz w:val="29"/>
                <w:szCs w:val="29"/>
                <w:color w:val="auto"/>
                <w:w w:val="90"/>
                <w:vertAlign w:val="superscript"/>
              </w:rPr>
              <w:t>(1)</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08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2,233</w:t>
            </w:r>
          </w:p>
        </w:tc>
        <w:tc>
          <w:tcPr>
            <w:tcW w:w="10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826</w:t>
            </w:r>
          </w:p>
        </w:tc>
        <w:tc>
          <w:tcPr>
            <w:tcW w:w="342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90"/>
              </w:rPr>
              <w:t>Appraisal of collateral</w:t>
            </w:r>
            <w:r>
              <w:rPr>
                <w:rFonts w:ascii="Arial" w:cs="Arial" w:eastAsia="Arial" w:hAnsi="Arial"/>
                <w:sz w:val="29"/>
                <w:szCs w:val="29"/>
                <w:color w:val="auto"/>
                <w:w w:val="90"/>
                <w:vertAlign w:val="superscript"/>
              </w:rPr>
              <w:t>(1)</w:t>
            </w:r>
          </w:p>
        </w:tc>
      </w:tr>
      <w:tr>
        <w:trPr>
          <w:trHeight w:val="25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0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2,970</w:t>
            </w:r>
          </w:p>
        </w:tc>
        <w:tc>
          <w:tcPr>
            <w:tcW w:w="10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2,846</w:t>
            </w:r>
          </w:p>
        </w:tc>
        <w:tc>
          <w:tcPr>
            <w:tcW w:w="342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8"/>
              </w:rPr>
              <w:t>Discounted cash flow</w:t>
            </w:r>
            <w:r>
              <w:rPr>
                <w:rFonts w:ascii="Arial" w:cs="Arial" w:eastAsia="Arial" w:hAnsi="Arial"/>
                <w:sz w:val="29"/>
                <w:szCs w:val="29"/>
                <w:color w:val="auto"/>
                <w:w w:val="88"/>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20% to 100%.</w:t>
      </w:r>
    </w:p>
    <w:p>
      <w:pPr>
        <w:ind w:right="300" w:firstLine="8"/>
        <w:spacing w:after="0" w:line="261"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7.9% to 14.5%. For discount rates, the range was 7.3% to 16.0%.</w:t>
      </w:r>
    </w:p>
    <w:p>
      <w:pPr>
        <w:sectPr>
          <w:pgSz w:w="11900" w:h="16838" w:orient="portrait"/>
          <w:cols w:equalWidth="0" w:num="1">
            <w:col w:w="11420"/>
          </w:cols>
          <w:pgMar w:left="240" w:top="118" w:right="239" w:bottom="1068"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68" w:gutter="0" w:footer="0" w:header="0"/>
          <w:type w:val="continuous"/>
        </w:sectPr>
      </w:pPr>
    </w:p>
    <w:bookmarkStart w:id="93" w:name="page94"/>
    <w:bookmarkEnd w:id="9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total gains (losses) on assets measured at fair value on a non-recurring basis for the years ended June 30, 2018 and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3"/>
              </w:rPr>
              <w:t>Years Ended June 30,</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w w:val="86"/>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r>
      <w:tr>
        <w:trPr>
          <w:trHeight w:val="20"/>
        </w:trPr>
        <w:tc>
          <w:tcPr>
            <w:tcW w:w="45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r>
      <w:tr>
        <w:trPr>
          <w:trHeight w:val="20"/>
        </w:trPr>
        <w:tc>
          <w:tcPr>
            <w:tcW w:w="4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8"/>
                <w:szCs w:val="18"/>
                <w:color w:val="auto"/>
              </w:rPr>
              <w:t>Fair Value Measurements at June 30, 2018</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157,402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157,402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157,402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81,068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6"/>
              </w:rPr>
              <w:t>Other investments measured at net asset value</w:t>
            </w:r>
            <w:r>
              <w:rPr>
                <w:rFonts w:ascii="Arial" w:cs="Arial" w:eastAsia="Arial" w:hAnsi="Arial"/>
                <w:sz w:val="29"/>
                <w:szCs w:val="29"/>
                <w:color w:val="auto"/>
                <w:w w:val="96"/>
                <w:vertAlign w:val="superscript"/>
              </w:rPr>
              <w:t>(1)</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6,619</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7,155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953,216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23,958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8"/>
                <w:szCs w:val="18"/>
                <w:color w:val="auto"/>
              </w:rPr>
              <w:t>Fair Value Measurements at June 30, 2017</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163,283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163,283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163,283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90,071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6"/>
              </w:rPr>
              <w:t>Other investments measured at net asset value</w:t>
            </w:r>
            <w:r>
              <w:rPr>
                <w:rFonts w:ascii="Arial" w:cs="Arial" w:eastAsia="Arial" w:hAnsi="Arial"/>
                <w:sz w:val="29"/>
                <w:szCs w:val="29"/>
                <w:color w:val="auto"/>
                <w:w w:val="96"/>
                <w:vertAlign w:val="superscript"/>
              </w:rPr>
              <w:t>(1)</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4,699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2,111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889,850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889,877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889,877</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20,057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23,620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50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is intended to permit reconciliation of the fair value amount to the consolidated financial statements.</w:t>
      </w:r>
    </w:p>
    <w:p>
      <w:pPr>
        <w:sectPr>
          <w:pgSz w:w="11900" w:h="16838" w:orient="portrait"/>
          <w:cols w:equalWidth="0" w:num="1">
            <w:col w:w="11320"/>
          </w:cols>
          <w:pgMar w:left="240" w:top="118" w:right="339" w:bottom="1440" w:gutter="0" w:footer="0" w:header="0"/>
        </w:sectPr>
      </w:pP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type w:val="continuous"/>
        </w:sectPr>
      </w:pPr>
    </w:p>
    <w:bookmarkStart w:id="94" w:name="page95"/>
    <w:bookmarkEnd w:id="9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6"/>
          </w:tcPr>
          <w:p>
            <w:pPr>
              <w:spacing w:after="0"/>
              <w:rPr>
                <w:sz w:val="20"/>
                <w:szCs w:val="20"/>
                <w:color w:val="auto"/>
              </w:rPr>
            </w:pPr>
            <w:r>
              <w:rPr>
                <w:rFonts w:ascii="Arial" w:cs="Arial" w:eastAsia="Arial" w:hAnsi="Arial"/>
                <w:sz w:val="18"/>
                <w:szCs w:val="18"/>
                <w:b w:val="1"/>
                <w:bCs w:val="1"/>
                <w:color w:val="auto"/>
              </w:rPr>
              <w:t>19. Condensed Parent Information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80" w:type="dxa"/>
            <w:vAlign w:val="bottom"/>
            <w:gridSpan w:val="6"/>
          </w:tcPr>
          <w:p>
            <w:pPr>
              <w:spacing w:after="0"/>
              <w:rPr>
                <w:sz w:val="20"/>
                <w:szCs w:val="20"/>
                <w:color w:val="auto"/>
              </w:rPr>
            </w:pPr>
            <w:r>
              <w:rPr>
                <w:rFonts w:ascii="Arial" w:cs="Arial" w:eastAsia="Arial" w:hAnsi="Arial"/>
                <w:sz w:val="18"/>
                <w:szCs w:val="18"/>
                <w:color w:val="auto"/>
              </w:rPr>
              <w:t>Condensed financial information for Northeast Bancorp follows: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2"/>
              </w:rPr>
              <w:t>June 30, 2018</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June 30, 2017</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8"/>
          </w:tcPr>
          <w:p>
            <w:pPr>
              <w:jc w:val="right"/>
              <w:ind w:right="48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Balance Sheets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448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8,165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Investment in subsidiary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156,764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5"/>
          </w:tcPr>
          <w:p>
            <w:pPr>
              <w:jc w:val="right"/>
              <w:ind w:right="80"/>
              <w:spacing w:after="0"/>
              <w:rPr>
                <w:sz w:val="20"/>
                <w:szCs w:val="20"/>
                <w:color w:val="auto"/>
              </w:rPr>
            </w:pPr>
            <w:r>
              <w:rPr>
                <w:rFonts w:ascii="Arial" w:cs="Arial" w:eastAsia="Arial" w:hAnsi="Arial"/>
                <w:sz w:val="18"/>
                <w:szCs w:val="18"/>
                <w:color w:val="auto"/>
              </w:rPr>
              <w:t>138,920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Investment in common securities of affiliated trusts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496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193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164,536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147,774</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Subordinated debt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23,958</w:t>
            </w:r>
          </w:p>
        </w:tc>
        <w:tc>
          <w:tcPr>
            <w:tcW w:w="1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5"/>
          </w:tcPr>
          <w:p>
            <w:pPr>
              <w:jc w:val="right"/>
              <w:ind w:right="80"/>
              <w:spacing w:after="0"/>
              <w:rPr>
                <w:sz w:val="20"/>
                <w:szCs w:val="20"/>
                <w:color w:val="auto"/>
              </w:rPr>
            </w:pPr>
            <w:r>
              <w:rPr>
                <w:rFonts w:ascii="Arial" w:cs="Arial" w:eastAsia="Arial" w:hAnsi="Arial"/>
                <w:sz w:val="18"/>
                <w:szCs w:val="18"/>
                <w:color w:val="auto"/>
              </w:rPr>
              <w:t>23,620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5"/>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26,106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5"/>
          </w:tcPr>
          <w:p>
            <w:pPr>
              <w:jc w:val="right"/>
              <w:ind w:right="80"/>
              <w:spacing w:after="0"/>
              <w:rPr>
                <w:sz w:val="20"/>
                <w:szCs w:val="20"/>
                <w:color w:val="auto"/>
              </w:rPr>
            </w:pPr>
            <w:r>
              <w:rPr>
                <w:rFonts w:ascii="Arial" w:cs="Arial" w:eastAsia="Arial" w:hAnsi="Arial"/>
                <w:sz w:val="18"/>
                <w:szCs w:val="18"/>
                <w:color w:val="auto"/>
              </w:rPr>
              <w:t>24,977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138,430</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122,797</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5"/>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164,536</w:t>
            </w:r>
          </w:p>
        </w:tc>
        <w:tc>
          <w:tcPr>
            <w:tcW w:w="1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5"/>
          </w:tcPr>
          <w:p>
            <w:pPr>
              <w:jc w:val="right"/>
              <w:ind w:right="80"/>
              <w:spacing w:after="0"/>
              <w:rPr>
                <w:sz w:val="20"/>
                <w:szCs w:val="20"/>
                <w:color w:val="auto"/>
              </w:rPr>
            </w:pPr>
            <w:r>
              <w:rPr>
                <w:rFonts w:ascii="Arial" w:cs="Arial" w:eastAsia="Arial" w:hAnsi="Arial"/>
                <w:sz w:val="18"/>
                <w:szCs w:val="18"/>
                <w:color w:val="auto"/>
              </w:rPr>
              <w:t>147,774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8"/>
          </w:tcPr>
          <w:p>
            <w:pPr>
              <w:jc w:val="right"/>
              <w:ind w:right="120"/>
              <w:spacing w:after="0"/>
              <w:rPr>
                <w:sz w:val="20"/>
                <w:szCs w:val="20"/>
                <w:color w:val="auto"/>
              </w:rPr>
            </w:pPr>
            <w:r>
              <w:rPr>
                <w:rFonts w:ascii="Arial" w:cs="Arial" w:eastAsia="Arial" w:hAnsi="Arial"/>
                <w:sz w:val="18"/>
                <w:szCs w:val="18"/>
                <w:color w:val="auto"/>
              </w:rPr>
              <w:t>Years Ended 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w w:val="86"/>
              </w:rPr>
              <w:t>(Dollars 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Statements of Income</w:t>
            </w:r>
          </w:p>
        </w:tc>
        <w:tc>
          <w:tcPr>
            <w:tcW w:w="400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tcPr>
          <w:p>
            <w:pPr>
              <w:ind w:left="16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260" w:type="dxa"/>
            <w:vAlign w:val="bottom"/>
            <w:tcBorders>
              <w:top w:val="single" w:sz="8" w:color="CCEEFF"/>
            </w:tcBorders>
            <w:gridSpan w:val="4"/>
          </w:tcPr>
          <w:p>
            <w:pPr>
              <w:ind w:left="180"/>
              <w:spacing w:after="0" w:line="195" w:lineRule="exact"/>
              <w:rPr>
                <w:sz w:val="20"/>
                <w:szCs w:val="20"/>
                <w:color w:val="auto"/>
              </w:rPr>
            </w:pPr>
            <w:r>
              <w:rPr>
                <w:rFonts w:ascii="Arial" w:cs="Arial" w:eastAsia="Arial" w:hAnsi="Arial"/>
                <w:sz w:val="18"/>
                <w:szCs w:val="18"/>
                <w:color w:val="auto"/>
                <w:w w:val="91"/>
              </w:rPr>
              <w:t>Loss before income tax benefit and equity in undistributed net income</w:t>
            </w: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gridSpan w:val="4"/>
          </w:tcPr>
          <w:p>
            <w:pPr>
              <w:ind w:left="340"/>
              <w:spacing w:after="0"/>
              <w:rPr>
                <w:sz w:val="20"/>
                <w:szCs w:val="20"/>
                <w:color w:val="auto"/>
              </w:rPr>
            </w:pPr>
            <w:r>
              <w:rPr>
                <w:rFonts w:ascii="Arial" w:cs="Arial" w:eastAsia="Arial" w:hAnsi="Arial"/>
                <w:sz w:val="18"/>
                <w:szCs w:val="18"/>
                <w:color w:val="auto"/>
              </w:rPr>
              <w:t>of subsidiary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(1,543)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gridSpan w:val="4"/>
          </w:tcPr>
          <w:p>
            <w:pPr>
              <w:ind w:left="180"/>
              <w:spacing w:after="0"/>
              <w:rPr>
                <w:sz w:val="20"/>
                <w:szCs w:val="20"/>
                <w:color w:val="auto"/>
              </w:rPr>
            </w:pPr>
            <w:r>
              <w:rPr>
                <w:rFonts w:ascii="Arial" w:cs="Arial" w:eastAsia="Arial" w:hAnsi="Arial"/>
                <w:sz w:val="18"/>
                <w:szCs w:val="18"/>
                <w:color w:val="auto"/>
              </w:rPr>
              <w:t>Loss before equity in undistributed net income of subsidiary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Equity in undistributed net income of subsidiary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17,635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gridSpan w:val="4"/>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16,166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12,339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2"/>
              </w:rPr>
              <w:t>Years Ended June 30,</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85"/>
              </w:rPr>
              <w:t>(Dollars 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Statements of Cash Flows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activities:</w:t>
            </w:r>
          </w:p>
        </w:tc>
        <w:tc>
          <w:tcPr>
            <w:tcW w:w="39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Adjustments to reconcile net income to net cash (used in) provided by</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fair value adjustment for borrowings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Undistributed earnings of subsidiary</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(17,635)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(Decrease) increase in other assets and liabilities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Increase in investment of bank subsidiary</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Capital contribution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Issuance of subordinated debt, net of debt issuance costs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Repurchases for tax withholdings on restricted common stock</w:t>
            </w:r>
          </w:p>
        </w:tc>
        <w:tc>
          <w:tcPr>
            <w:tcW w:w="9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 exercised, net</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(6,943)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9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(15,352)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Net (decrease) increase in cash</w:t>
            </w:r>
          </w:p>
        </w:tc>
        <w:tc>
          <w:tcPr>
            <w:tcW w:w="9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(16,363)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9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3"/>
          </w:tcPr>
          <w:p>
            <w:pPr>
              <w:spacing w:after="0"/>
              <w:rPr>
                <w:sz w:val="20"/>
                <w:szCs w:val="20"/>
                <w:color w:val="auto"/>
              </w:rPr>
            </w:pPr>
            <w:r>
              <w:rPr>
                <w:rFonts w:ascii="Arial" w:cs="Arial" w:eastAsia="Arial" w:hAnsi="Arial"/>
                <w:sz w:val="18"/>
                <w:szCs w:val="18"/>
                <w:color w:val="auto"/>
              </w:rPr>
              <w:t>Cash, end of year</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8,165</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Results of Operations (Unaudited)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 except share data)</w:t>
            </w: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its disclosure controls and procedures, as defined in Exchange Act Rules 13a-15(e) and 15d-15(e). Based upon the evaluation, the Company’s Chief Executive Officer and Chief Financial Officer concluded that as of June 30, 2018, the Company’s disclosure controls and procedures are effective. Disclosure controls and procedures are controls and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In addition, no change in our internal control over financial reporting (as defined in Rule 13a-15(f) under the Securities Exchange Act of 1934) occurred during the fourth quarter of our fiscal year ended June 30, 2018 that has materially affected, or is reasonably likely to materially affect, our internal control over financial reporting.</w:t>
      </w:r>
    </w:p>
    <w:p>
      <w:pPr>
        <w:spacing w:after="0" w:line="16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its Chief Executive Officer and Chief Financial Officer, of the effectiveness of the design and operation of our internal controls and procedures over financial reporting (as defined in Rule 13a-15(e) of the Exchange Act) as of the end of the period covered by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Report on Internal Control over Financial Reporting</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controls over financial reporting. The standard measures adopted by management in making its evaluation are the measures in </w:t>
      </w:r>
      <w:r>
        <w:rPr>
          <w:rFonts w:ascii="Arial" w:cs="Arial" w:eastAsia="Arial" w:hAnsi="Arial"/>
          <w:sz w:val="16"/>
          <w:szCs w:val="16"/>
          <w:i w:val="1"/>
          <w:iCs w:val="1"/>
          <w:color w:val="auto"/>
        </w:rPr>
        <w:t>Interest Control—Integrated Framework (2013)</w:t>
      </w:r>
      <w:r>
        <w:rPr>
          <w:rFonts w:ascii="Arial" w:cs="Arial" w:eastAsia="Arial" w:hAnsi="Arial"/>
          <w:sz w:val="16"/>
          <w:szCs w:val="16"/>
          <w:color w:val="auto"/>
        </w:rPr>
        <w:t xml:space="preserve"> published by the Committee of Sponsoring Organizations of the Treadway Commission. We do not expect that our disclosure controls and procedures will prevent all error and all fraud. A control system, no matter how well designed and operated, can provide only reasonable, not absolute, assurance that the control system’s objective will be</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errors, and instances of fraud, if any, within the Company have been or will be detected. The inherent limitations include, among other things, the realities that judgments in decision-making can be faulty, and that breakdowns can occur because of simple error or mistake. Controls and procedures also can be circumvented by the individual acts of some persons, by collusion of two or more people, or by management or employee override of the controls and procedures. The design of any system of controls and procedures is based in part upon certain assumptions about the likelihood of future events, and there can be no assurance that any design will succeed in achieving its stated goals under all potential future conditions. Over time, controls and procedures may become inadequate because of changes in conditions or deterioration in the degree of compliance with its policies or procedures. Because of the inherent limitation in a cost-effective control system, misstatements due to error or fraud may occur and not be detected.</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their evaluation of disclosure controls and procedures, our Chief Executive Officer and Chief Financial Officer concluded, subject to the limitations described above, that our internal controls and procedures over financial reporting as of the end of the period covered by this report were effective and that there were no material weaknesses.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Northeast Bancorp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We have audited Northeast Bancorp and subsidiary’s (the “Company”) internal control over financial reporting as of June 30,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 In our opinion, the Company maintained, in all material respects, effective internal control over financial reporting as of June 30,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as of June 30, 2018 and 2017, and the related consolidated statements of income, comprehensive income, changes in shareholders’ equity, and cash flows for each of the three years in the period ended June 30, 2018, and the related notes to the consolidated financial statements of the Company and our report dated September 13, 2018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in our internal controls, or in other factors that could significantly affect our internal controls, subsequent to the date the Chief Executive Officer and Chief Financial Officer completed their evaluation, including any corrective actions with regard to significant deficiencies or material weaknesses.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10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11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12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13 shall be included in the Proxy Statement and is incorporated herein by reference.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14 shall be included in the Proxy Statement and is incorporated herein by reference.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340" w:right="6720" w:hanging="332"/>
        <w:spacing w:after="0" w:line="601" w:lineRule="auto"/>
        <w:tabs>
          <w:tab w:leader="none" w:pos="3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Financial Statements and Financial Statement Schedules Consolidated Balance Sheets as of June 30, 2018 and 2017</w:t>
      </w:r>
    </w:p>
    <w:p>
      <w:pPr>
        <w:ind w:left="340"/>
        <w:spacing w:after="0"/>
        <w:rPr>
          <w:rFonts w:ascii="Arial" w:cs="Arial" w:eastAsia="Arial" w:hAnsi="Arial"/>
          <w:sz w:val="15"/>
          <w:szCs w:val="15"/>
          <w:color w:val="auto"/>
        </w:rPr>
      </w:pPr>
      <w:r>
        <w:rPr>
          <w:rFonts w:ascii="Arial" w:cs="Arial" w:eastAsia="Arial" w:hAnsi="Arial"/>
          <w:sz w:val="18"/>
          <w:szCs w:val="18"/>
          <w:color w:val="auto"/>
        </w:rPr>
        <w:t>Consolidated Statements of Income for the years ended June 30, 2018, 2017, and 2016</w:t>
      </w:r>
    </w:p>
    <w:p>
      <w:pPr>
        <w:spacing w:after="0" w:line="225" w:lineRule="exact"/>
        <w:rPr>
          <w:rFonts w:ascii="Arial" w:cs="Arial" w:eastAsia="Arial" w:hAnsi="Arial"/>
          <w:sz w:val="15"/>
          <w:szCs w:val="15"/>
          <w:color w:val="auto"/>
        </w:rPr>
      </w:pPr>
    </w:p>
    <w:p>
      <w:pPr>
        <w:ind w:left="340" w:right="2900"/>
        <w:spacing w:after="0" w:line="530" w:lineRule="auto"/>
        <w:rPr>
          <w:rFonts w:ascii="Arial" w:cs="Arial" w:eastAsia="Arial" w:hAnsi="Arial"/>
          <w:sz w:val="15"/>
          <w:szCs w:val="15"/>
          <w:color w:val="auto"/>
        </w:rPr>
      </w:pPr>
      <w:r>
        <w:rPr>
          <w:rFonts w:ascii="Arial" w:cs="Arial" w:eastAsia="Arial" w:hAnsi="Arial"/>
          <w:sz w:val="17"/>
          <w:szCs w:val="17"/>
          <w:color w:val="auto"/>
        </w:rPr>
        <w:t>Consolidated Statements of Comprehensive Income for the years ended June 30, 2018, 2017, and 2016 Consolidated Statements of Changes in Shareholders’ Equity for the years ended June 30, 2018, 2017, and 2016 Consolidated Statements of Cash Flows for the years ended June 30, 2018, 2017, and 2016</w:t>
      </w:r>
    </w:p>
    <w:p>
      <w:pPr>
        <w:spacing w:after="0" w:line="1"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8"/>
          <w:szCs w:val="18"/>
          <w:color w:val="auto"/>
        </w:rPr>
        <w:t>Notes to Consolidated Financial Statements</w:t>
      </w:r>
    </w:p>
    <w:p>
      <w:pPr>
        <w:spacing w:after="0" w:line="225" w:lineRule="exact"/>
        <w:rPr>
          <w:rFonts w:ascii="Arial" w:cs="Arial" w:eastAsia="Arial" w:hAnsi="Arial"/>
          <w:sz w:val="15"/>
          <w:szCs w:val="15"/>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020" w:right="480" w:hanging="346"/>
        <w:spacing w:after="0" w:line="25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3.1 </w:t>
      </w:r>
      <w:hyperlink r:id="rId114">
        <w:r>
          <w:rPr>
            <w:rFonts w:ascii="Arial" w:cs="Arial" w:eastAsia="Arial" w:hAnsi="Arial"/>
            <w:sz w:val="18"/>
            <w:szCs w:val="18"/>
            <w:u w:val="single" w:color="auto"/>
            <w:color w:val="0000EE"/>
          </w:rPr>
          <w:t>Amended and Restated Articles of Incorporation of Northeast Bancorp (incorporated by reference to Exhibit 3.1 of Northeast Bancorp’s</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EE"/>
          </w:rPr>
          <w:t>Current Report on Form 8-K filed on January 5, 2011).</w:t>
        </w:r>
      </w:hyperlink>
    </w:p>
    <w:p>
      <w:pPr>
        <w:spacing w:after="0" w:line="1" w:lineRule="exact"/>
        <w:rPr>
          <w:sz w:val="20"/>
          <w:szCs w:val="20"/>
          <w:color w:val="auto"/>
        </w:rPr>
      </w:pPr>
    </w:p>
    <w:p>
      <w:pPr>
        <w:ind w:left="1020" w:hanging="346"/>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 </w:t>
      </w:r>
      <w:hyperlink r:id="rId115">
        <w:r>
          <w:rPr>
            <w:rFonts w:ascii="Arial" w:cs="Arial" w:eastAsia="Arial" w:hAnsi="Arial"/>
            <w:sz w:val="18"/>
            <w:szCs w:val="18"/>
            <w:u w:val="single" w:color="auto"/>
            <w:color w:val="0000EE"/>
          </w:rPr>
          <w:t>Articles of Amendment to the Amended and Restated Articles of Incorporation of Northeast Bancorp (incorporated by reference to Exhibit 3.1</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EE"/>
          </w:rPr>
          <w:t>of Northeast Bancorp’s Current Report on Form 8-K filed on March 22, 2011).</w:t>
        </w:r>
      </w:hyperlink>
    </w:p>
    <w:p>
      <w:pPr>
        <w:spacing w:after="0" w:line="1" w:lineRule="exact"/>
        <w:rPr>
          <w:sz w:val="20"/>
          <w:szCs w:val="20"/>
          <w:color w:val="auto"/>
        </w:rPr>
      </w:pPr>
    </w:p>
    <w:p>
      <w:pPr>
        <w:ind w:left="1020" w:hanging="346"/>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3.3 </w:t>
      </w:r>
      <w:hyperlink r:id="rId116">
        <w:r>
          <w:rPr>
            <w:rFonts w:ascii="Arial" w:cs="Arial" w:eastAsia="Arial" w:hAnsi="Arial"/>
            <w:sz w:val="18"/>
            <w:szCs w:val="18"/>
            <w:u w:val="single" w:color="auto"/>
            <w:color w:val="0000EE"/>
          </w:rPr>
          <w:t>Articles of Amendment to the Amended and Restated Articles of Incorporation of Northeast Bancorp (incorporated by reference to Exhibit 3.1</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EE"/>
          </w:rPr>
          <w:t>of Northeast Bancorp’s Current Report on Form 8-K filed on November 29, 2012).</w:t>
        </w:r>
      </w:hyperlink>
    </w:p>
    <w:p>
      <w:pPr>
        <w:spacing w:after="0" w:line="1" w:lineRule="exact"/>
        <w:rPr>
          <w:sz w:val="20"/>
          <w:szCs w:val="20"/>
          <w:color w:val="auto"/>
        </w:rPr>
      </w:pPr>
    </w:p>
    <w:p>
      <w:pPr>
        <w:ind w:left="1020" w:right="380" w:hanging="346"/>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3.4 </w:t>
      </w:r>
      <w:hyperlink r:id="rId117">
        <w:r>
          <w:rPr>
            <w:rFonts w:ascii="Arial" w:cs="Arial" w:eastAsia="Arial" w:hAnsi="Arial"/>
            <w:sz w:val="18"/>
            <w:szCs w:val="18"/>
            <w:u w:val="single" w:color="auto"/>
            <w:color w:val="0000EE"/>
          </w:rPr>
          <w:t>Amended and Restated Bylaws of Northeast Bancorp (incorporated by reference to Exhibit 3.2 of Northeast Bancorp’s Current Report on</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EE"/>
          </w:rPr>
          <w:t>Form 8-K filed on January 5, 2011).</w:t>
        </w:r>
      </w:hyperlink>
    </w:p>
    <w:p>
      <w:pPr>
        <w:spacing w:after="0" w:line="1" w:lineRule="exact"/>
        <w:rPr>
          <w:sz w:val="20"/>
          <w:szCs w:val="20"/>
          <w:color w:val="auto"/>
        </w:rPr>
      </w:pPr>
    </w:p>
    <w:p>
      <w:pPr>
        <w:ind w:left="1020" w:right="80" w:hanging="346"/>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4.1 </w:t>
      </w:r>
      <w:hyperlink r:id="rId118">
        <w:r>
          <w:rPr>
            <w:rFonts w:ascii="Arial" w:cs="Arial" w:eastAsia="Arial" w:hAnsi="Arial"/>
            <w:sz w:val="16"/>
            <w:szCs w:val="16"/>
            <w:u w:val="single" w:color="auto"/>
            <w:color w:val="0000EE"/>
          </w:rPr>
          <w:t>Registration Rights Schedule to the Agreement and Plan of Merger, dated as of March 30, 2010, by and between Northeast Bancorp and FHB</w:t>
        </w:r>
      </w:hyperlink>
      <w:r>
        <w:rPr>
          <w:rFonts w:ascii="Arial" w:cs="Arial" w:eastAsia="Arial" w:hAnsi="Arial"/>
          <w:sz w:val="16"/>
          <w:szCs w:val="16"/>
          <w:color w:val="auto"/>
        </w:rPr>
        <w:t xml:space="preserve"> </w:t>
      </w:r>
      <w:hyperlink r:id="rId118">
        <w:r>
          <w:rPr>
            <w:rFonts w:ascii="Arial" w:cs="Arial" w:eastAsia="Arial" w:hAnsi="Arial"/>
            <w:sz w:val="16"/>
            <w:szCs w:val="16"/>
            <w:u w:val="single" w:color="auto"/>
            <w:color w:val="0000EE"/>
          </w:rPr>
          <w:t>Formation LLC (incorporated by reference to Amendment No. 1 on Form 10-K/A of Northeast Bancorp filed on March 19, 2012).</w:t>
        </w:r>
      </w:hyperlink>
    </w:p>
    <w:p>
      <w:pPr>
        <w:spacing w:after="0" w:line="1" w:lineRule="exact"/>
        <w:rPr>
          <w:sz w:val="20"/>
          <w:szCs w:val="20"/>
          <w:color w:val="auto"/>
        </w:rPr>
      </w:pPr>
    </w:p>
    <w:p>
      <w:pPr>
        <w:ind w:left="1020" w:right="480" w:hanging="346"/>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4.2 </w:t>
      </w:r>
      <w:hyperlink r:id="rId119">
        <w:r>
          <w:rPr>
            <w:rFonts w:ascii="Arial" w:cs="Arial" w:eastAsia="Arial" w:hAnsi="Arial"/>
            <w:sz w:val="18"/>
            <w:szCs w:val="18"/>
            <w:u w:val="single" w:color="auto"/>
            <w:color w:val="0000EE"/>
          </w:rPr>
          <w:t>Form of 6.75% Fixed-to-Floating Subordinated Note due 2026 (incorporated by reference to Exhibit 4.1 of Northeast Bancorp’s Current</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EE"/>
          </w:rPr>
          <w:t>Report on Form 8-K filed on June 29, 2016).</w:t>
        </w:r>
      </w:hyperlink>
    </w:p>
    <w:p>
      <w:pPr>
        <w:spacing w:after="0" w:line="1" w:lineRule="exact"/>
        <w:rPr>
          <w:sz w:val="20"/>
          <w:szCs w:val="20"/>
          <w:color w:val="auto"/>
        </w:rPr>
      </w:pPr>
    </w:p>
    <w:p>
      <w:pPr>
        <w:ind w:left="1020" w:right="420" w:hanging="537"/>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120">
        <w:r>
          <w:rPr>
            <w:rFonts w:ascii="Arial" w:cs="Arial" w:eastAsia="Arial" w:hAnsi="Arial"/>
            <w:sz w:val="18"/>
            <w:szCs w:val="18"/>
            <w:u w:val="single" w:color="auto"/>
            <w:color w:val="0000EE"/>
          </w:rPr>
          <w:t>Northeast Bancorp Amended and Restated 2010 Stock Option and Incentive Plan (incorporated by reference to Exhibit 10.1 of Northeast</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EE"/>
          </w:rPr>
          <w:t>Bancorp’s Form 10-K filed on September 13, 2017).</w:t>
        </w:r>
      </w:hyperlink>
    </w:p>
    <w:p>
      <w:pPr>
        <w:spacing w:after="0" w:line="1" w:lineRule="exact"/>
        <w:rPr>
          <w:sz w:val="20"/>
          <w:szCs w:val="20"/>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 xml:space="preserve">10.2a+  </w:t>
      </w:r>
      <w:hyperlink r:id="rId121">
        <w:r>
          <w:rPr>
            <w:rFonts w:ascii="Arial" w:cs="Arial" w:eastAsia="Arial" w:hAnsi="Arial"/>
            <w:sz w:val="17"/>
            <w:szCs w:val="17"/>
            <w:u w:val="single" w:color="auto"/>
            <w:color w:val="0000EE"/>
          </w:rPr>
          <w:t>Form of Restricted Stock Award Agreement under the Northeast Bancorp Amended and Restated 2010 Stock Option and Incentive</w:t>
        </w:r>
      </w:hyperlink>
    </w:p>
    <w:p>
      <w:pPr>
        <w:spacing w:after="0" w:line="21" w:lineRule="exact"/>
        <w:rPr>
          <w:sz w:val="20"/>
          <w:szCs w:val="20"/>
          <w:color w:val="auto"/>
        </w:rPr>
      </w:pPr>
    </w:p>
    <w:p>
      <w:pPr>
        <w:ind w:left="1020" w:right="100"/>
        <w:spacing w:after="0" w:line="250"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Plan (issued on or after May 25, 2017) (incorporated by reference to Exhibit 10.2a of Northeast Bancorp’s Form 10-K filed on September 13,</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2017).</w:t>
        </w:r>
      </w:hyperlink>
    </w:p>
    <w:p>
      <w:pPr>
        <w:spacing w:after="0" w:line="1" w:lineRule="exact"/>
        <w:rPr>
          <w:sz w:val="20"/>
          <w:szCs w:val="20"/>
          <w:color w:val="auto"/>
        </w:rPr>
      </w:pPr>
    </w:p>
    <w:p>
      <w:pPr>
        <w:ind w:left="1020" w:right="240" w:hanging="627"/>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10.2b+ </w:t>
      </w:r>
      <w:hyperlink r:id="rId122">
        <w:r>
          <w:rPr>
            <w:rFonts w:ascii="Arial" w:cs="Arial" w:eastAsia="Arial" w:hAnsi="Arial"/>
            <w:sz w:val="16"/>
            <w:szCs w:val="16"/>
            <w:u w:val="single" w:color="auto"/>
            <w:color w:val="0000EE"/>
          </w:rPr>
          <w:t>Form of Restricted Stock Award Agreement under the Northeast Bancorp Amended and Restated 2010 Stock Option and Incentive Plan</w:t>
        </w:r>
      </w:hyperlink>
      <w:r>
        <w:rPr>
          <w:rFonts w:ascii="Arial" w:cs="Arial" w:eastAsia="Arial" w:hAnsi="Arial"/>
          <w:sz w:val="16"/>
          <w:szCs w:val="16"/>
          <w:color w:val="auto"/>
        </w:rPr>
        <w:t xml:space="preserve"> </w:t>
      </w:r>
      <w:hyperlink r:id="rId122">
        <w:r>
          <w:rPr>
            <w:rFonts w:ascii="Arial" w:cs="Arial" w:eastAsia="Arial" w:hAnsi="Arial"/>
            <w:sz w:val="16"/>
            <w:szCs w:val="16"/>
            <w:u w:val="single" w:color="auto"/>
            <w:color w:val="0000EE"/>
          </w:rPr>
          <w:t>(issued before May 25, 2017) (incorporated by reference to Exhibit 10.2b of Northeast Bancorp’s Form 10-K filed on September 13, 2017).</w:t>
        </w:r>
      </w:hyperlink>
    </w:p>
    <w:p>
      <w:pPr>
        <w:spacing w:after="0" w:line="1" w:lineRule="exact"/>
        <w:rPr>
          <w:sz w:val="20"/>
          <w:szCs w:val="20"/>
          <w:color w:val="auto"/>
        </w:rPr>
      </w:pPr>
    </w:p>
    <w:p>
      <w:pPr>
        <w:ind w:left="1020" w:right="220" w:hanging="537"/>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 </w:t>
      </w:r>
      <w:hyperlink r:id="rId123">
        <w:r>
          <w:rPr>
            <w:rFonts w:ascii="Arial" w:cs="Arial" w:eastAsia="Arial" w:hAnsi="Arial"/>
            <w:sz w:val="16"/>
            <w:szCs w:val="16"/>
            <w:u w:val="single" w:color="auto"/>
            <w:color w:val="0000EE"/>
          </w:rPr>
          <w:t>Form of Non-Qualified Stock Option Agreement for Company Employees under the Northeast Bancorp Amended and Restated 2010 Stock</w:t>
        </w:r>
      </w:hyperlink>
      <w:r>
        <w:rPr>
          <w:rFonts w:ascii="Arial" w:cs="Arial" w:eastAsia="Arial" w:hAnsi="Arial"/>
          <w:sz w:val="16"/>
          <w:szCs w:val="16"/>
          <w:color w:val="auto"/>
        </w:rPr>
        <w:t xml:space="preserve"> </w:t>
      </w:r>
      <w:hyperlink r:id="rId123">
        <w:r>
          <w:rPr>
            <w:rFonts w:ascii="Arial" w:cs="Arial" w:eastAsia="Arial" w:hAnsi="Arial"/>
            <w:sz w:val="16"/>
            <w:szCs w:val="16"/>
            <w:u w:val="single" w:color="auto"/>
            <w:color w:val="0000EE"/>
          </w:rPr>
          <w:t>Option and Incentive Plan (incorporated by reference to Exhibit 10.3 of Northeast Bancorp’s Form 10-K filed on September 13, 2017).</w:t>
        </w:r>
      </w:hyperlink>
    </w:p>
    <w:p>
      <w:pPr>
        <w:spacing w:after="0" w:line="1" w:lineRule="exact"/>
        <w:rPr>
          <w:sz w:val="20"/>
          <w:szCs w:val="20"/>
          <w:color w:val="auto"/>
        </w:rPr>
      </w:pPr>
    </w:p>
    <w:p>
      <w:pPr>
        <w:ind w:left="1020" w:right="460" w:hanging="537"/>
        <w:spacing w:after="0" w:line="26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10.4+ </w:t>
      </w:r>
      <w:hyperlink r:id="rId124">
        <w:r>
          <w:rPr>
            <w:rFonts w:ascii="Arial" w:cs="Arial" w:eastAsia="Arial" w:hAnsi="Arial"/>
            <w:sz w:val="17"/>
            <w:szCs w:val="17"/>
            <w:u w:val="single" w:color="auto"/>
            <w:color w:val="0000EE"/>
          </w:rPr>
          <w:t>Non-Qualified Time-Based Stock Option Agreement, dated December 29, 2010, by and between Northeast Bancorp and Richard Wayne</w:t>
        </w:r>
      </w:hyperlink>
      <w:r>
        <w:rPr>
          <w:rFonts w:ascii="Arial" w:cs="Arial" w:eastAsia="Arial" w:hAnsi="Arial"/>
          <w:sz w:val="17"/>
          <w:szCs w:val="17"/>
          <w:color w:val="auto"/>
        </w:rPr>
        <w:t xml:space="preserve"> </w:t>
      </w:r>
      <w:hyperlink r:id="rId124">
        <w:r>
          <w:rPr>
            <w:rFonts w:ascii="Arial" w:cs="Arial" w:eastAsia="Arial" w:hAnsi="Arial"/>
            <w:sz w:val="17"/>
            <w:szCs w:val="17"/>
            <w:u w:val="single" w:color="auto"/>
            <w:color w:val="0000EE"/>
          </w:rPr>
          <w:t>(incorporated by reference to Exhibit 10.5 of Northeast Bancorp’s Current Report on Form 8-K filed on January 5, 2011).</w:t>
        </w:r>
      </w:hyperlink>
    </w:p>
    <w:p>
      <w:pPr>
        <w:ind w:left="1020" w:right="180" w:hanging="537"/>
        <w:spacing w:after="0" w:line="26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10.5+ </w:t>
      </w:r>
      <w:hyperlink r:id="rId125">
        <w:r>
          <w:rPr>
            <w:rFonts w:ascii="Arial" w:cs="Arial" w:eastAsia="Arial" w:hAnsi="Arial"/>
            <w:sz w:val="17"/>
            <w:szCs w:val="17"/>
            <w:u w:val="single" w:color="auto"/>
            <w:color w:val="0000EE"/>
          </w:rPr>
          <w:t>Non-Qualified Performance-Based Stock Option Agreement, dated March 22, 2013, by and between Northeast Bancorp and Richard Wayne</w:t>
        </w:r>
      </w:hyperlink>
      <w:r>
        <w:rPr>
          <w:rFonts w:ascii="Arial" w:cs="Arial" w:eastAsia="Arial" w:hAnsi="Arial"/>
          <w:sz w:val="17"/>
          <w:szCs w:val="17"/>
          <w:color w:val="auto"/>
        </w:rPr>
        <w:t xml:space="preserve"> </w:t>
      </w:r>
      <w:hyperlink r:id="rId125">
        <w:r>
          <w:rPr>
            <w:rFonts w:ascii="Arial" w:cs="Arial" w:eastAsia="Arial" w:hAnsi="Arial"/>
            <w:sz w:val="17"/>
            <w:szCs w:val="17"/>
            <w:u w:val="single" w:color="auto"/>
            <w:color w:val="0000EE"/>
          </w:rPr>
          <w:t>(incorporated by reference to Exhibit 10.1 of Northeast Bancorp’s Current Report on Form 8-K filed on March 26, 2013).</w:t>
        </w:r>
      </w:hyperlink>
    </w:p>
    <w:p>
      <w:pPr>
        <w:ind w:left="1020" w:right="120" w:hanging="537"/>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 </w:t>
      </w:r>
      <w:hyperlink r:id="rId126">
        <w:r>
          <w:rPr>
            <w:rFonts w:ascii="Arial" w:cs="Arial" w:eastAsia="Arial" w:hAnsi="Arial"/>
            <w:sz w:val="18"/>
            <w:szCs w:val="18"/>
            <w:u w:val="single" w:color="auto"/>
            <w:color w:val="0000EE"/>
          </w:rPr>
          <w:t>Non-Qualified Stock Option Agreement, dated December 30, 2010, by and between Northeast Bancorp and Robert Glauber (incorporated by</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EE"/>
          </w:rPr>
          <w:t>reference to Exhibit 10.11 of Northeast Bancorp’s Current Report on Form 8-K filed on January 5, 2011).</w:t>
        </w:r>
      </w:hyperlink>
    </w:p>
    <w:p>
      <w:pPr>
        <w:spacing w:after="0" w:line="1" w:lineRule="exact"/>
        <w:rPr>
          <w:sz w:val="20"/>
          <w:szCs w:val="20"/>
          <w:color w:val="auto"/>
        </w:rPr>
      </w:pPr>
    </w:p>
    <w:p>
      <w:pPr>
        <w:jc w:val="right"/>
        <w:ind w:left="480" w:right="20"/>
        <w:spacing w:after="0" w:line="28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10.7+  </w:t>
      </w:r>
      <w:hyperlink r:id="rId127">
        <w:r>
          <w:rPr>
            <w:rFonts w:ascii="Arial" w:cs="Arial" w:eastAsia="Arial" w:hAnsi="Arial"/>
            <w:sz w:val="16"/>
            <w:szCs w:val="16"/>
            <w:u w:val="single" w:color="auto"/>
            <w:color w:val="0000EE"/>
          </w:rPr>
          <w:t>Amended and Restated Performance-Based Stock Appreciation Rights Agreement, dated March 24, 2011, by and between Northeast Bancorp</w:t>
        </w:r>
      </w:hyperlink>
      <w:r>
        <w:rPr>
          <w:rFonts w:ascii="Arial" w:cs="Arial" w:eastAsia="Arial" w:hAnsi="Arial"/>
          <w:sz w:val="16"/>
          <w:szCs w:val="16"/>
          <w:color w:val="auto"/>
        </w:rPr>
        <w:t xml:space="preserve"> </w:t>
      </w:r>
      <w:hyperlink r:id="rId127">
        <w:r>
          <w:rPr>
            <w:rFonts w:ascii="Arial" w:cs="Arial" w:eastAsia="Arial" w:hAnsi="Arial"/>
            <w:sz w:val="16"/>
            <w:szCs w:val="16"/>
            <w:u w:val="single" w:color="auto"/>
            <w:color w:val="0000EE"/>
          </w:rPr>
          <w:t>and Matthew Botein (incorporated by reference to Exhibit 10.1 of Northeast Bancorp’s Current Report on Form 8-K filed on March 30, 2011).</w:t>
        </w:r>
      </w:hyperlink>
    </w:p>
    <w:p>
      <w:pPr>
        <w:spacing w:after="0" w:line="1" w:lineRule="exact"/>
        <w:rPr>
          <w:sz w:val="20"/>
          <w:szCs w:val="20"/>
          <w:color w:val="auto"/>
        </w:rPr>
      </w:pPr>
    </w:p>
    <w:p>
      <w:pPr>
        <w:ind w:left="1020" w:right="680" w:hanging="537"/>
        <w:spacing w:after="0" w:line="290"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10.8+ </w:t>
      </w:r>
      <w:hyperlink r:id="rId128">
        <w:r>
          <w:rPr>
            <w:rFonts w:ascii="Arial" w:cs="Arial" w:eastAsia="Arial" w:hAnsi="Arial"/>
            <w:sz w:val="17"/>
            <w:szCs w:val="17"/>
            <w:u w:val="single" w:color="auto"/>
            <w:color w:val="0000EE"/>
          </w:rPr>
          <w:t>Non-Qualified Time-Based Stock Option Agreement, dated March 24, 2011, by and between Northeast Bancorp and Matthew Botein</w:t>
        </w:r>
      </w:hyperlink>
      <w:r>
        <w:rPr>
          <w:rFonts w:ascii="Arial" w:cs="Arial" w:eastAsia="Arial" w:hAnsi="Arial"/>
          <w:sz w:val="17"/>
          <w:szCs w:val="17"/>
          <w:color w:val="auto"/>
        </w:rPr>
        <w:t xml:space="preserve"> </w:t>
      </w:r>
      <w:hyperlink r:id="rId128">
        <w:r>
          <w:rPr>
            <w:rFonts w:ascii="Arial" w:cs="Arial" w:eastAsia="Arial" w:hAnsi="Arial"/>
            <w:sz w:val="17"/>
            <w:szCs w:val="17"/>
            <w:u w:val="single" w:color="auto"/>
            <w:color w:val="0000EE"/>
          </w:rPr>
          <w:t>(incorporated by reference to Exhibit 10.2 of Northeast Bancorp’s Current Report on Form 8-K filed on March 30, 2011).</w:t>
        </w:r>
      </w:hyperlink>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1020" w:hanging="537"/>
        <w:spacing w:after="0" w:line="274"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10.9+ </w:t>
      </w:r>
      <w:hyperlink r:id="rId130">
        <w:r>
          <w:rPr>
            <w:rFonts w:ascii="Arial" w:cs="Arial" w:eastAsia="Arial" w:hAnsi="Arial"/>
            <w:sz w:val="17"/>
            <w:szCs w:val="17"/>
            <w:u w:val="single" w:color="auto"/>
            <w:color w:val="0000EE"/>
          </w:rPr>
          <w:t>Non-Qualified Performance-Based Stock Option Agreement, dated March 24, 2011, by and between Northeast Bancorp and Matthew Botein</w:t>
        </w:r>
      </w:hyperlink>
      <w:r>
        <w:rPr>
          <w:rFonts w:ascii="Arial" w:cs="Arial" w:eastAsia="Arial" w:hAnsi="Arial"/>
          <w:sz w:val="17"/>
          <w:szCs w:val="17"/>
          <w:color w:val="auto"/>
        </w:rPr>
        <w:t xml:space="preserve"> </w:t>
      </w:r>
      <w:hyperlink r:id="rId130">
        <w:r>
          <w:rPr>
            <w:rFonts w:ascii="Arial" w:cs="Arial" w:eastAsia="Arial" w:hAnsi="Arial"/>
            <w:sz w:val="17"/>
            <w:szCs w:val="17"/>
            <w:u w:val="single" w:color="auto"/>
            <w:color w:val="0000EE"/>
          </w:rPr>
          <w:t>(incorporated by reference to Exhibit 10.3 of Northeast Bancorp’s Current Report on Form 8-K filed on March 30, 2011).</w:t>
        </w:r>
      </w:hyperlink>
    </w:p>
    <w:p>
      <w:pPr>
        <w:jc w:val="center"/>
        <w:ind w:left="360" w:right="280"/>
        <w:spacing w:after="0" w:line="26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10.10+  </w:t>
      </w:r>
      <w:hyperlink r:id="rId131">
        <w:r>
          <w:rPr>
            <w:rFonts w:ascii="Arial" w:cs="Arial" w:eastAsia="Arial" w:hAnsi="Arial"/>
            <w:sz w:val="17"/>
            <w:szCs w:val="17"/>
            <w:u w:val="single" w:color="auto"/>
            <w:color w:val="0000EE"/>
          </w:rPr>
          <w:t>Form of Indemnification Agreement, dated as of December 29, 2010, by and between Northeast Bancorp and each of the members of the</w:t>
        </w:r>
      </w:hyperlink>
      <w:r>
        <w:rPr>
          <w:rFonts w:ascii="Arial" w:cs="Arial" w:eastAsia="Arial" w:hAnsi="Arial"/>
          <w:sz w:val="17"/>
          <w:szCs w:val="17"/>
          <w:color w:val="auto"/>
        </w:rPr>
        <w:t xml:space="preserve"> </w:t>
      </w:r>
      <w:hyperlink r:id="rId131">
        <w:r>
          <w:rPr>
            <w:rFonts w:ascii="Arial" w:cs="Arial" w:eastAsia="Arial" w:hAnsi="Arial"/>
            <w:sz w:val="17"/>
            <w:szCs w:val="17"/>
            <w:u w:val="single" w:color="auto"/>
            <w:color w:val="0000EE"/>
          </w:rPr>
          <w:t>Board (incorporated by reference to Exhibit 10.1 of Northeast Bancorp’s Current Report on Form 8-K filed on January 5, 2011).</w:t>
        </w:r>
      </w:hyperlink>
    </w:p>
    <w:p>
      <w:pPr>
        <w:ind w:left="1020" w:right="220" w:hanging="620"/>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132">
        <w:r>
          <w:rPr>
            <w:rFonts w:ascii="Arial" w:cs="Arial" w:eastAsia="Arial" w:hAnsi="Arial"/>
            <w:sz w:val="18"/>
            <w:szCs w:val="18"/>
            <w:u w:val="single" w:color="auto"/>
            <w:color w:val="0000EE"/>
          </w:rPr>
          <w:t>Employment Agreement, dated December 30, 2010, by and between Northeast Bancorp and Richard Wayne (incorporated by reference to</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EE"/>
          </w:rPr>
          <w:t>Exhibit 10.2 of Northeast Bancorp’s Current Report on Form 8-K filed on January 5, 2011).</w:t>
        </w:r>
      </w:hyperlink>
    </w:p>
    <w:p>
      <w:pPr>
        <w:spacing w:after="0" w:line="1" w:lineRule="exact"/>
        <w:rPr>
          <w:sz w:val="20"/>
          <w:szCs w:val="20"/>
          <w:color w:val="auto"/>
        </w:rPr>
      </w:pPr>
    </w:p>
    <w:p>
      <w:pPr>
        <w:ind w:left="1020" w:right="540" w:hanging="525"/>
        <w:spacing w:after="0" w:line="26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10.12 </w:t>
      </w:r>
      <w:hyperlink r:id="rId133">
        <w:r>
          <w:rPr>
            <w:rFonts w:ascii="Arial" w:cs="Arial" w:eastAsia="Arial" w:hAnsi="Arial"/>
            <w:sz w:val="17"/>
            <w:szCs w:val="17"/>
            <w:u w:val="single" w:color="auto"/>
            <w:color w:val="0000EE"/>
          </w:rPr>
          <w:t>Subordinated Note Purchase Agreement, dated June 29, 2016, by and among Northeast Bancorp and the Purchasers identified therein</w:t>
        </w:r>
      </w:hyperlink>
      <w:r>
        <w:rPr>
          <w:rFonts w:ascii="Arial" w:cs="Arial" w:eastAsia="Arial" w:hAnsi="Arial"/>
          <w:sz w:val="17"/>
          <w:szCs w:val="17"/>
          <w:color w:val="auto"/>
        </w:rPr>
        <w:t xml:space="preserve"> </w:t>
      </w:r>
      <w:hyperlink r:id="rId133">
        <w:r>
          <w:rPr>
            <w:rFonts w:ascii="Arial" w:cs="Arial" w:eastAsia="Arial" w:hAnsi="Arial"/>
            <w:sz w:val="17"/>
            <w:szCs w:val="17"/>
            <w:u w:val="single" w:color="auto"/>
            <w:color w:val="0000EE"/>
          </w:rPr>
          <w:t>(incorporated by reference to Exhibit 10.1 of Northeast Bancorp’s Current Report on Form 8-K filed on June 29, 2016).</w:t>
        </w:r>
      </w:hyperlink>
    </w:p>
    <w:p>
      <w:pPr>
        <w:ind w:left="600" w:right="7680" w:firstLine="126"/>
        <w:spacing w:after="0" w:line="281" w:lineRule="auto"/>
        <w:tabs>
          <w:tab w:leader="none" w:pos="1036" w:val="left"/>
        </w:tabs>
        <w:numPr>
          <w:ilvl w:val="0"/>
          <w:numId w:val="55"/>
        </w:numPr>
        <w:rPr>
          <w:rFonts w:ascii="Arial" w:cs="Arial" w:eastAsia="Arial" w:hAnsi="Arial"/>
          <w:sz w:val="16"/>
          <w:szCs w:val="16"/>
          <w:color w:val="000000"/>
        </w:rPr>
      </w:pPr>
      <w:hyperlink w:anchor="page104">
        <w:r>
          <w:rPr>
            <w:rFonts w:ascii="Arial" w:cs="Arial" w:eastAsia="Arial" w:hAnsi="Arial"/>
            <w:sz w:val="16"/>
            <w:szCs w:val="16"/>
            <w:u w:val="single" w:color="auto"/>
            <w:color w:val="0000EE"/>
          </w:rPr>
          <w:t>Subsidiaries of Northeast Bancorp</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 xml:space="preserve">23.1 </w:t>
      </w:r>
      <w:hyperlink w:anchor="page105">
        <w:r>
          <w:rPr>
            <w:rFonts w:ascii="Arial" w:cs="Arial" w:eastAsia="Arial" w:hAnsi="Arial"/>
            <w:sz w:val="16"/>
            <w:szCs w:val="16"/>
            <w:u w:val="single" w:color="auto"/>
            <w:color w:val="0000EE"/>
          </w:rPr>
          <w:t>Consent of RSM US LLP</w:t>
        </w:r>
      </w:hyperlink>
    </w:p>
    <w:p>
      <w:pPr>
        <w:spacing w:after="0" w:line="1" w:lineRule="exact"/>
        <w:rPr>
          <w:rFonts w:ascii="Arial" w:cs="Arial" w:eastAsia="Arial" w:hAnsi="Arial"/>
          <w:sz w:val="16"/>
          <w:szCs w:val="16"/>
          <w:color w:val="000000"/>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106">
        <w:r>
          <w:rPr>
            <w:rFonts w:ascii="Arial" w:cs="Arial" w:eastAsia="Arial" w:hAnsi="Arial"/>
            <w:sz w:val="17"/>
            <w:szCs w:val="17"/>
            <w:u w:val="single" w:color="auto"/>
            <w:color w:val="0000EE"/>
          </w:rPr>
          <w:t>Rule 13a-14(a)/15d-14(a) Certification of the Chief Executive Officer pursuant to Section 302 of the Sarbanes-Oxley Act of 2002.*</w:t>
        </w:r>
      </w:hyperlink>
    </w:p>
    <w:p>
      <w:pPr>
        <w:spacing w:after="0" w:line="20"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107">
        <w:r>
          <w:rPr>
            <w:rFonts w:ascii="Arial" w:cs="Arial" w:eastAsia="Arial" w:hAnsi="Arial"/>
            <w:sz w:val="17"/>
            <w:szCs w:val="17"/>
            <w:u w:val="single" w:color="auto"/>
            <w:color w:val="0000EE"/>
          </w:rPr>
          <w:t>Rule 13a-14(a)/15d-14(a) Certification of the Chief Financial Officer pursuant to Section 302 of the Sarbanes-Oxley Act of 2002.*</w:t>
        </w:r>
      </w:hyperlink>
    </w:p>
    <w:p>
      <w:pPr>
        <w:spacing w:after="0" w:line="20" w:lineRule="exact"/>
        <w:rPr>
          <w:rFonts w:ascii="Arial" w:cs="Arial" w:eastAsia="Arial" w:hAnsi="Arial"/>
          <w:sz w:val="17"/>
          <w:szCs w:val="17"/>
          <w:color w:val="auto"/>
        </w:rPr>
      </w:pPr>
    </w:p>
    <w:p>
      <w:pPr>
        <w:ind w:left="1020" w:right="60" w:hanging="436"/>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32.1 </w:t>
      </w:r>
      <w:hyperlink w:anchor="page108">
        <w:r>
          <w:rPr>
            <w:rFonts w:ascii="Arial" w:cs="Arial" w:eastAsia="Arial" w:hAnsi="Arial"/>
            <w:sz w:val="18"/>
            <w:szCs w:val="18"/>
            <w:u w:val="single" w:color="auto"/>
            <w:color w:val="0000EE"/>
          </w:rPr>
          <w:t>Rule 13a-14(b) Certifications of the Chief Executive Officer and Chief Financial Officer Pursuant to Section 906 of the Sarbanes-Oxley Act</w:t>
        </w:r>
      </w:hyperlink>
      <w:r>
        <w:rPr>
          <w:rFonts w:ascii="Arial" w:cs="Arial" w:eastAsia="Arial" w:hAnsi="Arial"/>
          <w:sz w:val="18"/>
          <w:szCs w:val="18"/>
          <w:color w:val="auto"/>
        </w:rPr>
        <w:t xml:space="preserve"> </w:t>
      </w:r>
      <w:hyperlink w:anchor="page108">
        <w:r>
          <w:rPr>
            <w:rFonts w:ascii="Arial" w:cs="Arial" w:eastAsia="Arial" w:hAnsi="Arial"/>
            <w:sz w:val="18"/>
            <w:szCs w:val="18"/>
            <w:u w:val="single" w:color="auto"/>
            <w:color w:val="0000EE"/>
          </w:rPr>
          <w:t>of 2002.**</w:t>
        </w:r>
      </w:hyperlink>
    </w:p>
    <w:tbl>
      <w:tblPr>
        <w:tblLayout w:type="fixed"/>
        <w:tblInd w:w="240" w:type="dxa"/>
        <w:tblCellMar>
          <w:top w:w="0" w:type="dxa"/>
          <w:left w:w="0" w:type="dxa"/>
          <w:bottom w:w="0" w:type="dxa"/>
          <w:right w:w="0" w:type="dxa"/>
        </w:tblCellMar>
      </w:tblPr>
      <w:tr>
        <w:trPr>
          <w:trHeight w:val="203"/>
        </w:trPr>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101.INS</w:t>
            </w:r>
          </w:p>
        </w:tc>
        <w:tc>
          <w:tcPr>
            <w:tcW w:w="4640" w:type="dxa"/>
            <w:vAlign w:val="bottom"/>
          </w:tcPr>
          <w:p>
            <w:pPr>
              <w:ind w:left="60"/>
              <w:spacing w:after="0" w:line="203" w:lineRule="exact"/>
              <w:rPr>
                <w:sz w:val="20"/>
                <w:szCs w:val="20"/>
                <w:color w:val="auto"/>
              </w:rPr>
            </w:pPr>
            <w:r>
              <w:rPr>
                <w:rFonts w:ascii="Arial" w:cs="Arial" w:eastAsia="Arial" w:hAnsi="Arial"/>
                <w:sz w:val="18"/>
                <w:szCs w:val="18"/>
                <w:color w:val="auto"/>
              </w:rPr>
              <w:t>XBRL Instance Document*</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w w:val="87"/>
              </w:rPr>
              <w:t>101.SCH</w:t>
            </w:r>
          </w:p>
        </w:tc>
        <w:tc>
          <w:tcPr>
            <w:tcW w:w="464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w w:val="91"/>
              </w:rPr>
              <w:t>101.CAL</w:t>
            </w:r>
          </w:p>
        </w:tc>
        <w:tc>
          <w:tcPr>
            <w:tcW w:w="4640" w:type="dxa"/>
            <w:vAlign w:val="bottom"/>
          </w:tcPr>
          <w:p>
            <w:pPr>
              <w:ind w:left="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w w:val="90"/>
              </w:rPr>
              <w:t>101.DEF</w:t>
            </w:r>
          </w:p>
        </w:tc>
        <w:tc>
          <w:tcPr>
            <w:tcW w:w="4640" w:type="dxa"/>
            <w:vAlign w:val="bottom"/>
          </w:tcPr>
          <w:p>
            <w:pPr>
              <w:ind w:left="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w w:val="92"/>
              </w:rPr>
              <w:t>101.LAB</w:t>
            </w:r>
          </w:p>
        </w:tc>
        <w:tc>
          <w:tcPr>
            <w:tcW w:w="464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20" w:type="dxa"/>
            <w:vAlign w:val="bottom"/>
          </w:tcPr>
          <w:p>
            <w:pPr>
              <w:jc w:val="right"/>
              <w:spacing w:after="0"/>
              <w:rPr>
                <w:sz w:val="20"/>
                <w:szCs w:val="20"/>
                <w:color w:val="auto"/>
              </w:rPr>
            </w:pPr>
            <w:r>
              <w:rPr>
                <w:rFonts w:ascii="Arial" w:cs="Arial" w:eastAsia="Arial" w:hAnsi="Arial"/>
                <w:sz w:val="18"/>
                <w:szCs w:val="18"/>
                <w:color w:val="auto"/>
                <w:w w:val="88"/>
              </w:rPr>
              <w:t>101.PRE</w:t>
            </w:r>
          </w:p>
        </w:tc>
        <w:tc>
          <w:tcPr>
            <w:tcW w:w="4640" w:type="dxa"/>
            <w:vAlign w:val="bottom"/>
          </w:tcPr>
          <w:p>
            <w:pPr>
              <w:ind w:left="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 Management contract or compensatory plan or agreement</w:t>
      </w:r>
    </w:p>
    <w:p>
      <w:pPr>
        <w:spacing w:after="0" w:line="221" w:lineRule="exact"/>
        <w:rPr>
          <w:rFonts w:ascii="Arial" w:cs="Arial" w:eastAsia="Arial" w:hAnsi="Arial"/>
          <w:sz w:val="17"/>
          <w:szCs w:val="17"/>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Form 10-K Summary</w:t>
      </w:r>
    </w:p>
    <w:p>
      <w:pPr>
        <w:spacing w:after="0" w:line="22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rFonts w:ascii="Arial" w:cs="Arial" w:eastAsia="Arial" w:hAnsi="Arial"/>
          <w:sz w:val="17"/>
          <w:szCs w:val="17"/>
          <w:color w:val="auto"/>
        </w:rPr>
      </w:pPr>
    </w:p>
    <w:p>
      <w:pPr>
        <w:jc w:val="center"/>
        <w:ind w:right="-239"/>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18" w:right="47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NORTHEAST BANCORP</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13, 2018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20"/>
        <w:spacing w:after="0"/>
        <w:rPr>
          <w:sz w:val="20"/>
          <w:szCs w:val="20"/>
          <w:color w:val="auto"/>
        </w:rPr>
      </w:pPr>
      <w:r>
        <w:rPr>
          <w:rFonts w:ascii="Arial" w:cs="Arial" w:eastAsia="Arial" w:hAnsi="Arial"/>
          <w:sz w:val="17"/>
          <w:szCs w:val="17"/>
          <w:color w:val="auto"/>
        </w:rPr>
        <w:t>/s/ RICHARD WAYNE</w:t>
      </w:r>
    </w:p>
    <w:p>
      <w:pPr>
        <w:spacing w:after="0" w:line="35" w:lineRule="exact"/>
        <w:rPr>
          <w:sz w:val="20"/>
          <w:szCs w:val="20"/>
          <w:color w:val="auto"/>
        </w:rPr>
      </w:pPr>
    </w:p>
    <w:p>
      <w:pPr>
        <w:sectPr>
          <w:pgSz w:w="11900" w:h="16838" w:orient="portrait"/>
          <w:cols w:equalWidth="0" w:num="3">
            <w:col w:w="5000" w:space="720"/>
            <w:col w:w="1440" w:space="720"/>
            <w:col w:w="3540"/>
          </w:cols>
          <w:pgMar w:left="240" w:top="118" w:right="239" w:bottom="1440" w:gutter="0" w:footer="0" w:header="0"/>
          <w:type w:val="continuous"/>
        </w:sectPr>
      </w:pPr>
    </w:p>
    <w:p>
      <w:pPr>
        <w:jc w:val="center"/>
        <w:ind w:left="606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20" w:type="dxa"/>
            <w:vAlign w:val="bottom"/>
          </w:tcPr>
          <w:p>
            <w:pPr>
              <w:spacing w:after="0"/>
              <w:rPr>
                <w:sz w:val="20"/>
                <w:szCs w:val="20"/>
                <w:color w:val="auto"/>
              </w:rPr>
            </w:pPr>
          </w:p>
        </w:tc>
        <w:tc>
          <w:tcPr>
            <w:tcW w:w="390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Date</w:t>
            </w:r>
          </w:p>
        </w:tc>
      </w:tr>
      <w:tr>
        <w:trPr>
          <w:trHeight w:val="426"/>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RICHARD WAYNE</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Wayne</w:t>
            </w:r>
          </w:p>
        </w:tc>
        <w:tc>
          <w:tcPr>
            <w:tcW w:w="22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JEAN-PIERRE LAPOINTE</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 (Principal Financial</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2"/>
              </w:rPr>
              <w:t>Jean-Pierre Lapointe</w:t>
            </w:r>
          </w:p>
        </w:tc>
        <w:tc>
          <w:tcPr>
            <w:tcW w:w="22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Officer and Principal Accounting 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ROBERT GLAUBER</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4"/>
              </w:rPr>
              <w:t>Robert Glauber</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MATTHEW BOTEIN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Matthew Botein</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CHERYL DORSEY</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Cheryl Dorsey</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C. ORESTIS</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John C. Orestis</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TANNER</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David Tanner</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JUDITH E. WALLINGFORD</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September 13, 2018</w:t>
            </w:r>
          </w:p>
        </w:tc>
      </w:tr>
      <w:tr>
        <w:trPr>
          <w:trHeight w:val="228"/>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Judith E. Wallingford</w:t>
            </w:r>
          </w:p>
        </w:tc>
        <w:tc>
          <w:tcPr>
            <w:tcW w:w="2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5040" w:type="dxa"/>
            <w:vAlign w:val="bottom"/>
          </w:tcPr>
          <w:p>
            <w:pPr>
              <w:spacing w:after="0"/>
              <w:rPr>
                <w:sz w:val="24"/>
                <w:szCs w:val="24"/>
                <w:color w:val="auto"/>
              </w:rPr>
            </w:pPr>
          </w:p>
        </w:tc>
        <w:tc>
          <w:tcPr>
            <w:tcW w:w="4120" w:type="dxa"/>
            <w:vAlign w:val="bottom"/>
            <w:gridSpan w:val="2"/>
          </w:tcPr>
          <w:p>
            <w:pPr>
              <w:jc w:val="right"/>
              <w:ind w:right="323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type w:val="continuous"/>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gridSpan w:val="3"/>
          </w:tcPr>
          <w:p>
            <w:pPr>
              <w:spacing w:after="0"/>
              <w:rPr>
                <w:sz w:val="20"/>
                <w:szCs w:val="20"/>
                <w:color w:val="auto"/>
              </w:rPr>
            </w:pPr>
            <w:r>
              <w:rPr>
                <w:rFonts w:ascii="Arial" w:cs="Arial" w:eastAsia="Arial" w:hAnsi="Arial"/>
                <w:sz w:val="18"/>
                <w:szCs w:val="18"/>
                <w:color w:val="auto"/>
              </w:rPr>
              <w:t>Exhibit 21. Subsidiaries of Registrant</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8"/>
        </w:trPr>
        <w:tc>
          <w:tcPr>
            <w:tcW w:w="86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Year</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Percentage</w:t>
            </w:r>
          </w:p>
        </w:tc>
      </w:tr>
      <w:tr>
        <w:trPr>
          <w:trHeight w:val="216"/>
        </w:trPr>
        <w:tc>
          <w:tcPr>
            <w:tcW w:w="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8"/>
                <w:szCs w:val="18"/>
                <w:color w:val="auto"/>
                <w:w w:val="93"/>
              </w:rPr>
              <w:t>Jurisdiction</w:t>
            </w:r>
          </w:p>
        </w:tc>
        <w:tc>
          <w:tcPr>
            <w:tcW w:w="17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Acquired</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of Voting</w:t>
            </w:r>
          </w:p>
        </w:tc>
      </w:tr>
      <w:tr>
        <w:trPr>
          <w:trHeight w:val="216"/>
        </w:trPr>
        <w:tc>
          <w:tcPr>
            <w:tcW w:w="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of</w:t>
            </w:r>
          </w:p>
        </w:tc>
        <w:tc>
          <w:tcPr>
            <w:tcW w:w="170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or</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Securities</w:t>
            </w: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Name of Subsidiary</w:t>
            </w:r>
          </w:p>
        </w:tc>
        <w:tc>
          <w:tcPr>
            <w:tcW w:w="680" w:type="dxa"/>
            <w:vAlign w:val="bottom"/>
          </w:tcPr>
          <w:p>
            <w:pPr>
              <w:spacing w:after="0"/>
              <w:rPr>
                <w:sz w:val="20"/>
                <w:szCs w:val="20"/>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Incorporation</w:t>
            </w:r>
          </w:p>
        </w:tc>
        <w:tc>
          <w:tcPr>
            <w:tcW w:w="170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Formed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r>
      <w:tr>
        <w:trPr>
          <w:trHeight w:val="195"/>
        </w:trPr>
        <w:tc>
          <w:tcPr>
            <w:tcW w:w="60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2"/>
              </w:rPr>
              <w:t>Northeast Bank (and its 100% owned subsidiaries: 200 Elm Realty, LLC; 500 Pine</w:t>
            </w:r>
          </w:p>
        </w:tc>
        <w:tc>
          <w:tcPr>
            <w:tcW w:w="6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6040" w:type="dxa"/>
            <w:vAlign w:val="bottom"/>
            <w:gridSpan w:val="3"/>
          </w:tcPr>
          <w:p>
            <w:pPr>
              <w:ind w:left="180"/>
              <w:spacing w:after="0"/>
              <w:rPr>
                <w:sz w:val="20"/>
                <w:szCs w:val="20"/>
                <w:color w:val="auto"/>
              </w:rPr>
            </w:pPr>
            <w:r>
              <w:rPr>
                <w:rFonts w:ascii="Arial" w:cs="Arial" w:eastAsia="Arial" w:hAnsi="Arial"/>
                <w:sz w:val="18"/>
                <w:szCs w:val="18"/>
                <w:color w:val="auto"/>
              </w:rPr>
              <w:t>Realty, LLC; 17 Dogwood Realty, LLC)</w:t>
            </w:r>
          </w:p>
        </w:tc>
        <w:tc>
          <w:tcPr>
            <w:tcW w:w="680" w:type="dxa"/>
            <w:vAlign w:val="bottom"/>
          </w:tcPr>
          <w:p>
            <w:pPr>
              <w:spacing w:after="0"/>
              <w:rPr>
                <w:sz w:val="20"/>
                <w:szCs w:val="20"/>
                <w:color w:val="auto"/>
              </w:rPr>
            </w:pPr>
          </w:p>
        </w:tc>
        <w:tc>
          <w:tcPr>
            <w:tcW w:w="1700" w:type="dxa"/>
            <w:vAlign w:val="bottom"/>
            <w:gridSpan w:val="2"/>
          </w:tcPr>
          <w:p>
            <w:pPr>
              <w:ind w:left="560"/>
              <w:spacing w:after="0"/>
              <w:rPr>
                <w:sz w:val="20"/>
                <w:szCs w:val="20"/>
                <w:color w:val="auto"/>
              </w:rPr>
            </w:pPr>
            <w:r>
              <w:rPr>
                <w:rFonts w:ascii="Arial" w:cs="Arial" w:eastAsia="Arial" w:hAnsi="Arial"/>
                <w:sz w:val="18"/>
                <w:szCs w:val="18"/>
                <w:color w:val="auto"/>
              </w:rPr>
              <w:t>Maine</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1987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00"/>
          </w:cols>
          <w:pgMar w:left="240" w:top="108"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(Nos. 333-135452, 333-171466 and 333-186356) on Form S-8 of Northeast Bancorp of our reports dated September 13, 2018, relating to the consolidated financial statements of Northeast Bancorp and the effectiveness of internal control over financial reporting of Northeast Bancorp, appearing in this Annual Report on Form 10-K of Northeast Bancorp for the year ended June 30, 2018.</w:t>
      </w:r>
    </w:p>
    <w:p>
      <w:pPr>
        <w:spacing w:after="0" w:line="3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38"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00"/>
        <w:spacing w:after="0" w:line="264" w:lineRule="auto"/>
        <w:tabs>
          <w:tab w:leader="none" w:pos="122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340"/>
        <w:spacing w:after="0" w:line="264" w:lineRule="auto"/>
        <w:tabs>
          <w:tab w:leader="none" w:pos="12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480"/>
        <w:spacing w:after="0" w:line="342" w:lineRule="auto"/>
        <w:tabs>
          <w:tab w:leader="none" w:pos="1225"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00"/>
        <w:spacing w:after="0" w:line="264" w:lineRule="auto"/>
        <w:tabs>
          <w:tab w:leader="none" w:pos="12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500" w:right="14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80"/>
        <w:spacing w:after="0" w:line="308" w:lineRule="auto"/>
        <w:tabs>
          <w:tab w:leader="none" w:pos="1225"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360"/>
        <w:spacing w:after="0" w:line="277" w:lineRule="auto"/>
        <w:tabs>
          <w:tab w:leader="none" w:pos="12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2018</w:t>
            </w:r>
          </w:p>
        </w:tc>
        <w:tc>
          <w:tcPr>
            <w:tcW w:w="216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18"/>
                <w:szCs w:val="18"/>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Richard Wayne</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400"/>
          </w:cols>
          <w:pgMar w:left="240" w:top="125"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Jean-Pierre Lapointe, certify that:</w:t>
      </w:r>
    </w:p>
    <w:p>
      <w:pPr>
        <w:spacing w:after="0" w:line="238"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Northeast Bancorp;</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20" w:hanging="492"/>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360"/>
        <w:spacing w:after="0" w:line="264" w:lineRule="auto"/>
        <w:tabs>
          <w:tab w:leader="none" w:pos="12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00"/>
        <w:spacing w:after="0" w:line="342" w:lineRule="auto"/>
        <w:tabs>
          <w:tab w:leader="none" w:pos="1225"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spacing w:after="0" w:line="264" w:lineRule="auto"/>
        <w:tabs>
          <w:tab w:leader="none" w:pos="12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700"/>
        <w:spacing w:after="0" w:line="308" w:lineRule="auto"/>
        <w:tabs>
          <w:tab w:leader="none" w:pos="1225"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380"/>
        <w:spacing w:after="0" w:line="277" w:lineRule="auto"/>
        <w:tabs>
          <w:tab w:leader="none" w:pos="12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2018</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/s/ Jean-Pierre Lapointe</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Jean-Pierre Lapointe</w:t>
            </w: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w w:val="97"/>
              </w:rPr>
              <w:t>Chief Financial Officer</w:t>
            </w: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Rule 13a-14(b) and 18 U.S.C. Section 1350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report of Northeast Bancorp (the “Company”) on Form 10-K for the annual period ending June 30, 2018 as filed with the Securities and Exchange Commission on the date hereof (the “Report”), each of the undersigned officers of the Company hereby certify, pursuant to Exchange Act Rule 13a-14(b) and 18 U.S.C. 1350, that to the best of such officer’s knowledge:</w:t>
      </w:r>
    </w:p>
    <w:p>
      <w:pPr>
        <w:spacing w:after="0" w:line="181" w:lineRule="exact"/>
        <w:rPr>
          <w:sz w:val="20"/>
          <w:szCs w:val="20"/>
          <w:color w:val="auto"/>
        </w:rPr>
      </w:pPr>
    </w:p>
    <w:p>
      <w:pPr>
        <w:ind w:left="680" w:hanging="294"/>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80" w:right="40" w:firstLine="6"/>
        <w:spacing w:after="0" w:line="277" w:lineRule="auto"/>
        <w:tabs>
          <w:tab w:leader="none" w:pos="6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September 13, 2018</w:t>
            </w:r>
          </w:p>
        </w:tc>
        <w:tc>
          <w:tcPr>
            <w:tcW w:w="4160" w:type="dxa"/>
            <w:vAlign w:val="bottom"/>
            <w:gridSpan w:val="2"/>
          </w:tcPr>
          <w:p>
            <w:pPr>
              <w:ind w:left="2160"/>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17"/>
                <w:szCs w:val="17"/>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w w:val="95"/>
              </w:rPr>
              <w:t>Chief Executive Officer</w:t>
            </w:r>
          </w:p>
        </w:tc>
        <w:tc>
          <w:tcPr>
            <w:tcW w:w="40" w:type="dxa"/>
            <w:vAlign w:val="bottom"/>
          </w:tcPr>
          <w:p>
            <w:pPr>
              <w:spacing w:after="0"/>
              <w:rPr>
                <w:sz w:val="20"/>
                <w:szCs w:val="20"/>
                <w:color w:val="auto"/>
              </w:rPr>
            </w:pPr>
          </w:p>
        </w:tc>
      </w:tr>
      <w:tr>
        <w:trPr>
          <w:trHeight w:val="608"/>
        </w:trPr>
        <w:tc>
          <w:tcPr>
            <w:tcW w:w="3620" w:type="dxa"/>
            <w:vAlign w:val="bottom"/>
          </w:tcPr>
          <w:p>
            <w:pPr>
              <w:spacing w:after="0"/>
              <w:rPr>
                <w:sz w:val="24"/>
                <w:szCs w:val="24"/>
                <w:color w:val="auto"/>
              </w:rPr>
            </w:pPr>
          </w:p>
        </w:tc>
        <w:tc>
          <w:tcPr>
            <w:tcW w:w="4160" w:type="dxa"/>
            <w:vAlign w:val="bottom"/>
            <w:gridSpan w:val="2"/>
          </w:tcPr>
          <w:p>
            <w:pPr>
              <w:ind w:left="2160"/>
              <w:spacing w:after="0"/>
              <w:rPr>
                <w:sz w:val="20"/>
                <w:szCs w:val="20"/>
                <w:color w:val="auto"/>
              </w:rPr>
            </w:pPr>
            <w:r>
              <w:rPr>
                <w:rFonts w:ascii="Arial" w:cs="Arial" w:eastAsia="Arial" w:hAnsi="Arial"/>
                <w:sz w:val="18"/>
                <w:szCs w:val="18"/>
                <w:color w:val="auto"/>
              </w:rPr>
              <w:t>/s/ Jean-Pierre Lapointe</w:t>
            </w:r>
          </w:p>
        </w:tc>
        <w:tc>
          <w:tcPr>
            <w:tcW w:w="40" w:type="dxa"/>
            <w:vAlign w:val="bottom"/>
          </w:tcPr>
          <w:p>
            <w:pPr>
              <w:spacing w:after="0"/>
              <w:rPr>
                <w:sz w:val="24"/>
                <w:szCs w:val="24"/>
                <w:color w:val="auto"/>
              </w:rPr>
            </w:pP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Jean-Pierre Lapointe</w:t>
            </w:r>
          </w:p>
        </w:tc>
        <w:tc>
          <w:tcPr>
            <w:tcW w:w="40" w:type="dxa"/>
            <w:vAlign w:val="bottom"/>
            <w:tcBorders>
              <w:top w:val="single" w:sz="8" w:color="auto"/>
            </w:tcBorders>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w w:val="98"/>
              </w:rPr>
              <w:t>Chief Financial Officer</w:t>
            </w:r>
          </w:p>
        </w:tc>
        <w:tc>
          <w:tcPr>
            <w:tcW w:w="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Roman"/>
      <w:start w:val="3"/>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2)"/>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lvl w:ilvl="1">
      <w:lvlJc w:val="left"/>
      <w:lvlText w:val="(%2)"/>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30"/>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4"/>
    </w:lvl>
  </w:abstractNum>
  <w:abstractNum w:abstractNumId="29">
    <w:nsid w:val="725A06FB"/>
    <w:multiLevelType w:val="hybridMultilevel"/>
    <w:lvl w:ilvl="0">
      <w:lvlJc w:val="left"/>
      <w:lvlText w:val="%1."/>
      <w:numFmt w:val="decimal"/>
      <w:start w:val="2"/>
    </w:lvl>
  </w:abstractNum>
  <w:abstractNum w:abstractNumId="30">
    <w:nsid w:val="2CD89A32"/>
    <w:multiLevelType w:val="hybridMultilevel"/>
    <w:lvl w:ilvl="0">
      <w:lvlJc w:val="left"/>
      <w:lvlText w:val="%1."/>
      <w:numFmt w:val="decimal"/>
      <w:start w:val="3"/>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4"/>
    </w:lvl>
  </w:abstractNum>
  <w:abstractNum w:abstractNumId="33">
    <w:nsid w:val="4B588F54"/>
    <w:multiLevelType w:val="hybridMultilevel"/>
    <w:lvl w:ilvl="0">
      <w:lvlJc w:val="left"/>
      <w:lvlText w:val="%1."/>
      <w:numFmt w:val="decimal"/>
      <w:start w:val="6"/>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9"/>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0"/>
    </w:lvl>
  </w:abstractNum>
  <w:abstractNum w:abstractNumId="38">
    <w:nsid w:val="32FFF902"/>
    <w:multiLevelType w:val="hybridMultilevel"/>
    <w:lvl w:ilvl="0">
      <w:lvlJc w:val="left"/>
      <w:lvlText w:val="%1."/>
      <w:numFmt w:val="decimal"/>
      <w:start w:val="11"/>
    </w:lvl>
  </w:abstractNum>
  <w:abstractNum w:abstractNumId="39">
    <w:nsid w:val="684A481A"/>
    <w:multiLevelType w:val="hybridMultilevel"/>
    <w:lvl w:ilvl="0">
      <w:lvlJc w:val="left"/>
      <w:lvlText w:val="%1."/>
      <w:numFmt w:val="decimal"/>
      <w:start w:val="12"/>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3"/>
    </w:lvl>
  </w:abstractNum>
  <w:abstractNum w:abstractNumId="42">
    <w:nsid w:val="3DC240FB"/>
    <w:multiLevelType w:val="hybridMultilevel"/>
    <w:lvl w:ilvl="0">
      <w:lvlJc w:val="left"/>
      <w:lvlText w:val="%1."/>
      <w:numFmt w:val="decimal"/>
      <w:start w:val="14"/>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15"/>
    </w:lvl>
  </w:abstractNum>
  <w:abstractNum w:abstractNumId="46">
    <w:nsid w:val="12E685FB"/>
    <w:multiLevelType w:val="hybridMultilevel"/>
    <w:lvl w:ilvl="0">
      <w:lvlJc w:val="left"/>
      <w:lvlText w:val="%1."/>
      <w:numFmt w:val="decimal"/>
      <w:start w:val="16"/>
    </w:lvl>
  </w:abstractNum>
  <w:abstractNum w:abstractNumId="47">
    <w:nsid w:val="70C6A529"/>
    <w:multiLevelType w:val="hybridMultilevel"/>
    <w:lvl w:ilvl="0">
      <w:lvlJc w:val="left"/>
      <w:lvlText w:val="%1."/>
      <w:numFmt w:val="decimal"/>
      <w:start w:val="17"/>
    </w:lvl>
  </w:abstractNum>
  <w:abstractNum w:abstractNumId="48">
    <w:nsid w:val="520EEDD1"/>
    <w:multiLevelType w:val="hybridMultilevel"/>
    <w:lvl w:ilvl="0">
      <w:lvlJc w:val="left"/>
      <w:lvlText w:val="%1."/>
      <w:numFmt w:val="decimal"/>
      <w:start w:val="18"/>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20"/>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2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9"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14" Type="http://schemas.openxmlformats.org/officeDocument/2006/relationships/hyperlink" Target="http://www.sec.gov/Archives/edgar/data/811831/000119312511002039/dex31.htm" TargetMode="External"/><Relationship Id="rId115" Type="http://schemas.openxmlformats.org/officeDocument/2006/relationships/hyperlink" Target="http://www.sec.gov/Archives/edgar/data/811831/000119312511073788/dex31.htm" TargetMode="External"/><Relationship Id="rId116" Type="http://schemas.openxmlformats.org/officeDocument/2006/relationships/hyperlink" Target="http://www.sec.gov/Archives/edgar/data/811831/000081183112000042/nov2012ex3.htm" TargetMode="External"/><Relationship Id="rId117" Type="http://schemas.openxmlformats.org/officeDocument/2006/relationships/hyperlink" Target="http://www.sec.gov/Archives/edgar/data/811831/000119312511002039/dex32.htm" TargetMode="External"/><Relationship Id="rId118" Type="http://schemas.openxmlformats.org/officeDocument/2006/relationships/hyperlink" Target="http://www.sec.gov/Archives/edgar/data/811831/000119312512121749/d288212dex41.htm" TargetMode="External"/><Relationship Id="rId119" Type="http://schemas.openxmlformats.org/officeDocument/2006/relationships/hyperlink" Target="http://www.sec.gov/Archives/edgar/data/811831/000143774916034629/ex4-1.htm" TargetMode="External"/><Relationship Id="rId120" Type="http://schemas.openxmlformats.org/officeDocument/2006/relationships/hyperlink" Target="http://www.sec.gov/Archives/edgar/data/811831/000143774917015900/ex10-1.htm" TargetMode="External"/><Relationship Id="rId121" Type="http://schemas.openxmlformats.org/officeDocument/2006/relationships/hyperlink" Target="http://www.sec.gov/Archives/edgar/data/811831/000143774917015900/ex10-2a.htm" TargetMode="External"/><Relationship Id="rId122" Type="http://schemas.openxmlformats.org/officeDocument/2006/relationships/hyperlink" Target="http://www.sec.gov/Archives/edgar/data/811831/000143774917015900/ex10-2b.htm" TargetMode="External"/><Relationship Id="rId123" Type="http://schemas.openxmlformats.org/officeDocument/2006/relationships/hyperlink" Target="http://www.sec.gov/Archives/edgar/data/811831/000143774917015900/ex10-3.htm" TargetMode="External"/><Relationship Id="rId124" Type="http://schemas.openxmlformats.org/officeDocument/2006/relationships/hyperlink" Target="http://www.sec.gov/Archives/edgar/data/811831/000119312511002039/dex105.htm" TargetMode="External"/><Relationship Id="rId125" Type="http://schemas.openxmlformats.org/officeDocument/2006/relationships/hyperlink" Target="http://www.sec.gov/Archives/edgar/data/811831/000110465913024499/a13-8794_1ex10d1.htm" TargetMode="External"/><Relationship Id="rId126" Type="http://schemas.openxmlformats.org/officeDocument/2006/relationships/hyperlink" Target="http://www.sec.gov/Archives/edgar/data/811831/000119312511002039/dex1011.htm" TargetMode="External"/><Relationship Id="rId127" Type="http://schemas.openxmlformats.org/officeDocument/2006/relationships/hyperlink" Target="http://www.sec.gov/Archives/edgar/data/811831/000119312511082648/dex101.htm" TargetMode="External"/><Relationship Id="rId128" Type="http://schemas.openxmlformats.org/officeDocument/2006/relationships/hyperlink" Target="http://www.sec.gov/Archives/edgar/data/811831/000119312511082648/dex102.htm" TargetMode="External"/><Relationship Id="rId130" Type="http://schemas.openxmlformats.org/officeDocument/2006/relationships/hyperlink" Target="http://www.sec.gov/Archives/edgar/data/811831/000119312511082648/dex103.htm" TargetMode="External"/><Relationship Id="rId131" Type="http://schemas.openxmlformats.org/officeDocument/2006/relationships/hyperlink" Target="http://www.sec.gov/Archives/edgar/data/811831/000119312511002039/dex101.htm" TargetMode="External"/><Relationship Id="rId132" Type="http://schemas.openxmlformats.org/officeDocument/2006/relationships/hyperlink" Target="http://www.sec.gov/Archives/edgar/data/811831/000119312511002039/dex102.htm" TargetMode="External"/><Relationship Id="rId133" Type="http://schemas.openxmlformats.org/officeDocument/2006/relationships/hyperlink" Target="http://www.sec.gov/Archives/edgar/data/811831/00014377491603462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2019-12-28T19:28:52Z</dcterms:created>
  <dcterms:modified xsi:type="dcterms:W3CDTF">2019-12-28T19:28:52Z</dcterms:modified>
</cp:coreProperties>
</file>