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15, 2019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1-14588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NORTHEAST BANCORP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220" w:type="dxa"/>
        <w:tblCellMar>
          <w:top w:w="0" w:type="dxa"/>
          <w:left w:w="0" w:type="dxa"/>
          <w:bottom w:w="0" w:type="dxa"/>
          <w:right w:w="0" w:type="dxa"/>
        </w:tblCellMar>
      </w:tblPr>
      <w:tr>
        <w:trPr>
          <w:trHeight w:val="220"/>
        </w:trPr>
        <w:tc>
          <w:tcPr>
            <w:tcW w:w="4580" w:type="dxa"/>
            <w:vAlign w:val="bottom"/>
          </w:tcPr>
          <w:p>
            <w:pPr>
              <w:jc w:val="center"/>
              <w:ind w:right="1330"/>
              <w:spacing w:after="0"/>
              <w:rPr>
                <w:sz w:val="20"/>
                <w:szCs w:val="20"/>
                <w:color w:val="auto"/>
              </w:rPr>
            </w:pPr>
            <w:r>
              <w:rPr>
                <w:rFonts w:ascii="Arial" w:cs="Arial" w:eastAsia="Arial" w:hAnsi="Arial"/>
                <w:sz w:val="18"/>
                <w:szCs w:val="18"/>
                <w:b w:val="1"/>
                <w:bCs w:val="1"/>
                <w:color w:val="auto"/>
                <w:w w:val="93"/>
              </w:rPr>
              <w:t>Maine</w:t>
            </w:r>
          </w:p>
        </w:tc>
        <w:tc>
          <w:tcPr>
            <w:tcW w:w="4220" w:type="dxa"/>
            <w:vAlign w:val="bottom"/>
          </w:tcPr>
          <w:p>
            <w:pPr>
              <w:jc w:val="right"/>
              <w:ind w:right="870"/>
              <w:spacing w:after="0"/>
              <w:rPr>
                <w:sz w:val="20"/>
                <w:szCs w:val="20"/>
                <w:color w:val="auto"/>
              </w:rPr>
            </w:pPr>
            <w:r>
              <w:rPr>
                <w:rFonts w:ascii="Arial" w:cs="Arial" w:eastAsia="Arial" w:hAnsi="Arial"/>
                <w:sz w:val="18"/>
                <w:szCs w:val="18"/>
                <w:b w:val="1"/>
                <w:bCs w:val="1"/>
                <w:color w:val="auto"/>
              </w:rPr>
              <w:t>01-0425066</w:t>
            </w:r>
          </w:p>
        </w:tc>
      </w:tr>
      <w:tr>
        <w:trPr>
          <w:trHeight w:val="230"/>
        </w:trPr>
        <w:tc>
          <w:tcPr>
            <w:tcW w:w="4580" w:type="dxa"/>
            <w:vAlign w:val="bottom"/>
          </w:tcPr>
          <w:p>
            <w:pPr>
              <w:jc w:val="center"/>
              <w:ind w:right="1330"/>
              <w:spacing w:after="0"/>
              <w:rPr>
                <w:sz w:val="20"/>
                <w:szCs w:val="20"/>
                <w:color w:val="auto"/>
              </w:rPr>
            </w:pPr>
            <w:r>
              <w:rPr>
                <w:rFonts w:ascii="Arial" w:cs="Arial" w:eastAsia="Arial" w:hAnsi="Arial"/>
                <w:sz w:val="18"/>
                <w:szCs w:val="18"/>
                <w:color w:val="auto"/>
                <w:w w:val="92"/>
              </w:rPr>
              <w:t>(State or other jurisdiction of incorporation)</w:t>
            </w:r>
          </w:p>
        </w:tc>
        <w:tc>
          <w:tcPr>
            <w:tcW w:w="4220" w:type="dxa"/>
            <w:vAlign w:val="bottom"/>
          </w:tcPr>
          <w:p>
            <w:pPr>
              <w:jc w:val="center"/>
              <w:ind w:left="1330"/>
              <w:spacing w:after="0"/>
              <w:rPr>
                <w:sz w:val="20"/>
                <w:szCs w:val="20"/>
                <w:color w:val="auto"/>
              </w:rPr>
            </w:pPr>
            <w:r>
              <w:rPr>
                <w:rFonts w:ascii="Arial" w:cs="Arial" w:eastAsia="Arial" w:hAnsi="Arial"/>
                <w:sz w:val="18"/>
                <w:szCs w:val="18"/>
                <w:color w:val="auto"/>
                <w:w w:val="93"/>
              </w:rPr>
              <w:t>(IRS Employer Identification Number)</w:t>
            </w:r>
          </w:p>
        </w:tc>
      </w:tr>
      <w:tr>
        <w:trPr>
          <w:trHeight w:val="414"/>
        </w:trPr>
        <w:tc>
          <w:tcPr>
            <w:tcW w:w="4580" w:type="dxa"/>
            <w:vAlign w:val="bottom"/>
          </w:tcPr>
          <w:p>
            <w:pPr>
              <w:jc w:val="center"/>
              <w:ind w:right="1330"/>
              <w:spacing w:after="0"/>
              <w:rPr>
                <w:sz w:val="20"/>
                <w:szCs w:val="20"/>
                <w:color w:val="auto"/>
              </w:rPr>
            </w:pPr>
            <w:r>
              <w:rPr>
                <w:rFonts w:ascii="Arial" w:cs="Arial" w:eastAsia="Arial" w:hAnsi="Arial"/>
                <w:sz w:val="18"/>
                <w:szCs w:val="18"/>
                <w:b w:val="1"/>
                <w:bCs w:val="1"/>
                <w:color w:val="auto"/>
                <w:w w:val="91"/>
              </w:rPr>
              <w:t>500 Canal Street</w:t>
            </w:r>
          </w:p>
        </w:tc>
        <w:tc>
          <w:tcPr>
            <w:tcW w:w="4220" w:type="dxa"/>
            <w:vAlign w:val="bottom"/>
          </w:tcPr>
          <w:p>
            <w:pPr>
              <w:spacing w:after="0"/>
              <w:rPr>
                <w:sz w:val="24"/>
                <w:szCs w:val="24"/>
                <w:color w:val="auto"/>
              </w:rPr>
            </w:pPr>
          </w:p>
        </w:tc>
      </w:tr>
      <w:tr>
        <w:trPr>
          <w:trHeight w:val="220"/>
        </w:trPr>
        <w:tc>
          <w:tcPr>
            <w:tcW w:w="4580" w:type="dxa"/>
            <w:vAlign w:val="bottom"/>
          </w:tcPr>
          <w:p>
            <w:pPr>
              <w:jc w:val="center"/>
              <w:ind w:right="1330"/>
              <w:spacing w:after="0"/>
              <w:rPr>
                <w:sz w:val="20"/>
                <w:szCs w:val="20"/>
                <w:color w:val="auto"/>
              </w:rPr>
            </w:pPr>
            <w:r>
              <w:rPr>
                <w:rFonts w:ascii="Arial" w:cs="Arial" w:eastAsia="Arial" w:hAnsi="Arial"/>
                <w:sz w:val="18"/>
                <w:szCs w:val="18"/>
                <w:b w:val="1"/>
                <w:bCs w:val="1"/>
                <w:color w:val="auto"/>
                <w:w w:val="92"/>
              </w:rPr>
              <w:t>Lewiston, Maine</w:t>
            </w:r>
          </w:p>
        </w:tc>
        <w:tc>
          <w:tcPr>
            <w:tcW w:w="4220" w:type="dxa"/>
            <w:vAlign w:val="bottom"/>
          </w:tcPr>
          <w:p>
            <w:pPr>
              <w:jc w:val="right"/>
              <w:ind w:right="1090"/>
              <w:spacing w:after="0"/>
              <w:rPr>
                <w:sz w:val="20"/>
                <w:szCs w:val="20"/>
                <w:color w:val="auto"/>
              </w:rPr>
            </w:pPr>
            <w:r>
              <w:rPr>
                <w:rFonts w:ascii="Arial" w:cs="Arial" w:eastAsia="Arial" w:hAnsi="Arial"/>
                <w:sz w:val="18"/>
                <w:szCs w:val="18"/>
                <w:b w:val="1"/>
                <w:bCs w:val="1"/>
                <w:color w:val="auto"/>
              </w:rPr>
              <w:t>04240</w:t>
            </w:r>
          </w:p>
        </w:tc>
      </w:tr>
      <w:tr>
        <w:trPr>
          <w:trHeight w:val="230"/>
        </w:trPr>
        <w:tc>
          <w:tcPr>
            <w:tcW w:w="4580" w:type="dxa"/>
            <w:vAlign w:val="bottom"/>
          </w:tcPr>
          <w:p>
            <w:pPr>
              <w:jc w:val="center"/>
              <w:ind w:right="1350"/>
              <w:spacing w:after="0"/>
              <w:rPr>
                <w:sz w:val="20"/>
                <w:szCs w:val="20"/>
                <w:color w:val="auto"/>
              </w:rPr>
            </w:pPr>
            <w:r>
              <w:rPr>
                <w:rFonts w:ascii="Arial" w:cs="Arial" w:eastAsia="Arial" w:hAnsi="Arial"/>
                <w:sz w:val="18"/>
                <w:szCs w:val="18"/>
                <w:color w:val="auto"/>
                <w:w w:val="92"/>
              </w:rPr>
              <w:t>(Address of principal executive offices)</w:t>
            </w:r>
          </w:p>
        </w:tc>
        <w:tc>
          <w:tcPr>
            <w:tcW w:w="4220" w:type="dxa"/>
            <w:vAlign w:val="bottom"/>
          </w:tcPr>
          <w:p>
            <w:pPr>
              <w:jc w:val="center"/>
              <w:ind w:left="13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(207) 786-3245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Former name or former address, if changed since last Report: </w:t>
      </w:r>
      <w:r>
        <w:rPr>
          <w:rFonts w:ascii="Arial" w:cs="Arial" w:eastAsia="Arial" w:hAnsi="Arial"/>
          <w:sz w:val="18"/>
          <w:szCs w:val="18"/>
          <w:b w:val="1"/>
          <w:bCs w:val="1"/>
          <w:color w:val="auto"/>
        </w:rPr>
        <w:t>N/A</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140" w:hanging="84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1140" w:hanging="84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1140" w:hanging="84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300" w:right="3760" w:hanging="4"/>
        <w:spacing w:after="0" w:line="507" w:lineRule="auto"/>
        <w:tabs>
          <w:tab w:leader="none" w:pos="113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to communications pursuant to Rule 13e-4(c) under the Exchange Act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4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450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Voting Common Stock, $1.00 par value</w:t>
            </w:r>
          </w:p>
        </w:tc>
        <w:tc>
          <w:tcPr>
            <w:tcW w:w="22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NBN</w:t>
            </w:r>
          </w:p>
        </w:tc>
        <w:tc>
          <w:tcPr>
            <w:tcW w:w="47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ind w:right="220" w:firstLine="324"/>
        <w:spacing w:after="0" w:line="281" w:lineRule="auto"/>
        <w:rPr>
          <w:sz w:val="20"/>
          <w:szCs w:val="20"/>
          <w:color w:val="auto"/>
        </w:rPr>
      </w:pPr>
      <w:r>
        <w:rPr>
          <w:rFonts w:ascii="Arial" w:cs="Arial" w:eastAsia="Arial" w:hAnsi="Arial"/>
          <w:sz w:val="17"/>
          <w:szCs w:val="17"/>
          <w:color w:val="auto"/>
        </w:rPr>
        <w:t>As previously announced and as further discussed in this Current Report on Form 8-K (this “</w:t>
      </w:r>
      <w:r>
        <w:rPr>
          <w:rFonts w:ascii="Arial" w:cs="Arial" w:eastAsia="Arial" w:hAnsi="Arial"/>
          <w:sz w:val="17"/>
          <w:szCs w:val="17"/>
          <w:b w:val="1"/>
          <w:bCs w:val="1"/>
          <w:color w:val="auto"/>
        </w:rPr>
        <w:t>Report</w:t>
      </w:r>
      <w:r>
        <w:rPr>
          <w:rFonts w:ascii="Arial" w:cs="Arial" w:eastAsia="Arial" w:hAnsi="Arial"/>
          <w:sz w:val="17"/>
          <w:szCs w:val="17"/>
          <w:color w:val="auto"/>
        </w:rPr>
        <w:t>”), on January 7, 2019, Northeast Bancorp (the “</w:t>
      </w:r>
      <w:r>
        <w:rPr>
          <w:rFonts w:ascii="Arial" w:cs="Arial" w:eastAsia="Arial" w:hAnsi="Arial"/>
          <w:sz w:val="17"/>
          <w:szCs w:val="17"/>
          <w:b w:val="1"/>
          <w:bCs w:val="1"/>
          <w:color w:val="auto"/>
        </w:rPr>
        <w:t>Company</w:t>
      </w:r>
      <w:r>
        <w:rPr>
          <w:rFonts w:ascii="Arial" w:cs="Arial" w:eastAsia="Arial" w:hAnsi="Arial"/>
          <w:sz w:val="17"/>
          <w:szCs w:val="17"/>
          <w:color w:val="auto"/>
        </w:rPr>
        <w:t>”), as part of a plan to effect a corporate reorganization, entered into an Agreement and Plan of Merger (the “</w:t>
      </w:r>
      <w:r>
        <w:rPr>
          <w:rFonts w:ascii="Arial" w:cs="Arial" w:eastAsia="Arial" w:hAnsi="Arial"/>
          <w:sz w:val="17"/>
          <w:szCs w:val="17"/>
          <w:b w:val="1"/>
          <w:bCs w:val="1"/>
          <w:color w:val="auto"/>
        </w:rPr>
        <w:t>Plan of Merger</w:t>
      </w:r>
      <w:r>
        <w:rPr>
          <w:rFonts w:ascii="Arial" w:cs="Arial" w:eastAsia="Arial" w:hAnsi="Arial"/>
          <w:sz w:val="17"/>
          <w:szCs w:val="17"/>
          <w:color w:val="auto"/>
        </w:rPr>
        <w:t>”) with Northeast Bank (the “</w:t>
      </w:r>
      <w:r>
        <w:rPr>
          <w:rFonts w:ascii="Arial" w:cs="Arial" w:eastAsia="Arial" w:hAnsi="Arial"/>
          <w:sz w:val="17"/>
          <w:szCs w:val="17"/>
          <w:b w:val="1"/>
          <w:bCs w:val="1"/>
          <w:color w:val="auto"/>
        </w:rPr>
        <w:t>Bank</w:t>
      </w:r>
      <w:r>
        <w:rPr>
          <w:rFonts w:ascii="Arial" w:cs="Arial" w:eastAsia="Arial" w:hAnsi="Arial"/>
          <w:sz w:val="17"/>
          <w:szCs w:val="17"/>
          <w:color w:val="auto"/>
        </w:rPr>
        <w:t>”). On May 15, 2019, at the Effective Time (defined below), the Company merged with and into the Bank with the Bank continuing as the surviving entity, subject to the terms and conditions set forth in the Plan of Merger (the “</w:t>
      </w:r>
      <w:r>
        <w:rPr>
          <w:rFonts w:ascii="Arial" w:cs="Arial" w:eastAsia="Arial" w:hAnsi="Arial"/>
          <w:sz w:val="17"/>
          <w:szCs w:val="17"/>
          <w:b w:val="1"/>
          <w:bCs w:val="1"/>
          <w:color w:val="auto"/>
        </w:rPr>
        <w:t>Reorganization</w:t>
      </w:r>
      <w:r>
        <w:rPr>
          <w:rFonts w:ascii="Arial" w:cs="Arial" w:eastAsia="Arial" w:hAnsi="Arial"/>
          <w:sz w:val="17"/>
          <w:szCs w:val="17"/>
          <w:color w:val="auto"/>
        </w:rPr>
        <w:t>”).</w:t>
      </w:r>
    </w:p>
    <w:p>
      <w:pPr>
        <w:spacing w:after="0" w:line="16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On May 15, 2019, the Bank and the Company completed the Reorganization. The Reorganization was completed by the filing of Articles of Merger on May 14, 2019, which were effective as of 11:59 p.m., Eastern Time, on May 15, 2019 (the “</w:t>
      </w:r>
      <w:r>
        <w:rPr>
          <w:rFonts w:ascii="Arial" w:cs="Arial" w:eastAsia="Arial" w:hAnsi="Arial"/>
          <w:sz w:val="18"/>
          <w:szCs w:val="18"/>
          <w:b w:val="1"/>
          <w:bCs w:val="1"/>
          <w:color w:val="auto"/>
        </w:rPr>
        <w:t>Effective Time</w:t>
      </w:r>
      <w:r>
        <w:rPr>
          <w:rFonts w:ascii="Arial" w:cs="Arial" w:eastAsia="Arial" w:hAnsi="Arial"/>
          <w:sz w:val="18"/>
          <w:szCs w:val="18"/>
          <w:color w:val="auto"/>
        </w:rPr>
        <w:t>”), with the Secretary of State of the State of Maine.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the Effective Time, each share of the Company’s voting common stock, par value $1.00 per share (“</w:t>
      </w:r>
      <w:r>
        <w:rPr>
          <w:rFonts w:ascii="Arial" w:cs="Arial" w:eastAsia="Arial" w:hAnsi="Arial"/>
          <w:sz w:val="16"/>
          <w:szCs w:val="16"/>
          <w:b w:val="1"/>
          <w:bCs w:val="1"/>
          <w:color w:val="auto"/>
        </w:rPr>
        <w:t>Company Voting Common Stock</w:t>
      </w:r>
      <w:r>
        <w:rPr>
          <w:rFonts w:ascii="Arial" w:cs="Arial" w:eastAsia="Arial" w:hAnsi="Arial"/>
          <w:sz w:val="16"/>
          <w:szCs w:val="16"/>
          <w:color w:val="auto"/>
        </w:rPr>
        <w:t>”), outstanding</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immediately prior to the Effective Time was converted into the right to receive one share of the Bank’s voting common stock, par value $1.00 per share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Voting Common Stock</w:t>
      </w:r>
      <w:r>
        <w:rPr>
          <w:rFonts w:ascii="Arial" w:cs="Arial" w:eastAsia="Arial" w:hAnsi="Arial"/>
          <w:sz w:val="16"/>
          <w:szCs w:val="16"/>
          <w:color w:val="auto"/>
        </w:rPr>
        <w:t>”); and each share of the Company’s non-voting common stock, par value $1.00 per share (“</w:t>
      </w:r>
      <w:r>
        <w:rPr>
          <w:rFonts w:ascii="Arial" w:cs="Arial" w:eastAsia="Arial" w:hAnsi="Arial"/>
          <w:sz w:val="16"/>
          <w:szCs w:val="16"/>
          <w:b w:val="1"/>
          <w:bCs w:val="1"/>
          <w:color w:val="auto"/>
        </w:rPr>
        <w:t>Company Non-Voting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w:t>
      </w:r>
      <w:r>
        <w:rPr>
          <w:rFonts w:ascii="Arial" w:cs="Arial" w:eastAsia="Arial" w:hAnsi="Arial"/>
          <w:sz w:val="16"/>
          <w:szCs w:val="16"/>
          <w:color w:val="auto"/>
        </w:rPr>
        <w:t>”), outstanding immediately prior to the Effective Time was converted into the right to receive one share of the Bank’s non-voting common stock, par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$1.00 per share (“</w:t>
      </w:r>
      <w:r>
        <w:rPr>
          <w:rFonts w:ascii="Arial" w:cs="Arial" w:eastAsia="Arial" w:hAnsi="Arial"/>
          <w:sz w:val="16"/>
          <w:szCs w:val="16"/>
          <w:b w:val="1"/>
          <w:bCs w:val="1"/>
          <w:color w:val="auto"/>
        </w:rPr>
        <w:t>Bank Non-Voting Common Stock</w:t>
      </w:r>
      <w:r>
        <w:rPr>
          <w:rFonts w:ascii="Arial" w:cs="Arial" w:eastAsia="Arial" w:hAnsi="Arial"/>
          <w:sz w:val="16"/>
          <w:szCs w:val="16"/>
          <w:color w:val="auto"/>
        </w:rPr>
        <w:t>”). Accordingly, as of the Effective Time, shares of Bank Voting Common Stock and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 Non-Voting Common Stock are owned by the Bank’s shareholders in the same proportion as their ownership of shares of Company Voting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and shares of Company Non-Voting Common Stock, respectively, immediately prior to the Reorganization.</w:t>
      </w:r>
    </w:p>
    <w:p>
      <w:pPr>
        <w:spacing w:after="0" w:line="21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 addition, at the Effective Time, the Bank assumed and will continue the Company’s equity plan and will also assume all stock-based awards that were granted by the Company and that are outstanding under that plan. As a result, each of the Company’s outstanding stock-based awards have been converted into similar stock-based awards that cover the same number of shares of Bank Voting Common Stock, and with the same terms and conditions, including the same vesting, exercisability and other restrictions, which were not affected by the Reorganization. In addition, the Bank assumed all of the Company’s employee benefit plans, including retirement, health and welfare plans and fringe benefit arrangements for its employees. The Bank also assumed the Company’s change in control obligations under its agreement with Richard Wayne, President and Chief Executive Officer, and Mr. Wayne will continue to be subject to the obligations and restrictive covenants included in the agreement. The Reorganization is not a “change in control” under the agreement and no payments are due under this agreement as a result of the Reorganization.</w:t>
      </w:r>
    </w:p>
    <w:p>
      <w:pPr>
        <w:spacing w:after="0" w:line="179"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As a result of the Reorganization, as of the Effective Time, the rights of the holders of Bank Voting Common Stock and Bank Non-Voting Common Stock are now governed by the Bank’s Amended and Restated Articles of Incorporation and Amended and Restated Bylaws.</w:t>
      </w:r>
    </w:p>
    <w:p>
      <w:pPr>
        <w:spacing w:after="0" w:line="147"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The Bank has the same board of directors following the Reorganization as the Company had immediately prior thereto, and the standing committees of the board of directors of the Bank and their composition are the same as the Company immediately prior to the Reorganization. Executive officers of the Company immediately prior to the Reorganization continue to hold the same positions and titles with the Bank following the Reorganization.</w:t>
      </w:r>
    </w:p>
    <w:p>
      <w:pPr>
        <w:spacing w:after="0" w:line="14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As a Maine state-chartered bank that is not a member of the Federal Reserve System, after the Reorganization, the Bank will continue to be subject to regulation and supervision by the Federal Deposit Insurance Corporation (the “</w:t>
      </w:r>
      <w:r>
        <w:rPr>
          <w:rFonts w:ascii="Arial" w:cs="Arial" w:eastAsia="Arial" w:hAnsi="Arial"/>
          <w:sz w:val="18"/>
          <w:szCs w:val="18"/>
          <w:b w:val="1"/>
          <w:bCs w:val="1"/>
          <w:color w:val="auto"/>
        </w:rPr>
        <w:t>FDIC</w:t>
      </w:r>
      <w:r>
        <w:rPr>
          <w:rFonts w:ascii="Arial" w:cs="Arial" w:eastAsia="Arial" w:hAnsi="Arial"/>
          <w:sz w:val="18"/>
          <w:szCs w:val="18"/>
          <w:color w:val="auto"/>
        </w:rPr>
        <w:t>”) and the Maine Bureau of Financial Institutions (the “</w:t>
      </w:r>
      <w:r>
        <w:rPr>
          <w:rFonts w:ascii="Arial" w:cs="Arial" w:eastAsia="Arial" w:hAnsi="Arial"/>
          <w:sz w:val="18"/>
          <w:szCs w:val="18"/>
          <w:b w:val="1"/>
          <w:bCs w:val="1"/>
          <w:color w:val="auto"/>
        </w:rPr>
        <w:t>MBFI</w:t>
      </w:r>
      <w:r>
        <w:rPr>
          <w:rFonts w:ascii="Arial" w:cs="Arial" w:eastAsia="Arial" w:hAnsi="Arial"/>
          <w:sz w:val="18"/>
          <w:szCs w:val="18"/>
          <w:color w:val="auto"/>
        </w:rPr>
        <w:t>”). The Company, prior to the Effective Time, was subject to regulation and supervision by the Federal Reserve Board (the “</w:t>
      </w:r>
      <w:r>
        <w:rPr>
          <w:rFonts w:ascii="Arial" w:cs="Arial" w:eastAsia="Arial" w:hAnsi="Arial"/>
          <w:sz w:val="18"/>
          <w:szCs w:val="18"/>
          <w:b w:val="1"/>
          <w:bCs w:val="1"/>
          <w:color w:val="auto"/>
        </w:rPr>
        <w:t>FRB</w:t>
      </w:r>
      <w:r>
        <w:rPr>
          <w:rFonts w:ascii="Arial" w:cs="Arial" w:eastAsia="Arial" w:hAnsi="Arial"/>
          <w:sz w:val="18"/>
          <w:szCs w:val="18"/>
          <w:color w:val="auto"/>
        </w:rPr>
        <w:t>”) as a bank holding company; however, as of the Effective Time, the Bank is not subject to the FRB’s regulation and supervision (except for any such regulations as are made applicable to the Bank by law and regulations of the FDIC).</w:t>
      </w:r>
    </w:p>
    <w:p>
      <w:pPr>
        <w:spacing w:after="0" w:line="184"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color w:val="auto"/>
        </w:rPr>
        <w:t>In connection with the Reorganization, trading in shares of the Company’s Voting Common Stock on the NASDAQ Global Market (“</w:t>
      </w:r>
      <w:r>
        <w:rPr>
          <w:rFonts w:ascii="Arial" w:cs="Arial" w:eastAsia="Arial" w:hAnsi="Arial"/>
          <w:sz w:val="18"/>
          <w:szCs w:val="18"/>
          <w:b w:val="1"/>
          <w:bCs w:val="1"/>
          <w:color w:val="auto"/>
        </w:rPr>
        <w:t>NASDAQ</w:t>
      </w:r>
      <w:r>
        <w:rPr>
          <w:rFonts w:ascii="Arial" w:cs="Arial" w:eastAsia="Arial" w:hAnsi="Arial"/>
          <w:sz w:val="18"/>
          <w:szCs w:val="18"/>
          <w:color w:val="auto"/>
        </w:rPr>
        <w:t>”) has been halted effective after the close of trading on May 15, 2019, and the Bank Voting Common Stock will begin trading on NASDAQ effective May 16, 2019 under the same ticker symbol as the Company Voting Common Stock, “NBN.”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ind w:right="500" w:firstLine="324"/>
        <w:spacing w:after="0" w:line="277" w:lineRule="auto"/>
        <w:rPr>
          <w:sz w:val="20"/>
          <w:szCs w:val="20"/>
          <w:color w:val="auto"/>
        </w:rPr>
      </w:pPr>
      <w:r>
        <w:rPr>
          <w:rFonts w:ascii="Arial" w:cs="Arial" w:eastAsia="Arial" w:hAnsi="Arial"/>
          <w:sz w:val="18"/>
          <w:szCs w:val="18"/>
          <w:color w:val="auto"/>
        </w:rPr>
        <w:t>The Bank, on behalf of the Company, intends to make various filings with the SEC to deregister Company securities, including shares of Company Voting Common Stock, and eliminate the Company’s reporting obligations related thereto.</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foregoing summary of the Plan of Merger and the Reorganization does not purport to be complete and is qualified in its entirety by reference to the complete text of the Plan of Merger which is filed as Exhibit 2.1 to this Report.</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Trading in shares of the Company’s Voting Common Stock on NASDAQ has been halted. As a consequence of the Reorganization, on May 15, 2019 the Company requested that a Form 25 be filed with the SEC, to request the removal of the the Company’s Voting Common Stock from listing and registration on the NASDAQ Global Select Market and from registration under Section 12(b) of the Securities Exchange Act of 1934 (the “</w:t>
      </w:r>
      <w:r>
        <w:rPr>
          <w:rFonts w:ascii="Arial" w:cs="Arial" w:eastAsia="Arial" w:hAnsi="Arial"/>
          <w:sz w:val="17"/>
          <w:szCs w:val="17"/>
          <w:b w:val="1"/>
          <w:bCs w:val="1"/>
          <w:color w:val="auto"/>
        </w:rPr>
        <w:t>Exchange Act</w:t>
      </w:r>
      <w:r>
        <w:rPr>
          <w:rFonts w:ascii="Arial" w:cs="Arial" w:eastAsia="Arial" w:hAnsi="Arial"/>
          <w:sz w:val="17"/>
          <w:szCs w:val="17"/>
          <w:color w:val="auto"/>
        </w:rPr>
        <w:t>”). The Company intends to file with the SEC a certification on Form 15 under the Exchange Act requesting the termination of the registration of the Company’s Voting Common Stock under Section 12(g) of the Exchange Act and the suspension of the Company’s reporting obligations under Sections 13 and 15(d) of the Exchange Act. The disclosure set forth in Item 2.01 is incorporated herein by reference.</w:t>
      </w:r>
    </w:p>
    <w:p>
      <w:pPr>
        <w:spacing w:after="0" w:line="1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229"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At the effective time of the Reorganization, shareholders of the Company immediately prior to the completion of the Reorganization ceased to have any rights as shareholders of the Company other than the right to receive shares of Bank Voting Common Stock and Bank Non-Voting Common Stock in accordance with the Plan of Merger. The disclosure set forth in Item 2.01, Item 3.01 and Item 5.03 is incorporated herein by reference.</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5.01.</w:t>
      </w:r>
      <w:r>
        <w:rPr>
          <w:sz w:val="20"/>
          <w:szCs w:val="20"/>
          <w:color w:val="auto"/>
        </w:rPr>
        <w:tab/>
      </w:r>
      <w:r>
        <w:rPr>
          <w:rFonts w:ascii="Arial" w:cs="Arial" w:eastAsia="Arial" w:hAnsi="Arial"/>
          <w:sz w:val="16"/>
          <w:szCs w:val="16"/>
          <w:b w:val="1"/>
          <w:bCs w:val="1"/>
          <w:color w:val="auto"/>
        </w:rPr>
        <w:t>Changes in Control of Registrant.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disclosure set forth in Item 2.01 and Item 5.02 is incorporated herein by reference.</w:t>
      </w:r>
    </w:p>
    <w:p>
      <w:pPr>
        <w:spacing w:after="0" w:line="221" w:lineRule="exact"/>
        <w:rPr>
          <w:sz w:val="20"/>
          <w:szCs w:val="20"/>
          <w:color w:val="auto"/>
        </w:rPr>
      </w:pPr>
    </w:p>
    <w:p>
      <w:pPr>
        <w:ind w:left="1160" w:right="10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r>
        <w:rPr>
          <w:rFonts w:ascii="Arial" w:cs="Arial" w:eastAsia="Arial" w:hAnsi="Arial"/>
          <w:sz w:val="18"/>
          <w:szCs w:val="18"/>
          <w:color w:val="auto"/>
        </w:rPr>
        <w:t>.</w:t>
      </w:r>
    </w:p>
    <w:p>
      <w:pPr>
        <w:spacing w:after="0" w:line="16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As of the effective time of the Reorganization, the Company’s directors and executive officers ceased serving as directors and executive officers of the Company.</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As of the effective time of the Reorganization, the Company’s amended certificate of incorporation and the Company’s amended and restated bylaws ceased to be in effect by operation of law. The Bank’s amended and restated certificate of incorporation and amended and restated bylaws adopted in connection with the Plan of Merger are the certificate of incorporation and bylaws of the Bank (as the surviving corporation in the Reorganization) as of the Effective Time.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disclosure set forth in Item 2.01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 w:name="page4"/>
    <w:bookmarkEnd w:id="3"/>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 is included with this report:</w:t>
      </w:r>
    </w:p>
    <w:p>
      <w:pPr>
        <w:spacing w:after="0" w:line="225" w:lineRule="exact"/>
        <w:rPr>
          <w:sz w:val="20"/>
          <w:szCs w:val="20"/>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ind w:left="1460" w:hanging="648"/>
        <w:spacing w:after="0" w:line="274" w:lineRule="auto"/>
        <w:rPr>
          <w:rFonts w:ascii="Arial" w:cs="Arial" w:eastAsia="Arial" w:hAnsi="Arial"/>
          <w:sz w:val="17"/>
          <w:szCs w:val="17"/>
          <w:u w:val="single" w:color="auto"/>
          <w:color w:val="0000EE"/>
        </w:rPr>
      </w:pPr>
      <w:r>
        <w:rPr>
          <w:rFonts w:ascii="Arial" w:cs="Arial" w:eastAsia="Arial" w:hAnsi="Arial"/>
          <w:sz w:val="18"/>
          <w:szCs w:val="18"/>
          <w:color w:val="auto"/>
        </w:rPr>
        <w:t>2.1</w:t>
      </w:r>
      <w:hyperlink r:id="rId13">
        <w:r>
          <w:rPr>
            <w:rFonts w:ascii="Arial" w:cs="Arial" w:eastAsia="Arial" w:hAnsi="Arial"/>
            <w:sz w:val="17"/>
            <w:szCs w:val="17"/>
            <w:u w:val="single" w:color="auto"/>
            <w:color w:val="0000EE"/>
          </w:rPr>
          <w:t>Agreement and Plan of Merger, dated as of January 7, 2019, by and between Northeast Bank and Northeast Bancorp (incorporated herein</w:t>
        </w:r>
      </w:hyperlink>
      <w:r>
        <w:rPr>
          <w:rFonts w:ascii="Arial" w:cs="Arial" w:eastAsia="Arial" w:hAnsi="Arial"/>
          <w:sz w:val="17"/>
          <w:szCs w:val="17"/>
          <w:u w:val="single" w:color="auto"/>
          <w:color w:val="0000EE"/>
        </w:rPr>
        <w:t xml:space="preserve"> </w:t>
      </w:r>
      <w:hyperlink r:id="rId13">
        <w:r>
          <w:rPr>
            <w:rFonts w:ascii="Arial" w:cs="Arial" w:eastAsia="Arial" w:hAnsi="Arial"/>
            <w:sz w:val="17"/>
            <w:szCs w:val="17"/>
            <w:u w:val="single" w:color="auto"/>
            <w:color w:val="0000EE"/>
          </w:rPr>
          <w:t>by reference to Exhibit 2.1 of the Current Report on Form 8-K, filed by Northeast Bancorp on January 7, 2019).</w:t>
        </w:r>
      </w:hyperlink>
    </w:p>
    <w:p>
      <w:pPr>
        <w:ind w:left="820"/>
        <w:spacing w:after="0"/>
        <w:rPr>
          <w:rFonts w:ascii="Arial" w:cs="Arial" w:eastAsia="Arial" w:hAnsi="Arial"/>
          <w:sz w:val="15"/>
          <w:szCs w:val="15"/>
          <w:u w:val="single" w:color="auto"/>
          <w:color w:val="0000EE"/>
        </w:rPr>
      </w:pPr>
      <w:r>
        <w:rPr>
          <w:rFonts w:ascii="Arial" w:cs="Arial" w:eastAsia="Arial" w:hAnsi="Arial"/>
          <w:sz w:val="18"/>
          <w:szCs w:val="18"/>
          <w:color w:val="auto"/>
        </w:rPr>
        <w:t>99.1</w:t>
      </w:r>
      <w:hyperlink w:anchor="page6">
        <w:r>
          <w:rPr>
            <w:rFonts w:ascii="Arial" w:cs="Arial" w:eastAsia="Arial" w:hAnsi="Arial"/>
            <w:sz w:val="15"/>
            <w:szCs w:val="15"/>
            <w:u w:val="single" w:color="auto"/>
            <w:color w:val="0000EE"/>
          </w:rPr>
          <w:t>Press Release dated May 16, 2019</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hereunder duly authorized.</w:t>
      </w:r>
    </w:p>
    <w:p>
      <w:pPr>
        <w:spacing w:after="0" w:line="387" w:lineRule="exact"/>
        <w:rPr>
          <w:sz w:val="20"/>
          <w:szCs w:val="20"/>
          <w:color w:val="auto"/>
        </w:rPr>
      </w:pPr>
    </w:p>
    <w:tbl>
      <w:tblPr>
        <w:tblLayout w:type="fixed"/>
        <w:tblInd w:w="528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Northeast Bank, as successor by merger to Northeast Bancorp</w:t>
            </w:r>
          </w:p>
        </w:tc>
      </w:tr>
      <w:tr>
        <w:trPr>
          <w:trHeight w:val="648"/>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Wayne</w:t>
            </w:r>
          </w:p>
        </w:tc>
      </w:tr>
      <w:tr>
        <w:trPr>
          <w:trHeight w:val="195"/>
        </w:trPr>
        <w:tc>
          <w:tcPr>
            <w:tcW w:w="10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Richard Wayne</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16, 2019</w:t>
      </w:r>
    </w:p>
    <w:p>
      <w:pPr>
        <w:sectPr>
          <w:pgSz w:w="11900" w:h="16838" w:orient="portrait"/>
          <w:cols w:equalWidth="0" w:num="1">
            <w:col w:w="11420"/>
          </w:cols>
          <w:pgMar w:left="240" w:top="58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-119380</wp:posOffset>
            </wp:positionV>
            <wp:extent cx="1741170" cy="617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741170" cy="6172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Richard Wayne,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Northeast Bank, 500 Canal Street, Lewiston, ME 04240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207.786.3245 ext. 3203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www.northeastbank.com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Northeast Bancorp and Northeast Bank Complete Corporate Reorganization</w:t>
      </w:r>
    </w:p>
    <w:p>
      <w:pPr>
        <w:spacing w:after="0" w:line="21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Lewiston, ME (May 16, 2019) – Northeast Bancorp (the “Company”) and Northeast Bank (the “Bank”) today announced that they have closed the previously announced merger of the Company with and into the Bank, with the Bank continuing as the surviving entity (the “Reorganization”). As a result of the Reorganization, the Company’s bank holding company structure was eliminated and the Bank is now the top-level company in the organization.</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effective time of the Reorganization, each outstanding share of voting and non-voting common stock of the Company, par value $1.00 per share, respectively, was canceled and converted into the right to receive one share of voting and non-voting common stock, respectively, of the Bank. As a result, the shares of the Bank’s common stock will be owned directly by the Company’s shareholders in the same proportion as their ownership of the Company’s common stock immediately prior to the Reorganization.</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As a result of the Reorganization, the Bank is now a publicly-traded company listed on the NASDAQ Global Market (“NASDAQ”) and will trade, beginning on May 16, 2019, under the same ticker symbol formerly used by the Company, “NBN.” The Bank’s common stock also will be registered under the Securities Exchange Act of 1934 (the “Exchange Act”), which vests the Federal Deposit Insurance Corporation (the “FDIC”) with the power to administer and enforce certain sections of the Exchange Act applicable to banks. Following the Reorganization, the Bank will file periodic and current reports and other materials required by the Exchange Act with the FDIC, and the Company will no longer file these reports and materials with the Securities and Exchange Commission (the “SEC”). Such reports will be available to the public on the FDIC’s Securities Exchange Act Filings System at </w:t>
      </w:r>
      <w:r>
        <w:rPr>
          <w:rFonts w:ascii="Arial" w:cs="Arial" w:eastAsia="Arial" w:hAnsi="Arial"/>
          <w:sz w:val="18"/>
          <w:szCs w:val="18"/>
          <w:i w:val="1"/>
          <w:iCs w:val="1"/>
          <w:color w:val="auto"/>
        </w:rPr>
        <w:t>www.FDIC.gov</w:t>
      </w:r>
      <w:r>
        <w:rPr>
          <w:rFonts w:ascii="Arial" w:cs="Arial" w:eastAsia="Arial" w:hAnsi="Arial"/>
          <w:sz w:val="18"/>
          <w:szCs w:val="18"/>
          <w:color w:val="auto"/>
        </w:rPr>
        <w:t xml:space="preserve"> and on our website at </w:t>
      </w:r>
      <w:r>
        <w:rPr>
          <w:rFonts w:ascii="Arial" w:cs="Arial" w:eastAsia="Arial" w:hAnsi="Arial"/>
          <w:sz w:val="18"/>
          <w:szCs w:val="18"/>
          <w:i w:val="1"/>
          <w:iCs w:val="1"/>
          <w:color w:val="auto"/>
        </w:rPr>
        <w:t>www.northeastbank.com.</w:t>
      </w:r>
    </w:p>
    <w:p>
      <w:pPr>
        <w:spacing w:after="0" w:line="18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Bank has the same board of directors following the Reorganization as the Company had immediately prior to the Reorganization, and the executive officers of the Company immediately prior to the Reorganization continue to hold the same positions and titles at the Bank following the Reorganization.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Northeast Bank</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Northeast Bank (NASDAQ: NBN) is a full-service bank headquartered in Lewiston, Maine. We offer personal and business banking services to the Maine market via ten branches. Our Loan Acquisition and Servicing Group purchases and originates commercial loans on a nationwide basis and our SBA Division supports the needs of growing businesses nationally. ableBanking, a division of Northeast Bank, offers online savings products to consumers nationwide. Information regarding Northeast Bank can be found at </w:t>
      </w:r>
      <w:r>
        <w:rPr>
          <w:rFonts w:ascii="Arial" w:cs="Arial" w:eastAsia="Arial" w:hAnsi="Arial"/>
          <w:sz w:val="18"/>
          <w:szCs w:val="18"/>
          <w:i w:val="1"/>
          <w:iCs w:val="1"/>
          <w:color w:val="auto"/>
        </w:rPr>
        <w:t>www.northeastbank.com</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Section 27A of the Securities Act of 1933, as amended, and Section 21E of the Exchange Act, and are intended to be covered by the safe harbor provisions of the Private Securities Litigation Reform Act of 1995. Although the Bank believes that these forward-looking statements are based on reasonable estimates and assumptions, they are not guarantees of future performance and are subject to known and unknown risks, uncertainties, and other factors. You should not place undue reliance on our forward-looking statements. You should exercise caution in interpreting and relying on forward-looking statements because they are subject to significant risks, uncertainties and other factors which are, in some cases, beyond the Bank’s control. These factors may include, but are not limited to, the possibility that any of the anticipated benefits of the Reorganization will not be realized or will not be realized as expected; the impact of all other factors generally understood to affect the assets, business, cash flows, financial condition, liquidity, prospects and/or results of operations of financial services companies; and the other risks and uncertainties detailed in the Company’s Annual Report on Form 10-K and updated by the Company’s Quarterly Reports on Form 10-Q and other filings submitted to the SEC. These statements speak only as of the date of this release and the Bank does not undertake any obligation to update or revise any of these forward-looking statements to reflect events or circumstances occurring after the date of this communication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NBN-F</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jpeg"/><Relationship Id="rId13" Type="http://schemas.openxmlformats.org/officeDocument/2006/relationships/hyperlink" Target="http://www.sec.gov/Archives/edgar/data/811831/000143774919000404/ex_1324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2019-12-28T11:55:49Z</dcterms:created>
  <dcterms:modified xsi:type="dcterms:W3CDTF">2019-12-28T11:55:49Z</dcterms:modified>
</cp:coreProperties>
</file>