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22">
        <w:r>
          <w:rPr>
            <w:rFonts w:ascii="Arial" w:cs="Arial" w:eastAsia="Arial" w:hAnsi="Arial"/>
            <w:sz w:val="22"/>
            <w:szCs w:val="22"/>
            <w:u w:val="single" w:color="auto"/>
            <w:color w:val="0000EE"/>
          </w:rPr>
          <w:t>PART IV</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216" w:lineRule="exact"/>
        <w:rPr>
          <w:sz w:val="24"/>
          <w:szCs w:val="24"/>
          <w:color w:val="auto"/>
        </w:rPr>
      </w:pPr>
    </w:p>
    <w:p>
      <w:pPr>
        <w:ind w:left="960" w:right="760" w:hanging="655"/>
        <w:spacing w:after="0" w:line="256" w:lineRule="auto"/>
        <w:tabs>
          <w:tab w:leader="none" w:pos="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June 30, 2015</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16" w:lineRule="exact"/>
        <w:rPr>
          <w:sz w:val="24"/>
          <w:szCs w:val="24"/>
          <w:color w:val="auto"/>
        </w:rPr>
      </w:pPr>
    </w:p>
    <w:p>
      <w:pPr>
        <w:ind w:left="960" w:right="300" w:hanging="614"/>
        <w:spacing w:after="0" w:line="256" w:lineRule="auto"/>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4" w:lineRule="exact"/>
        <w:rPr>
          <w:sz w:val="24"/>
          <w:szCs w:val="24"/>
          <w:color w:val="auto"/>
        </w:rPr>
      </w:pPr>
    </w:p>
    <w:p>
      <w:pPr>
        <w:ind w:left="4280"/>
        <w:spacing w:after="0"/>
        <w:tabs>
          <w:tab w:leader="none" w:pos="64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(1-14588)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137160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NORTHEAST BANCORP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2580" w:type="dxa"/>
        <w:tblCellMar>
          <w:top w:w="0" w:type="dxa"/>
          <w:left w:w="0" w:type="dxa"/>
          <w:bottom w:w="0" w:type="dxa"/>
          <w:right w:w="0" w:type="dxa"/>
        </w:tblCellMar>
      </w:tblPr>
      <w:tr>
        <w:trPr>
          <w:trHeight w:val="161"/>
        </w:trPr>
        <w:tc>
          <w:tcPr>
            <w:tcW w:w="370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0"/>
              </w:rPr>
              <w:t>Maine</w:t>
            </w:r>
          </w:p>
        </w:tc>
        <w:tc>
          <w:tcPr>
            <w:tcW w:w="2560" w:type="dxa"/>
            <w:vAlign w:val="bottom"/>
          </w:tcPr>
          <w:p>
            <w:pPr>
              <w:jc w:val="right"/>
              <w:ind w:right="1572"/>
              <w:spacing w:after="0"/>
              <w:rPr>
                <w:sz w:val="20"/>
                <w:szCs w:val="20"/>
                <w:color w:val="auto"/>
              </w:rPr>
            </w:pPr>
            <w:r>
              <w:rPr>
                <w:rFonts w:ascii="Arial" w:cs="Arial" w:eastAsia="Arial" w:hAnsi="Arial"/>
                <w:sz w:val="14"/>
                <w:szCs w:val="14"/>
                <w:b w:val="1"/>
                <w:bCs w:val="1"/>
                <w:color w:val="auto"/>
              </w:rPr>
              <w:t>01-0425066</w:t>
            </w:r>
          </w:p>
        </w:tc>
      </w:tr>
      <w:tr>
        <w:trPr>
          <w:trHeight w:val="149"/>
        </w:trPr>
        <w:tc>
          <w:tcPr>
            <w:tcW w:w="3700" w:type="dxa"/>
            <w:vAlign w:val="bottom"/>
            <w:gridSpan w:val="2"/>
          </w:tcPr>
          <w:p>
            <w:pPr>
              <w:jc w:val="center"/>
              <w:ind w:left="152"/>
              <w:spacing w:after="0" w:line="149" w:lineRule="exact"/>
              <w:rPr>
                <w:sz w:val="20"/>
                <w:szCs w:val="20"/>
                <w:color w:val="auto"/>
              </w:rPr>
            </w:pPr>
            <w:r>
              <w:rPr>
                <w:rFonts w:ascii="Arial" w:cs="Arial" w:eastAsia="Arial" w:hAnsi="Arial"/>
                <w:sz w:val="14"/>
                <w:szCs w:val="14"/>
                <w:color w:val="auto"/>
                <w:w w:val="89"/>
              </w:rPr>
              <w:t>(State or other jurisdiction of</w:t>
            </w:r>
          </w:p>
        </w:tc>
        <w:tc>
          <w:tcPr>
            <w:tcW w:w="2560" w:type="dxa"/>
            <w:vAlign w:val="bottom"/>
          </w:tcPr>
          <w:p>
            <w:pPr>
              <w:jc w:val="center"/>
              <w:ind w:right="12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3700" w:type="dxa"/>
            <w:vAlign w:val="bottom"/>
            <w:gridSpan w:val="2"/>
          </w:tcPr>
          <w:p>
            <w:pPr>
              <w:jc w:val="center"/>
              <w:ind w:left="172"/>
              <w:spacing w:after="0"/>
              <w:rPr>
                <w:sz w:val="20"/>
                <w:szCs w:val="20"/>
                <w:color w:val="auto"/>
              </w:rPr>
            </w:pPr>
            <w:r>
              <w:rPr>
                <w:rFonts w:ascii="Arial" w:cs="Arial" w:eastAsia="Arial" w:hAnsi="Arial"/>
                <w:sz w:val="14"/>
                <w:szCs w:val="14"/>
                <w:color w:val="auto"/>
                <w:w w:val="88"/>
              </w:rPr>
              <w:t>incorporation or organization)</w:t>
            </w:r>
          </w:p>
        </w:tc>
        <w:tc>
          <w:tcPr>
            <w:tcW w:w="2560" w:type="dxa"/>
            <w:vAlign w:val="bottom"/>
          </w:tcPr>
          <w:p>
            <w:pPr>
              <w:jc w:val="center"/>
              <w:ind w:right="1292"/>
              <w:spacing w:after="0"/>
              <w:rPr>
                <w:sz w:val="20"/>
                <w:szCs w:val="20"/>
                <w:color w:val="auto"/>
              </w:rPr>
            </w:pPr>
            <w:r>
              <w:rPr>
                <w:rFonts w:ascii="Arial" w:cs="Arial" w:eastAsia="Arial" w:hAnsi="Arial"/>
                <w:sz w:val="14"/>
                <w:szCs w:val="14"/>
                <w:color w:val="auto"/>
                <w:w w:val="91"/>
              </w:rPr>
              <w:t>Identification No.)</w:t>
            </w:r>
          </w:p>
        </w:tc>
      </w:tr>
      <w:tr>
        <w:trPr>
          <w:trHeight w:val="368"/>
        </w:trPr>
        <w:tc>
          <w:tcPr>
            <w:tcW w:w="370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8"/>
              </w:rPr>
              <w:t>500 Canal Street, Lewiston, Maine</w:t>
            </w:r>
          </w:p>
        </w:tc>
        <w:tc>
          <w:tcPr>
            <w:tcW w:w="2560" w:type="dxa"/>
            <w:vAlign w:val="bottom"/>
          </w:tcPr>
          <w:p>
            <w:pPr>
              <w:jc w:val="right"/>
              <w:ind w:right="1712"/>
              <w:spacing w:after="0"/>
              <w:rPr>
                <w:sz w:val="20"/>
                <w:szCs w:val="20"/>
                <w:color w:val="auto"/>
              </w:rPr>
            </w:pPr>
            <w:r>
              <w:rPr>
                <w:rFonts w:ascii="Arial" w:cs="Arial" w:eastAsia="Arial" w:hAnsi="Arial"/>
                <w:sz w:val="14"/>
                <w:szCs w:val="14"/>
                <w:b w:val="1"/>
                <w:bCs w:val="1"/>
                <w:color w:val="auto"/>
              </w:rPr>
              <w:t>04240</w:t>
            </w:r>
          </w:p>
        </w:tc>
      </w:tr>
      <w:tr>
        <w:trPr>
          <w:trHeight w:val="149"/>
        </w:trPr>
        <w:tc>
          <w:tcPr>
            <w:tcW w:w="370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w w:val="89"/>
              </w:rPr>
              <w:t>(Address of principal executive</w:t>
            </w:r>
          </w:p>
        </w:tc>
        <w:tc>
          <w:tcPr>
            <w:tcW w:w="2560" w:type="dxa"/>
            <w:vAlign w:val="bottom"/>
          </w:tcPr>
          <w:p>
            <w:pPr>
              <w:jc w:val="center"/>
              <w:ind w:right="1292"/>
              <w:spacing w:after="0" w:line="149" w:lineRule="exact"/>
              <w:rPr>
                <w:sz w:val="20"/>
                <w:szCs w:val="20"/>
                <w:color w:val="auto"/>
              </w:rPr>
            </w:pPr>
            <w:r>
              <w:rPr>
                <w:rFonts w:ascii="Arial" w:cs="Arial" w:eastAsia="Arial" w:hAnsi="Arial"/>
                <w:sz w:val="14"/>
                <w:szCs w:val="14"/>
                <w:color w:val="auto"/>
                <w:w w:val="90"/>
              </w:rPr>
              <w:t>(Zip Code)</w:t>
            </w:r>
          </w:p>
        </w:tc>
      </w:tr>
      <w:tr>
        <w:trPr>
          <w:trHeight w:val="172"/>
        </w:trPr>
        <w:tc>
          <w:tcPr>
            <w:tcW w:w="3700" w:type="dxa"/>
            <w:vAlign w:val="bottom"/>
            <w:gridSpan w:val="2"/>
          </w:tcPr>
          <w:p>
            <w:pPr>
              <w:jc w:val="center"/>
              <w:ind w:left="172"/>
              <w:spacing w:after="0"/>
              <w:rPr>
                <w:sz w:val="20"/>
                <w:szCs w:val="20"/>
                <w:color w:val="auto"/>
              </w:rPr>
            </w:pPr>
            <w:r>
              <w:rPr>
                <w:rFonts w:ascii="Arial" w:cs="Arial" w:eastAsia="Arial" w:hAnsi="Arial"/>
                <w:sz w:val="14"/>
                <w:szCs w:val="14"/>
                <w:color w:val="auto"/>
                <w:w w:val="92"/>
              </w:rPr>
              <w:t>offices)</w:t>
            </w:r>
          </w:p>
        </w:tc>
        <w:tc>
          <w:tcPr>
            <w:tcW w:w="2560" w:type="dxa"/>
            <w:vAlign w:val="bottom"/>
          </w:tcPr>
          <w:p>
            <w:pPr>
              <w:spacing w:after="0"/>
              <w:rPr>
                <w:sz w:val="14"/>
                <w:szCs w:val="14"/>
                <w:color w:val="auto"/>
              </w:rPr>
            </w:pPr>
          </w:p>
        </w:tc>
      </w:tr>
      <w:tr>
        <w:trPr>
          <w:trHeight w:val="339"/>
        </w:trPr>
        <w:tc>
          <w:tcPr>
            <w:tcW w:w="6260" w:type="dxa"/>
            <w:vAlign w:val="bottom"/>
            <w:gridSpan w:val="3"/>
          </w:tcPr>
          <w:p>
            <w:pPr>
              <w:jc w:val="center"/>
              <w:spacing w:after="0"/>
              <w:rPr>
                <w:sz w:val="20"/>
                <w:szCs w:val="20"/>
                <w:color w:val="auto"/>
              </w:rPr>
            </w:pPr>
            <w:r>
              <w:rPr>
                <w:rFonts w:ascii="Arial" w:cs="Arial" w:eastAsia="Arial" w:hAnsi="Arial"/>
                <w:sz w:val="14"/>
                <w:szCs w:val="14"/>
                <w:color w:val="auto"/>
                <w:w w:val="86"/>
              </w:rPr>
              <w:t>Registrant's telephone number, including area code:</w:t>
            </w:r>
          </w:p>
        </w:tc>
      </w:tr>
      <w:tr>
        <w:trPr>
          <w:trHeight w:val="174"/>
        </w:trPr>
        <w:tc>
          <w:tcPr>
            <w:tcW w:w="3700" w:type="dxa"/>
            <w:vAlign w:val="bottom"/>
            <w:gridSpan w:val="2"/>
          </w:tcPr>
          <w:p>
            <w:pPr>
              <w:jc w:val="center"/>
              <w:ind w:left="2512"/>
              <w:spacing w:after="0"/>
              <w:rPr>
                <w:sz w:val="20"/>
                <w:szCs w:val="20"/>
                <w:color w:val="auto"/>
              </w:rPr>
            </w:pPr>
            <w:r>
              <w:rPr>
                <w:rFonts w:ascii="Arial" w:cs="Arial" w:eastAsia="Arial" w:hAnsi="Arial"/>
                <w:sz w:val="14"/>
                <w:szCs w:val="14"/>
                <w:b w:val="1"/>
                <w:bCs w:val="1"/>
                <w:color w:val="auto"/>
                <w:w w:val="87"/>
              </w:rPr>
              <w:t>(207) 786-3245</w:t>
            </w:r>
          </w:p>
        </w:tc>
        <w:tc>
          <w:tcPr>
            <w:tcW w:w="2560" w:type="dxa"/>
            <w:vAlign w:val="bottom"/>
          </w:tcPr>
          <w:p>
            <w:pPr>
              <w:spacing w:after="0"/>
              <w:rPr>
                <w:sz w:val="15"/>
                <w:szCs w:val="15"/>
                <w:color w:val="auto"/>
              </w:rPr>
            </w:pPr>
          </w:p>
        </w:tc>
      </w:tr>
      <w:tr>
        <w:trPr>
          <w:trHeight w:val="365"/>
        </w:trPr>
        <w:tc>
          <w:tcPr>
            <w:tcW w:w="6260" w:type="dxa"/>
            <w:vAlign w:val="bottom"/>
            <w:gridSpan w:val="3"/>
          </w:tcPr>
          <w:p>
            <w:pPr>
              <w:jc w:val="center"/>
              <w:spacing w:after="0"/>
              <w:rPr>
                <w:sz w:val="20"/>
                <w:szCs w:val="20"/>
                <w:color w:val="auto"/>
              </w:rPr>
            </w:pPr>
            <w:r>
              <w:rPr>
                <w:rFonts w:ascii="Arial" w:cs="Arial" w:eastAsia="Arial" w:hAnsi="Arial"/>
                <w:sz w:val="14"/>
                <w:szCs w:val="14"/>
                <w:color w:val="auto"/>
                <w:w w:val="87"/>
              </w:rPr>
              <w:t>Securities registered pursuant to Section 12(b) of the Act:</w:t>
            </w:r>
          </w:p>
        </w:tc>
      </w:tr>
      <w:tr>
        <w:trPr>
          <w:trHeight w:val="339"/>
        </w:trPr>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61"/>
        </w:trPr>
        <w:tc>
          <w:tcPr>
            <w:tcW w:w="37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4"/>
              </w:rPr>
              <w:t>Title of each class: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registered:</w:t>
            </w:r>
          </w:p>
        </w:tc>
      </w:tr>
      <w:tr>
        <w:trPr>
          <w:trHeight w:val="166"/>
        </w:trPr>
        <w:tc>
          <w:tcPr>
            <w:tcW w:w="2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Voting Common Stock, $1.00 par value</w:t>
            </w:r>
          </w:p>
        </w:tc>
        <w:tc>
          <w:tcPr>
            <w:tcW w:w="1140" w:type="dxa"/>
            <w:vAlign w:val="bottom"/>
          </w:tcPr>
          <w:p>
            <w:pPr>
              <w:spacing w:after="0"/>
              <w:rPr>
                <w:sz w:val="14"/>
                <w:szCs w:val="14"/>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The NASDAQ Stock Market LLC</w:t>
            </w:r>
          </w:p>
        </w:tc>
      </w:tr>
    </w:tbl>
    <w:p>
      <w:pPr>
        <w:spacing w:after="0" w:line="181" w:lineRule="exact"/>
        <w:rPr>
          <w:sz w:val="24"/>
          <w:szCs w:val="24"/>
          <w:color w:val="auto"/>
        </w:rPr>
      </w:pPr>
    </w:p>
    <w:p>
      <w:pPr>
        <w:jc w:val="center"/>
        <w:ind w:left="340"/>
        <w:spacing w:after="0"/>
        <w:rPr>
          <w:sz w:val="20"/>
          <w:szCs w:val="20"/>
          <w:color w:val="auto"/>
        </w:rPr>
      </w:pPr>
      <w:r>
        <w:rPr>
          <w:rFonts w:ascii="Arial" w:cs="Arial" w:eastAsia="Arial" w:hAnsi="Arial"/>
          <w:sz w:val="14"/>
          <w:szCs w:val="14"/>
          <w:color w:val="auto"/>
        </w:rPr>
        <w:t>Securities registered pursuant to Section 12(g) of the Act:</w:t>
      </w: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128270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340" w:right="3840"/>
        <w:spacing w:after="0" w:line="28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o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o No </w:t>
      </w:r>
      <w:r>
        <w:rPr>
          <w:rFonts w:ascii="MS PGothic" w:cs="MS PGothic" w:eastAsia="MS PGothic" w:hAnsi="MS PGothic"/>
          <w:sz w:val="12"/>
          <w:szCs w:val="12"/>
          <w:color w:val="auto"/>
        </w:rPr>
        <w:t>☒</w:t>
      </w:r>
    </w:p>
    <w:p>
      <w:pPr>
        <w:spacing w:after="0" w:line="179" w:lineRule="exact"/>
        <w:rPr>
          <w:sz w:val="24"/>
          <w:szCs w:val="24"/>
          <w:color w:val="auto"/>
        </w:rPr>
      </w:pPr>
    </w:p>
    <w:p>
      <w:pPr>
        <w:ind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80" w:firstLine="338"/>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79" w:lineRule="exact"/>
        <w:rPr>
          <w:sz w:val="24"/>
          <w:szCs w:val="24"/>
          <w:color w:val="auto"/>
        </w:rPr>
      </w:pPr>
    </w:p>
    <w:p>
      <w:pPr>
        <w:ind w:right="360" w:firstLine="338"/>
        <w:spacing w:after="0" w:line="239"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93" w:lineRule="exact"/>
        <w:rPr>
          <w:sz w:val="24"/>
          <w:szCs w:val="24"/>
          <w:color w:val="auto"/>
        </w:rPr>
      </w:pPr>
    </w:p>
    <w:p>
      <w:pPr>
        <w:ind w:right="54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8" w:lineRule="exact"/>
        <w:rPr>
          <w:sz w:val="24"/>
          <w:szCs w:val="24"/>
          <w:color w:val="auto"/>
        </w:rPr>
      </w:pPr>
    </w:p>
    <w:p>
      <w:pPr>
        <w:ind w:left="500"/>
        <w:spacing w:after="0" w:line="161" w:lineRule="exact"/>
        <w:tabs>
          <w:tab w:leader="none" w:pos="3500" w:val="left"/>
          <w:tab w:leader="none" w:pos="6100" w:val="left"/>
          <w:tab w:leader="none" w:pos="914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204" w:lineRule="exact"/>
        <w:rPr>
          <w:sz w:val="24"/>
          <w:szCs w:val="24"/>
          <w:color w:val="auto"/>
        </w:rPr>
      </w:pPr>
    </w:p>
    <w:p>
      <w:pPr>
        <w:ind w:left="340"/>
        <w:spacing w:after="0" w:line="138" w:lineRule="exact"/>
        <w:tabs>
          <w:tab w:leader="none" w:pos="63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ectPr>
          <w:pgSz w:w="11900" w:h="16838" w:orient="portrait"/>
          <w:cols w:equalWidth="0" w:num="1">
            <w:col w:w="11420"/>
          </w:cols>
          <w:pgMar w:left="240" w:top="685" w:right="239" w:bottom="0" w:gutter="0" w:footer="0" w:header="0"/>
        </w:sectPr>
      </w:pPr>
    </w:p>
    <w:bookmarkStart w:id="1" w:name="page2"/>
    <w:bookmarkEnd w:id="1"/>
    <w:p>
      <w:pPr>
        <w:ind w:right="80" w:firstLine="335"/>
        <w:spacing w:after="0" w:line="239" w:lineRule="auto"/>
        <w:rPr>
          <w:sz w:val="20"/>
          <w:szCs w:val="20"/>
          <w:color w:val="auto"/>
        </w:rPr>
      </w:pPr>
      <w:r>
        <w:rPr>
          <w:rFonts w:ascii="Arial" w:cs="Arial" w:eastAsia="Arial" w:hAnsi="Arial"/>
          <w:sz w:val="14"/>
          <w:szCs w:val="14"/>
          <w:color w:val="auto"/>
        </w:rPr>
        <w:t>The aggregate market value of the registrant's voting and non-voting common stock held by non-affiliates, computed by reference to the last reported sales price of the registrant's voting common stock on the NASDAQ Global Market on December 31, 2014 was approximately $65,212,768.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As of September 18, 2015, the registrant had outstanding 8,523,666 shares of voting common stock, $1.00 par value per share, and 1,012,717 shares of non-voting common stock, $1.00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150495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6" w:lineRule="exact"/>
        <w:rPr>
          <w:sz w:val="20"/>
          <w:szCs w:val="20"/>
          <w:color w:val="auto"/>
        </w:rPr>
      </w:pPr>
    </w:p>
    <w:p>
      <w:pPr>
        <w:ind w:right="220" w:firstLine="338"/>
        <w:spacing w:after="0" w:line="318" w:lineRule="auto"/>
        <w:rPr>
          <w:sz w:val="20"/>
          <w:szCs w:val="20"/>
          <w:color w:val="auto"/>
        </w:rPr>
      </w:pPr>
      <w:r>
        <w:rPr>
          <w:rFonts w:ascii="Arial" w:cs="Arial" w:eastAsia="Arial" w:hAnsi="Arial"/>
          <w:sz w:val="12"/>
          <w:szCs w:val="12"/>
          <w:color w:val="auto"/>
        </w:rPr>
        <w:t>Portions of the registrant's proxy statement for the 2015 Annual Meeting of Shareholders to be held on November 20, 2015 are incorporated by reference in Items 10, 11, 12, 13 and 14 of Part III of this Annual Report on Form 10-K. The registrant intends to file such proxy statement with the Securities and Exchange Commission no later than 120 days after the end of its fiscal year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680" w:type="dxa"/>
            <w:vAlign w:val="bottom"/>
            <w:gridSpan w:val="7"/>
          </w:tcPr>
          <w:p>
            <w:pPr>
              <w:jc w:val="right"/>
              <w:ind w:right="420"/>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4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4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Part I.</w:t>
              </w:r>
            </w:hyperlink>
          </w:p>
        </w:tc>
        <w:tc>
          <w:tcPr>
            <w:tcW w:w="1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5">
              <w:r>
                <w:rPr>
                  <w:rFonts w:ascii="Arial" w:cs="Arial" w:eastAsia="Arial" w:hAnsi="Arial"/>
                  <w:sz w:val="16"/>
                  <w:szCs w:val="16"/>
                  <w:color w:val="0000EE"/>
                  <w:w w:val="74"/>
                </w:rPr>
                <w:t>1.</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040" w:type="dxa"/>
            <w:vAlign w:val="bottom"/>
            <w:gridSpan w:val="20"/>
          </w:tcPr>
          <w:p>
            <w:pPr>
              <w:spacing w:after="0"/>
              <w:rPr>
                <w:sz w:val="24"/>
                <w:szCs w:val="24"/>
                <w:color w:val="auto"/>
              </w:rPr>
            </w:pPr>
          </w:p>
        </w:tc>
        <w:tc>
          <w:tcPr>
            <w:tcW w:w="1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w:t>
              </w:r>
            </w:hyperlink>
          </w:p>
        </w:tc>
        <w:tc>
          <w:tcPr>
            <w:tcW w:w="280" w:type="dxa"/>
            <w:vAlign w:val="bottom"/>
            <w:tcBorders>
              <w:bottom w:val="single" w:sz="8" w:color="0000EE"/>
            </w:tcBorders>
            <w:gridSpan w:val="3"/>
          </w:tcPr>
          <w:p>
            <w:pPr>
              <w:ind w:left="20"/>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1A.</w:t>
              </w:r>
            </w:hyperlink>
          </w:p>
        </w:tc>
        <w:tc>
          <w:tcPr>
            <w:tcW w:w="220" w:type="dxa"/>
            <w:vAlign w:val="bottom"/>
          </w:tcPr>
          <w:p>
            <w:pPr>
              <w:spacing w:after="0"/>
              <w:rPr>
                <w:sz w:val="24"/>
                <w:szCs w:val="24"/>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6780" w:type="dxa"/>
            <w:vAlign w:val="bottom"/>
            <w:gridSpan w:val="17"/>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w:t>
              </w:r>
            </w:hyperlink>
          </w:p>
        </w:tc>
        <w:tc>
          <w:tcPr>
            <w:tcW w:w="500" w:type="dxa"/>
            <w:vAlign w:val="bottom"/>
            <w:gridSpan w:val="4"/>
          </w:tcPr>
          <w:p>
            <w:pPr>
              <w:ind w:left="20"/>
              <w:spacing w:after="0"/>
              <w:rPr>
                <w:rFonts w:ascii="Arial" w:cs="Arial" w:eastAsia="Arial" w:hAnsi="Arial"/>
                <w:sz w:val="18"/>
                <w:szCs w:val="18"/>
                <w:color w:val="0000EE"/>
              </w:rPr>
            </w:pPr>
            <w:hyperlink w:anchor="page34">
              <w:r>
                <w:rPr>
                  <w:rFonts w:ascii="Arial" w:cs="Arial" w:eastAsia="Arial" w:hAnsi="Arial"/>
                  <w:sz w:val="18"/>
                  <w:szCs w:val="18"/>
                  <w:color w:val="0000EE"/>
                </w:rPr>
                <w:t>1B.</w:t>
              </w:r>
            </w:hyperlink>
          </w:p>
        </w:tc>
        <w:tc>
          <w:tcPr>
            <w:tcW w:w="768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560" w:type="dxa"/>
            <w:vAlign w:val="bottom"/>
            <w:gridSpan w:val="4"/>
          </w:tcPr>
          <w:p>
            <w:pPr>
              <w:jc w:val="right"/>
              <w:ind w:right="130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000EE"/>
            </w:tcBorders>
            <w:gridSpan w:val="4"/>
          </w:tcPr>
          <w:p>
            <w:pPr>
              <w:jc w:val="right"/>
              <w:ind w:right="20"/>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w:t>
              </w:r>
            </w:hyperlink>
          </w:p>
        </w:tc>
        <w:tc>
          <w:tcPr>
            <w:tcW w:w="140" w:type="dxa"/>
            <w:vAlign w:val="bottom"/>
            <w:tcBorders>
              <w:top w:val="single" w:sz="8" w:color="0000EE"/>
            </w:tcBorders>
          </w:tcPr>
          <w:p>
            <w:pPr>
              <w:ind w:left="20"/>
              <w:spacing w:after="0"/>
              <w:rPr>
                <w:rFonts w:ascii="Arial" w:cs="Arial" w:eastAsia="Arial" w:hAnsi="Arial"/>
                <w:sz w:val="16"/>
                <w:szCs w:val="16"/>
                <w:color w:val="0000EE"/>
                <w:w w:val="74"/>
              </w:rPr>
            </w:pPr>
            <w:hyperlink w:anchor="page34">
              <w:r>
                <w:rPr>
                  <w:rFonts w:ascii="Arial" w:cs="Arial" w:eastAsia="Arial" w:hAnsi="Arial"/>
                  <w:sz w:val="16"/>
                  <w:szCs w:val="16"/>
                  <w:color w:val="0000EE"/>
                  <w:w w:val="74"/>
                </w:rPr>
                <w:t>2.</w:t>
              </w:r>
            </w:hyperlink>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Borders>
              <w:top w:val="single" w:sz="8" w:color="0000EE"/>
            </w:tcBorders>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568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34">
              <w:r>
                <w:rPr>
                  <w:rFonts w:ascii="Arial" w:cs="Arial" w:eastAsia="Arial" w:hAnsi="Arial"/>
                  <w:sz w:val="16"/>
                  <w:szCs w:val="16"/>
                  <w:color w:val="0000EE"/>
                  <w:w w:val="74"/>
                </w:rPr>
                <w:t>3.</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Legal Proceedings</w:t>
              </w:r>
            </w:hyperlink>
          </w:p>
        </w:tc>
        <w:tc>
          <w:tcPr>
            <w:tcW w:w="6360" w:type="dxa"/>
            <w:vAlign w:val="bottom"/>
            <w:gridSpan w:val="15"/>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34">
              <w:r>
                <w:rPr>
                  <w:rFonts w:ascii="Arial" w:cs="Arial" w:eastAsia="Arial" w:hAnsi="Arial"/>
                  <w:sz w:val="16"/>
                  <w:szCs w:val="16"/>
                  <w:color w:val="0000EE"/>
                  <w:w w:val="74"/>
                </w:rPr>
                <w:t>4.</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Mine Safety Disclosures</w:t>
              </w:r>
            </w:hyperlink>
          </w:p>
        </w:tc>
        <w:tc>
          <w:tcPr>
            <w:tcW w:w="5940" w:type="dxa"/>
            <w:vAlign w:val="bottom"/>
            <w:gridSpan w:val="13"/>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c>
          <w:tcPr>
            <w:tcW w:w="130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4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Part II</w:t>
              </w:r>
            </w:hyperlink>
          </w:p>
        </w:tc>
        <w:tc>
          <w:tcPr>
            <w:tcW w:w="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35">
              <w:r>
                <w:rPr>
                  <w:rFonts w:ascii="Arial" w:cs="Arial" w:eastAsia="Arial" w:hAnsi="Arial"/>
                  <w:sz w:val="16"/>
                  <w:szCs w:val="16"/>
                  <w:color w:val="0000EE"/>
                  <w:w w:val="74"/>
                </w:rPr>
                <w:t>5.</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4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Market for Registrant's Common Equity, Related Shareholder Matters and Issuer Purchases of Equity</w:t>
              </w:r>
            </w:hyperlink>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0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Securities</w:t>
              </w:r>
            </w:hyperlink>
          </w:p>
        </w:tc>
        <w:tc>
          <w:tcPr>
            <w:tcW w:w="1560" w:type="dxa"/>
            <w:vAlign w:val="bottom"/>
            <w:gridSpan w:val="4"/>
          </w:tcPr>
          <w:p>
            <w:pPr>
              <w:jc w:val="right"/>
              <w:ind w:right="130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36">
              <w:r>
                <w:rPr>
                  <w:rFonts w:ascii="Arial" w:cs="Arial" w:eastAsia="Arial" w:hAnsi="Arial"/>
                  <w:sz w:val="16"/>
                  <w:szCs w:val="16"/>
                  <w:color w:val="0000EE"/>
                  <w:w w:val="74"/>
                </w:rPr>
                <w:t>6.</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Selected Financial Data</w:t>
              </w:r>
            </w:hyperlink>
          </w:p>
        </w:tc>
        <w:tc>
          <w:tcPr>
            <w:tcW w:w="6000" w:type="dxa"/>
            <w:vAlign w:val="bottom"/>
            <w:gridSpan w:val="14"/>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38">
              <w:r>
                <w:rPr>
                  <w:rFonts w:ascii="Arial" w:cs="Arial" w:eastAsia="Arial" w:hAnsi="Arial"/>
                  <w:sz w:val="16"/>
                  <w:szCs w:val="16"/>
                  <w:color w:val="0000EE"/>
                  <w:w w:val="74"/>
                </w:rPr>
                <w:t>7.</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Management's Discussion and Analysis of Financial Condition and Results of Operations</w:t>
              </w:r>
            </w:hyperlink>
          </w:p>
        </w:tc>
        <w:tc>
          <w:tcPr>
            <w:tcW w:w="13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Item</w:t>
              </w:r>
            </w:hyperlink>
          </w:p>
        </w:tc>
        <w:tc>
          <w:tcPr>
            <w:tcW w:w="280" w:type="dxa"/>
            <w:vAlign w:val="bottom"/>
            <w:gridSpan w:val="3"/>
          </w:tcPr>
          <w:p>
            <w:pPr>
              <w:ind w:left="20"/>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7A.</w:t>
              </w:r>
            </w:hyperlink>
          </w:p>
        </w:tc>
        <w:tc>
          <w:tcPr>
            <w:tcW w:w="22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1560" w:type="dxa"/>
            <w:vAlign w:val="bottom"/>
            <w:gridSpan w:val="4"/>
          </w:tcPr>
          <w:p>
            <w:pPr>
              <w:jc w:val="right"/>
              <w:ind w:right="1300"/>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000EE"/>
              <w:bottom w:val="single" w:sz="8" w:color="0000EE"/>
            </w:tcBorders>
            <w:gridSpan w:val="4"/>
          </w:tcPr>
          <w:p>
            <w:pPr>
              <w:jc w:val="right"/>
              <w:ind w:right="20"/>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Item</w:t>
              </w:r>
            </w:hyperlink>
          </w:p>
        </w:tc>
        <w:tc>
          <w:tcPr>
            <w:tcW w:w="140" w:type="dxa"/>
            <w:vAlign w:val="bottom"/>
            <w:tcBorders>
              <w:top w:val="single" w:sz="8" w:color="0000EE"/>
              <w:bottom w:val="single" w:sz="8" w:color="0000EE"/>
            </w:tcBorders>
          </w:tcPr>
          <w:p>
            <w:pPr>
              <w:ind w:left="20"/>
              <w:spacing w:after="0"/>
              <w:rPr>
                <w:rFonts w:ascii="Arial" w:cs="Arial" w:eastAsia="Arial" w:hAnsi="Arial"/>
                <w:sz w:val="16"/>
                <w:szCs w:val="16"/>
                <w:color w:val="0000EE"/>
                <w:w w:val="74"/>
              </w:rPr>
            </w:pPr>
            <w:hyperlink w:anchor="page62">
              <w:r>
                <w:rPr>
                  <w:rFonts w:ascii="Arial" w:cs="Arial" w:eastAsia="Arial" w:hAnsi="Arial"/>
                  <w:sz w:val="16"/>
                  <w:szCs w:val="16"/>
                  <w:color w:val="0000EE"/>
                  <w:w w:val="74"/>
                </w:rPr>
                <w:t>8.</w:t>
              </w:r>
            </w:hyperlink>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24"/>
                <w:szCs w:val="24"/>
                <w:color w:val="auto"/>
              </w:rPr>
            </w:pPr>
          </w:p>
        </w:tc>
        <w:tc>
          <w:tcPr>
            <w:tcW w:w="34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61</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Item</w:t>
              </w:r>
            </w:hyperlink>
          </w:p>
        </w:tc>
        <w:tc>
          <w:tcPr>
            <w:tcW w:w="140" w:type="dxa"/>
            <w:vAlign w:val="bottom"/>
          </w:tcPr>
          <w:p>
            <w:pPr>
              <w:ind w:left="20"/>
              <w:spacing w:after="0"/>
              <w:rPr>
                <w:rFonts w:ascii="Arial" w:cs="Arial" w:eastAsia="Arial" w:hAnsi="Arial"/>
                <w:sz w:val="16"/>
                <w:szCs w:val="16"/>
                <w:color w:val="0000EE"/>
                <w:w w:val="74"/>
              </w:rPr>
            </w:pPr>
            <w:hyperlink w:anchor="page119">
              <w:r>
                <w:rPr>
                  <w:rFonts w:ascii="Arial" w:cs="Arial" w:eastAsia="Arial" w:hAnsi="Arial"/>
                  <w:sz w:val="16"/>
                  <w:szCs w:val="16"/>
                  <w:color w:val="0000EE"/>
                  <w:w w:val="74"/>
                </w:rPr>
                <w:t>9.</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Changes in and Disagreements with Accountants on Accounting and Financial Disclosure</w:t>
              </w:r>
            </w:hyperlink>
          </w:p>
        </w:tc>
        <w:tc>
          <w:tcPr>
            <w:tcW w:w="1560" w:type="dxa"/>
            <w:vAlign w:val="bottom"/>
            <w:gridSpan w:val="4"/>
          </w:tcPr>
          <w:p>
            <w:pPr>
              <w:jc w:val="right"/>
              <w:ind w:right="1300"/>
              <w:spacing w:after="0"/>
              <w:rPr>
                <w:rFonts w:ascii="Arial" w:cs="Arial" w:eastAsia="Arial" w:hAnsi="Arial"/>
                <w:sz w:val="18"/>
                <w:szCs w:val="18"/>
                <w:color w:val="0000EE"/>
                <w:w w:val="79"/>
              </w:rPr>
            </w:pPr>
            <w:hyperlink w:anchor="page119">
              <w:r>
                <w:rPr>
                  <w:rFonts w:ascii="Arial" w:cs="Arial" w:eastAsia="Arial" w:hAnsi="Arial"/>
                  <w:sz w:val="18"/>
                  <w:szCs w:val="18"/>
                  <w:color w:val="0000EE"/>
                  <w:w w:val="79"/>
                </w:rPr>
                <w:t>118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4"/>
          </w:tcPr>
          <w:p>
            <w:pPr>
              <w:jc w:val="right"/>
              <w:ind w:right="20"/>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Item</w:t>
              </w:r>
            </w:hyperlink>
          </w:p>
        </w:tc>
        <w:tc>
          <w:tcPr>
            <w:tcW w:w="220" w:type="dxa"/>
            <w:vAlign w:val="bottom"/>
            <w:tcBorders>
              <w:bottom w:val="single" w:sz="8" w:color="0000EE"/>
            </w:tcBorders>
            <w:gridSpan w:val="2"/>
          </w:tcPr>
          <w:p>
            <w:pPr>
              <w:ind w:left="20"/>
              <w:spacing w:after="0"/>
              <w:rPr>
                <w:rFonts w:ascii="Arial" w:cs="Arial" w:eastAsia="Arial" w:hAnsi="Arial"/>
                <w:sz w:val="18"/>
                <w:szCs w:val="18"/>
                <w:color w:val="0000EE"/>
                <w:w w:val="72"/>
              </w:rPr>
            </w:pPr>
            <w:hyperlink w:anchor="page119">
              <w:r>
                <w:rPr>
                  <w:rFonts w:ascii="Arial" w:cs="Arial" w:eastAsia="Arial" w:hAnsi="Arial"/>
                  <w:sz w:val="18"/>
                  <w:szCs w:val="18"/>
                  <w:color w:val="0000EE"/>
                  <w:w w:val="72"/>
                </w:rPr>
                <w:t>9A</w:t>
              </w:r>
            </w:hyperlink>
          </w:p>
        </w:tc>
        <w:tc>
          <w:tcPr>
            <w:tcW w:w="280" w:type="dxa"/>
            <w:vAlign w:val="bottom"/>
            <w:gridSpan w:val="2"/>
          </w:tcPr>
          <w:p>
            <w:pPr>
              <w:spacing w:after="0"/>
              <w:rPr>
                <w:sz w:val="24"/>
                <w:szCs w:val="24"/>
                <w:color w:val="auto"/>
              </w:rPr>
            </w:pPr>
          </w:p>
        </w:tc>
        <w:tc>
          <w:tcPr>
            <w:tcW w:w="17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Controls and Procedures</w:t>
              </w:r>
            </w:hyperlink>
          </w:p>
        </w:tc>
        <w:tc>
          <w:tcPr>
            <w:tcW w:w="5940" w:type="dxa"/>
            <w:vAlign w:val="bottom"/>
            <w:gridSpan w:val="13"/>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19">
              <w:r>
                <w:rPr>
                  <w:rFonts w:ascii="Arial" w:cs="Arial" w:eastAsia="Arial" w:hAnsi="Arial"/>
                  <w:sz w:val="18"/>
                  <w:szCs w:val="18"/>
                  <w:color w:val="0000EE"/>
                  <w:w w:val="79"/>
                </w:rPr>
                <w:t>118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120">
              <w:r>
                <w:rPr>
                  <w:rFonts w:ascii="Arial" w:cs="Arial" w:eastAsia="Arial" w:hAnsi="Arial"/>
                  <w:sz w:val="18"/>
                  <w:szCs w:val="18"/>
                  <w:color w:val="0000EE"/>
                  <w:w w:val="91"/>
                </w:rPr>
                <w:t>Item</w:t>
              </w:r>
            </w:hyperlink>
          </w:p>
        </w:tc>
        <w:tc>
          <w:tcPr>
            <w:tcW w:w="500" w:type="dxa"/>
            <w:vAlign w:val="bottom"/>
            <w:gridSpan w:val="4"/>
          </w:tcPr>
          <w:p>
            <w:pPr>
              <w:ind w:left="20"/>
              <w:spacing w:after="0"/>
              <w:rPr>
                <w:rFonts w:ascii="Arial" w:cs="Arial" w:eastAsia="Arial" w:hAnsi="Arial"/>
                <w:sz w:val="18"/>
                <w:szCs w:val="18"/>
                <w:color w:val="0000EE"/>
              </w:rPr>
            </w:pPr>
            <w:hyperlink w:anchor="page120">
              <w:r>
                <w:rPr>
                  <w:rFonts w:ascii="Arial" w:cs="Arial" w:eastAsia="Arial" w:hAnsi="Arial"/>
                  <w:sz w:val="18"/>
                  <w:szCs w:val="18"/>
                  <w:color w:val="0000EE"/>
                </w:rPr>
                <w:t>9.B</w:t>
              </w:r>
            </w:hyperlink>
          </w:p>
        </w:tc>
        <w:tc>
          <w:tcPr>
            <w:tcW w:w="7680" w:type="dxa"/>
            <w:vAlign w:val="bottom"/>
            <w:gridSpan w:val="2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Other Information</w:t>
              </w:r>
            </w:hyperlink>
          </w:p>
        </w:tc>
        <w:tc>
          <w:tcPr>
            <w:tcW w:w="1560" w:type="dxa"/>
            <w:vAlign w:val="bottom"/>
            <w:gridSpan w:val="4"/>
          </w:tcPr>
          <w:p>
            <w:pPr>
              <w:jc w:val="right"/>
              <w:ind w:right="1300"/>
              <w:spacing w:after="0"/>
              <w:rPr>
                <w:rFonts w:ascii="Arial" w:cs="Arial" w:eastAsia="Arial" w:hAnsi="Arial"/>
                <w:sz w:val="18"/>
                <w:szCs w:val="18"/>
                <w:color w:val="0000EE"/>
                <w:w w:val="79"/>
              </w:rPr>
            </w:pPr>
            <w:hyperlink w:anchor="page120">
              <w:r>
                <w:rPr>
                  <w:rFonts w:ascii="Arial" w:cs="Arial" w:eastAsia="Arial" w:hAnsi="Arial"/>
                  <w:sz w:val="18"/>
                  <w:szCs w:val="18"/>
                  <w:color w:val="0000EE"/>
                  <w:w w:val="79"/>
                </w:rPr>
                <w:t>119</w:t>
              </w:r>
            </w:hyperlink>
          </w:p>
        </w:tc>
      </w:tr>
      <w:tr>
        <w:trPr>
          <w:trHeight w:val="20"/>
        </w:trPr>
        <w:tc>
          <w:tcPr>
            <w:tcW w:w="1320" w:type="dxa"/>
            <w:vAlign w:val="bottom"/>
            <w:gridSpan w:val="3"/>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520" w:type="dxa"/>
            <w:vAlign w:val="bottom"/>
            <w:tcBorders>
              <w:bottom w:val="single" w:sz="8" w:color="0000EE"/>
            </w:tcBorders>
            <w:gridSpan w:val="5"/>
          </w:tcPr>
          <w:p>
            <w:pPr>
              <w:jc w:val="right"/>
              <w:spacing w:after="0"/>
              <w:rPr>
                <w:rFonts w:ascii="Arial" w:cs="Arial" w:eastAsia="Arial" w:hAnsi="Arial"/>
                <w:sz w:val="18"/>
                <w:szCs w:val="18"/>
                <w:color w:val="0000EE"/>
                <w:w w:val="94"/>
              </w:rPr>
            </w:pPr>
            <w:hyperlink w:anchor="page121">
              <w:r>
                <w:rPr>
                  <w:rFonts w:ascii="Arial" w:cs="Arial" w:eastAsia="Arial" w:hAnsi="Arial"/>
                  <w:sz w:val="18"/>
                  <w:szCs w:val="18"/>
                  <w:color w:val="0000EE"/>
                  <w:w w:val="94"/>
                </w:rPr>
                <w:t>Part III</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10.</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Directors, Executive Officers and Corporate Governance</w:t>
              </w:r>
            </w:hyperlink>
          </w:p>
        </w:tc>
        <w:tc>
          <w:tcPr>
            <w:tcW w:w="1560" w:type="dxa"/>
            <w:vAlign w:val="bottom"/>
            <w:gridSpan w:val="4"/>
          </w:tcPr>
          <w:p>
            <w:pPr>
              <w:jc w:val="right"/>
              <w:ind w:right="1300"/>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120</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000EE"/>
            </w:tcBorders>
            <w:gridSpan w:val="4"/>
          </w:tcPr>
          <w:p>
            <w:pPr>
              <w:jc w:val="right"/>
              <w:ind w:right="20"/>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20" w:type="dxa"/>
            <w:vAlign w:val="bottom"/>
            <w:tcBorders>
              <w:top w:val="single" w:sz="8" w:color="0000EE"/>
            </w:tcBorders>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11.</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0000EE"/>
            </w:tcBorders>
            <w:gridSpan w:val="15"/>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Executive Compensation</w:t>
              </w:r>
            </w:hyperlink>
          </w:p>
        </w:tc>
        <w:tc>
          <w:tcPr>
            <w:tcW w:w="3680" w:type="dxa"/>
            <w:vAlign w:val="bottom"/>
            <w:gridSpan w:val="7"/>
          </w:tcPr>
          <w:p>
            <w:pPr>
              <w:spacing w:after="0"/>
              <w:rPr>
                <w:sz w:val="24"/>
                <w:szCs w:val="24"/>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120</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4"/>
          </w:tcPr>
          <w:p>
            <w:pPr>
              <w:jc w:val="right"/>
              <w:ind w:right="20"/>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12.</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8"/>
                <w:szCs w:val="18"/>
                <w:color w:val="0000EE"/>
                <w:w w:val="95"/>
              </w:rPr>
            </w:pPr>
            <w:hyperlink w:anchor="page121">
              <w:r>
                <w:rPr>
                  <w:rFonts w:ascii="Arial" w:cs="Arial" w:eastAsia="Arial" w:hAnsi="Arial"/>
                  <w:sz w:val="18"/>
                  <w:szCs w:val="18"/>
                  <w:color w:val="0000EE"/>
                  <w:w w:val="95"/>
                </w:rPr>
                <w:t>Security Ownership of Certain Beneficial Owners and Management and Related Shareholder Matters</w:t>
              </w:r>
            </w:hyperlink>
          </w:p>
        </w:tc>
        <w:tc>
          <w:tcPr>
            <w:tcW w:w="1560" w:type="dxa"/>
            <w:vAlign w:val="bottom"/>
            <w:gridSpan w:val="4"/>
          </w:tcPr>
          <w:p>
            <w:pPr>
              <w:jc w:val="right"/>
              <w:ind w:right="1300"/>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120</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000EE"/>
            </w:tcBorders>
            <w:gridSpan w:val="4"/>
          </w:tcPr>
          <w:p>
            <w:pPr>
              <w:jc w:val="right"/>
              <w:ind w:right="20"/>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20" w:type="dxa"/>
            <w:vAlign w:val="bottom"/>
            <w:tcBorders>
              <w:top w:val="single" w:sz="8" w:color="0000EE"/>
            </w:tcBorders>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13.</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tcBorders>
              <w:top w:val="single" w:sz="8" w:color="0000EE"/>
            </w:tcBorders>
            <w:gridSpan w:val="2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Certain Relationships and Related Transactions, and Director Independence</w:t>
              </w:r>
            </w:hyperlink>
          </w:p>
        </w:tc>
        <w:tc>
          <w:tcPr>
            <w:tcW w:w="560" w:type="dxa"/>
            <w:vAlign w:val="bottom"/>
            <w:gridSpan w:val="2"/>
          </w:tcPr>
          <w:p>
            <w:pPr>
              <w:spacing w:after="0"/>
              <w:rPr>
                <w:sz w:val="24"/>
                <w:szCs w:val="24"/>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000EE"/>
            </w:tcBorders>
            <w:gridSpan w:val="4"/>
          </w:tcPr>
          <w:p>
            <w:pPr>
              <w:jc w:val="right"/>
              <w:ind w:right="20"/>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Item</w:t>
              </w:r>
            </w:hyperlink>
          </w:p>
        </w:tc>
        <w:tc>
          <w:tcPr>
            <w:tcW w:w="220" w:type="dxa"/>
            <w:vAlign w:val="bottom"/>
            <w:tcBorders>
              <w:top w:val="single" w:sz="8" w:color="0000EE"/>
            </w:tcBorders>
            <w:gridSpan w:val="2"/>
          </w:tcPr>
          <w:p>
            <w:pPr>
              <w:ind w:left="20"/>
              <w:spacing w:after="0"/>
              <w:rPr>
                <w:rFonts w:ascii="Arial" w:cs="Arial" w:eastAsia="Arial" w:hAnsi="Arial"/>
                <w:sz w:val="16"/>
                <w:szCs w:val="16"/>
                <w:color w:val="0000EE"/>
                <w:w w:val="71"/>
              </w:rPr>
            </w:pPr>
            <w:hyperlink w:anchor="page121">
              <w:r>
                <w:rPr>
                  <w:rFonts w:ascii="Arial" w:cs="Arial" w:eastAsia="Arial" w:hAnsi="Arial"/>
                  <w:sz w:val="16"/>
                  <w:szCs w:val="16"/>
                  <w:color w:val="0000EE"/>
                  <w:w w:val="71"/>
                </w:rPr>
                <w:t>14.</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tcBorders>
              <w:top w:val="single" w:sz="8" w:color="0000EE"/>
            </w:tcBorders>
            <w:gridSpan w:val="17"/>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Principal Accounting Fees and Services</w:t>
              </w:r>
            </w:hyperlink>
          </w:p>
        </w:tc>
        <w:tc>
          <w:tcPr>
            <w:tcW w:w="2360" w:type="dxa"/>
            <w:vAlign w:val="bottom"/>
            <w:gridSpan w:val="5"/>
          </w:tcPr>
          <w:p>
            <w:pPr>
              <w:spacing w:after="0"/>
              <w:rPr>
                <w:sz w:val="24"/>
                <w:szCs w:val="24"/>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120</w:t>
              </w:r>
            </w:hyperlink>
          </w:p>
        </w:tc>
        <w:tc>
          <w:tcPr>
            <w:tcW w:w="1300" w:type="dxa"/>
            <w:vAlign w:val="bottom"/>
          </w:tcPr>
          <w:p>
            <w:pPr>
              <w:spacing w:after="0"/>
              <w:rPr>
                <w:sz w:val="24"/>
                <w:szCs w:val="24"/>
                <w:color w:val="auto"/>
              </w:rPr>
            </w:pPr>
          </w:p>
        </w:tc>
      </w:tr>
      <w:tr>
        <w:trPr>
          <w:trHeight w:val="20"/>
        </w:trPr>
        <w:tc>
          <w:tcPr>
            <w:tcW w:w="1320" w:type="dxa"/>
            <w:vAlign w:val="bottom"/>
            <w:gridSpan w:val="3"/>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540" w:type="dxa"/>
            <w:vAlign w:val="bottom"/>
            <w:gridSpan w:val="6"/>
          </w:tcPr>
          <w:p>
            <w:pPr>
              <w:jc w:val="right"/>
              <w:ind w:right="20"/>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Part IV</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Item</w:t>
              </w:r>
            </w:hyperlink>
          </w:p>
        </w:tc>
        <w:tc>
          <w:tcPr>
            <w:tcW w:w="20" w:type="dxa"/>
            <w:vAlign w:val="bottom"/>
            <w:tcBorders>
              <w:bottom w:val="single" w:sz="8" w:color="0000EE"/>
            </w:tcBorders>
          </w:tcPr>
          <w:p>
            <w:pPr>
              <w:spacing w:after="0"/>
              <w:rPr>
                <w:sz w:val="24"/>
                <w:szCs w:val="24"/>
                <w:color w:val="auto"/>
              </w:rPr>
            </w:pPr>
          </w:p>
        </w:tc>
        <w:tc>
          <w:tcPr>
            <w:tcW w:w="220" w:type="dxa"/>
            <w:vAlign w:val="bottom"/>
            <w:tcBorders>
              <w:bottom w:val="single" w:sz="8" w:color="0000EE"/>
            </w:tcBorders>
            <w:gridSpan w:val="2"/>
          </w:tcPr>
          <w:p>
            <w:pPr>
              <w:ind w:left="20"/>
              <w:spacing w:after="0"/>
              <w:rPr>
                <w:rFonts w:ascii="Arial" w:cs="Arial" w:eastAsia="Arial" w:hAnsi="Arial"/>
                <w:sz w:val="16"/>
                <w:szCs w:val="16"/>
                <w:color w:val="0000EE"/>
                <w:w w:val="71"/>
              </w:rPr>
            </w:pPr>
            <w:hyperlink w:anchor="page122">
              <w:r>
                <w:rPr>
                  <w:rFonts w:ascii="Arial" w:cs="Arial" w:eastAsia="Arial" w:hAnsi="Arial"/>
                  <w:sz w:val="16"/>
                  <w:szCs w:val="16"/>
                  <w:color w:val="0000EE"/>
                  <w:w w:val="71"/>
                </w:rPr>
                <w:t>15.</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22">
              <w:r>
                <w:rPr>
                  <w:rFonts w:ascii="Arial" w:cs="Arial" w:eastAsia="Arial" w:hAnsi="Arial"/>
                  <w:sz w:val="18"/>
                  <w:szCs w:val="18"/>
                  <w:color w:val="0000EE"/>
                  <w:w w:val="87"/>
                </w:rPr>
                <w:t>Exhibits, Financial Statement Schedules</w:t>
              </w:r>
            </w:hyperlink>
          </w:p>
        </w:tc>
        <w:tc>
          <w:tcPr>
            <w:tcW w:w="4840" w:type="dxa"/>
            <w:vAlign w:val="bottom"/>
            <w:gridSpan w:val="9"/>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22">
              <w:r>
                <w:rPr>
                  <w:rFonts w:ascii="Arial" w:cs="Arial" w:eastAsia="Arial" w:hAnsi="Arial"/>
                  <w:sz w:val="18"/>
                  <w:szCs w:val="18"/>
                  <w:color w:val="0000EE"/>
                  <w:w w:val="79"/>
                </w:rPr>
                <w:t>121</w:t>
              </w:r>
            </w:hyperlink>
          </w:p>
        </w:tc>
        <w:tc>
          <w:tcPr>
            <w:tcW w:w="130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15"/>
          </w:tcPr>
          <w:p>
            <w:pPr>
              <w:ind w:left="35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Forward-Looking Statements</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our financial condition, prospective results of operations, future performance or expectations, plans, objectives, prospects, loan loss allowance adequacy, simulation of changes in interest rates, capital spending, finance sources and revenue sources. These statements relate to expectations concerning matters that are not historical facts. Accordingly, statements that are based on management's projections, estimates, assumptions, and judgments constitute forward-looking statements. These forward 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Such forward-looking statements reflect our current views and expectations based largely on information currently available to our management, and on our current expectations, assumptions, plans, estimates, judgments, and projections about our business and our industry, and they involve inherent risks and uncertainties.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our expectations will in fact occur or that our estimates or assumptions will be correct. The Company cautions you that actual results could differ materially from those expressed or implied by such forward-looking statements as a result of, among other factors, the factors referenced in this report under Item 1A. "Risk Factors"; changes in interest rates; competitive pressures from other financial institutions; the effects of a deterioration in general economic conditions on a national basis or in the local markets in which the Company operates, including changes which adversely affect borrowers' ability to service and repay our loans; changes in loan defaults and charge-off rates; changes in the value of securities and other assets, adequacy of loan loss reserves, or deposit levels necessitating increased borrowing to fund loans and investments; changes in government regulation; the risk that we may not be successful in the implementation of our business strategy; the risk that intangibles recorded in the Company's financial statements will become impaired; and changes in assumptions used in making such forward-looking statements. These forward-looking statements speak only as of the date of this report and the Company does not undertake any obligation to update or revise any of these forward-looking statements to reflect events or circumstances occurring after the date of this report.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Northeast Bancorp ("we," "our," "us," "Northeast" or the "Company"), incorporated under Maine law in 1987, is a bank holding company, registered with the Board of Governors of the Federal Reserve System (the "Federal Reserve") under the Bank Holding Company Act of 1956, as amended. The Company's primary subsidiary and principal asset is its wholly-owned banking subsidiary, Northeast Bank (the "Bank" or "Northeast Bank"), a Maine state-chartered bank originally organized in 1872.</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to the merger, which represents an acquisition by FHB of Northeast, with Northeast as the surviving company.</w:t>
      </w:r>
    </w:p>
    <w:p>
      <w:pPr>
        <w:spacing w:after="0" w:line="17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2015, the Company, on a consolidated basis, had total assets of $850.8 million, total deposits of $674.8 million, and stockholders' equity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$112.8 million. The Company gathers retail deposits through the Community Banking Division's ten full-service branches in Maine and through its online deposit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ableBanking; originates loans through its Community Banking Division; purchases and originates commercial loans on a nationwide basis through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Acquisition and Servicing Group ("LASG"); and originates Small Business Administration ("SBA") loans on a nationwide basis through the Small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National group ("SBA National").</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jc w:val="both"/>
        <w:ind w:right="300" w:firstLine="351"/>
        <w:spacing w:after="0" w:line="256" w:lineRule="auto"/>
        <w:rPr>
          <w:sz w:val="20"/>
          <w:szCs w:val="20"/>
          <w:color w:val="auto"/>
        </w:rPr>
      </w:pPr>
      <w:r>
        <w:rPr>
          <w:rFonts w:ascii="Arial" w:cs="Arial" w:eastAsia="Arial" w:hAnsi="Arial"/>
          <w:sz w:val="18"/>
          <w:szCs w:val="18"/>
          <w:i w:val="1"/>
          <w:iCs w:val="1"/>
          <w:color w:val="auto"/>
        </w:rPr>
        <w:t xml:space="preserve">Measured growth of our national commercial loan portfolio. </w:t>
      </w:r>
      <w:r>
        <w:rPr>
          <w:rFonts w:ascii="Arial" w:cs="Arial" w:eastAsia="Arial" w:hAnsi="Arial"/>
          <w:sz w:val="18"/>
          <w:szCs w:val="18"/>
          <w:color w:val="auto"/>
        </w:rPr>
        <w:t>The Company purchases performing commercial real estate loans, on a nationwide basis,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at a discount from their outstanding principal balances, producing yields higher than those normally achieved on our originated loan portfolio. These loans are purchased from a variety of sources, including banks, insurance companies, investment funds and government agencies, either directly or indirectly through a broker. We also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originate commercial real estate and commercial business loans on a nationwide basis, including loans partially guaranteed by the SBA.</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Focus on core deposits. </w:t>
      </w:r>
      <w:r>
        <w:rPr>
          <w:rFonts w:ascii="Arial" w:cs="Arial" w:eastAsia="Arial" w:hAnsi="Arial"/>
          <w:sz w:val="18"/>
          <w:szCs w:val="18"/>
          <w:color w:val="auto"/>
        </w:rPr>
        <w:t>The Company offers a full line of deposit products to customers in the Community Banking Division's market area through its ten-branch network. In addition, in June 2012, we launched our online deposit program, ableBanking, a division of Northeast Bank, to provide an additional channel through which to raise core deposits to fund the Company's asset strategy.</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Continuing our community banking tradition. </w:t>
      </w:r>
      <w:r>
        <w:rPr>
          <w:rFonts w:ascii="Arial" w:cs="Arial" w:eastAsia="Arial" w:hAnsi="Arial"/>
          <w:sz w:val="18"/>
          <w:szCs w:val="18"/>
          <w:color w:val="auto"/>
        </w:rPr>
        <w:t>The Community Banking Division retains a high degree of local autonomy and operational flexibility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better serve its customers. The Community Banking Division's focus on sales and service allows us to attract and retain core deposits in support of balance sheet growth, and to continue to generate new commercial and residential mortgage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Area and Competition</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Northeast Bancorp is the holding company for Northeast Bank, a full-service bank headquartered in Lewiston, Maine. We offer traditional banking services through the Community Banking Division, which operates ten full-service branches that serve customers located in western and central Maine. From our Maine and Boston locations, we also lend throughout the New England area. The LASG purchases and originates commercial loans on a nationwide basis. SBA National originates SBA loans on a nationwide basis for the Bank's portfolio, and sells the guaranteed portion on certain loans originated. ableBanking, a division of Northeast Bank, offers savings products to consumers online.</w:t>
      </w:r>
    </w:p>
    <w:p>
      <w:pPr>
        <w:spacing w:after="0" w:line="19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Community Banking Division's market area covers the six New England states, with the majority of its activities centered in the western and central regions of the State of Maine. We encounter significant competition in the Community Banking Division market area in originating loans, attracting deposits, and selling other customer products and services. Our competitors include savings banks, commercial banks, credit unions, mutual funds, insurance companies, brokerage and investment banking companies, finance companies, and other financial intermediaries. Many of our primary competitors there have substantially greater resources, larger established customer bases, higher lending limits, extensive branch networks, numerous ATMs and greater advertising and marketing budgets. They may also offer services that we do not currently provide.</w:t>
      </w:r>
    </w:p>
    <w:p>
      <w:pPr>
        <w:spacing w:after="0" w:line="17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LASG has a nationwide scope in its loan purchasing, origination, and servicing activities. It competes with regional banks, national private equity funds, and community banks in its bid to acquire performing commercial loans. SBA National has a national scope in its SBA loan origination activities, and competes with regional banks and community banks in its bid to originate loans. ableBanking also has nationwide scope in its deposit gathering activities and competes with banks and credit unions, as well as other, larger, online direct banks having a national reach.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conduct our loan-related activities through three primary channels: the Community Banking Division, the LASG, and SBA National. The Community Banking Division originates loans directly to consumers and businesses located in its market area. The LASG purchases primarily performing commercial real estate loans, on a nationwide basis, typically at a discount from their outstanding principal balances, producing yields higher than those normally achieved on the Company's originated loan portfolio. The LASG also originates commercial real estate and commercial business loans on a nationwide basis. Pursuant to commitments made to the Federal Reserve in connection with the merger, the Company is required to limit purchased loans to 40% of total loans. At June 30, 2015, the Company's ratio of purchased loans to total loans, including loans held for sale, was 32.6%. SBA National originates loans to small businesses, primarily through the SBA 7(a) program, which provides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partial guarantee of the SBA. At June 30, 2015, of our total loan portfolio of $612.1 million, $220.2 million, or 36.0%, was originated by the Community Banking Division, $380.9 million, or 62.2%, was purchased or originated by the LASG and $11.0 million, or 1.8%, was originated by SBA National, excluding loans held for sale.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concerning our portfolio loan purchases and originations for the periods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Year Ended June 30,</w:t>
            </w:r>
          </w:p>
        </w:tc>
      </w:tr>
      <w:tr>
        <w:trPr>
          <w:trHeight w:val="142"/>
        </w:trPr>
        <w:tc>
          <w:tcPr>
            <w:tcW w:w="4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w w:val="93"/>
              </w:rPr>
              <w:t>(Dollars in thousands)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Loans, including loans held for sale, beginning of year</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443,970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Additions: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LASG Purchases and Originations: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Originations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130,502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61,665</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79,823</w:t>
            </w:r>
          </w:p>
        </w:tc>
      </w:tr>
      <w:tr>
        <w:trPr>
          <w:trHeight w:val="210"/>
        </w:trPr>
        <w:tc>
          <w:tcPr>
            <w:tcW w:w="4900" w:type="dxa"/>
            <w:vAlign w:val="bottom"/>
          </w:tcPr>
          <w:p>
            <w:pPr>
              <w:ind w:left="540"/>
              <w:spacing w:after="0"/>
              <w:rPr>
                <w:sz w:val="20"/>
                <w:szCs w:val="20"/>
                <w:color w:val="auto"/>
              </w:rPr>
            </w:pPr>
            <w:r>
              <w:rPr>
                <w:rFonts w:ascii="Arial" w:cs="Arial" w:eastAsia="Arial" w:hAnsi="Arial"/>
                <w:sz w:val="18"/>
                <w:szCs w:val="18"/>
                <w:color w:val="auto"/>
              </w:rPr>
              <w:t>Subtotal</w:t>
            </w:r>
          </w:p>
        </w:tc>
        <w:tc>
          <w:tcPr>
            <w:tcW w:w="1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213,156</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141,488</w:t>
            </w: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 National Originations: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Originations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4,613</w:t>
            </w: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Community Bank Originations: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Residential mortgages held for sale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97,438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91,366</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mortgage held to maturity</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45,525</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Home equity</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1,498</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1,854</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Commercial business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1,256</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r>
      <w:tr>
        <w:trPr>
          <w:trHeight w:val="210"/>
        </w:trPr>
        <w:tc>
          <w:tcPr>
            <w:tcW w:w="4900" w:type="dxa"/>
            <w:vAlign w:val="bottom"/>
          </w:tcPr>
          <w:p>
            <w:pPr>
              <w:ind w:left="540"/>
              <w:spacing w:after="0"/>
              <w:rPr>
                <w:sz w:val="20"/>
                <w:szCs w:val="20"/>
                <w:color w:val="auto"/>
              </w:rPr>
            </w:pPr>
            <w:r>
              <w:rPr>
                <w:rFonts w:ascii="Arial" w:cs="Arial" w:eastAsia="Arial" w:hAnsi="Arial"/>
                <w:sz w:val="18"/>
                <w:szCs w:val="18"/>
                <w:color w:val="auto"/>
              </w:rPr>
              <w:t>Subtotal</w:t>
            </w:r>
          </w:p>
        </w:tc>
        <w:tc>
          <w:tcPr>
            <w:tcW w:w="1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126,427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141,690</w:t>
            </w:r>
          </w:p>
        </w:tc>
        <w:tc>
          <w:tcPr>
            <w:tcW w:w="160" w:type="dxa"/>
            <w:vAlign w:val="bottom"/>
          </w:tcPr>
          <w:p>
            <w:pPr>
              <w:spacing w:after="0"/>
              <w:rPr>
                <w:sz w:val="18"/>
                <w:szCs w:val="18"/>
                <w:color w:val="auto"/>
              </w:rPr>
            </w:pPr>
          </w:p>
        </w:tc>
      </w:tr>
      <w:tr>
        <w:trPr>
          <w:trHeight w:val="21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originations and purchases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287,791</w:t>
            </w: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Reductions:</w:t>
            </w:r>
          </w:p>
        </w:tc>
        <w:tc>
          <w:tcPr>
            <w:tcW w:w="1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of residential loans held for sale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(106,045)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(88,015)</w:t>
            </w: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Sales of portfolio loans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(22,351)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(8,779)</w:t>
            </w: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Pay-downs and amortization, net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(152,682)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(106,201)</w:t>
            </w:r>
          </w:p>
        </w:tc>
      </w:tr>
      <w:tr>
        <w:trPr>
          <w:trHeight w:val="20"/>
        </w:trPr>
        <w:tc>
          <w:tcPr>
            <w:tcW w:w="4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reductions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(281,316)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(203,400)</w:t>
            </w: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Loans, including loans held for sale, end of year</w:t>
            </w:r>
          </w:p>
        </w:tc>
        <w:tc>
          <w:tcPr>
            <w:tcW w:w="10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621,172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528,361</w:t>
            </w:r>
          </w:p>
        </w:tc>
        <w:tc>
          <w:tcPr>
            <w:tcW w:w="16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Annual percentage increase in loans</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17.57%</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19.01%</w:t>
            </w: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individually underwrite the loans that we originate and all loans that we purchase. Our loan underwriting policies are reviewed and approved annually by our board of directors. Each loan, regardless of whether it is originated or purchased, must meet underwriting criteria set forth in our lending policies and the requirements of applicable federal and state regulators. We typically retain servicing rights for all loans that we originate or purchase, except for residential loans that we originate and sell servicing released in the secondary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Bank Originations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Originated Loan Portfolio. </w:t>
      </w:r>
      <w:r>
        <w:rPr>
          <w:rFonts w:ascii="Arial" w:cs="Arial" w:eastAsia="Arial" w:hAnsi="Arial"/>
          <w:sz w:val="18"/>
          <w:szCs w:val="18"/>
          <w:color w:val="auto"/>
        </w:rPr>
        <w:t>Our Community Bank originated loan portfolio consists primarily of loans to consumers and businesses in the Community</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Division's market area.</w:t>
      </w:r>
    </w:p>
    <w:p>
      <w:pPr>
        <w:spacing w:after="0" w:line="199" w:lineRule="exact"/>
        <w:rPr>
          <w:sz w:val="20"/>
          <w:szCs w:val="20"/>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Residential Mortgage Loans. </w:t>
      </w:r>
      <w:r>
        <w:rPr>
          <w:rFonts w:ascii="Arial" w:cs="Arial" w:eastAsia="Arial" w:hAnsi="Arial"/>
          <w:sz w:val="18"/>
          <w:szCs w:val="18"/>
          <w:color w:val="auto"/>
        </w:rPr>
        <w:t>We originate residential mortgage loans secured by one- to four-family properties throughout Maine, southern New</w:t>
      </w:r>
      <w:r>
        <w:rPr>
          <w:rFonts w:ascii="Arial" w:cs="Arial" w:eastAsia="Arial" w:hAnsi="Arial"/>
          <w:sz w:val="18"/>
          <w:szCs w:val="18"/>
          <w:i w:val="1"/>
          <w:iCs w:val="1"/>
          <w:color w:val="auto"/>
        </w:rPr>
        <w:t xml:space="preserve"> </w:t>
      </w:r>
      <w:r>
        <w:rPr>
          <w:rFonts w:ascii="Arial" w:cs="Arial" w:eastAsia="Arial" w:hAnsi="Arial"/>
          <w:sz w:val="18"/>
          <w:szCs w:val="18"/>
          <w:color w:val="auto"/>
        </w:rPr>
        <w:t>Hampshire, and Massachusetts. Such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94" w:lineRule="auto"/>
        <w:rPr>
          <w:sz w:val="20"/>
          <w:szCs w:val="20"/>
          <w:color w:val="auto"/>
        </w:rPr>
      </w:pPr>
      <w:r>
        <w:rPr>
          <w:rFonts w:ascii="Arial" w:cs="Arial" w:eastAsia="Arial" w:hAnsi="Arial"/>
          <w:sz w:val="16"/>
          <w:szCs w:val="16"/>
          <w:color w:val="auto"/>
        </w:rPr>
        <w:t>loans may be originated for sale in the secondary market or to be held on the Bank's balance sheet. We also offer home equity loans and home equity lines of credit, which are secured by first or second mortgages on one- to four-family owner-occupied properties and which are held on our balance sheet. At June 30, 2015, portfolio residential loans totaled $130.5 million, or 21.3% of total loans. Of the residential loans we held for investment at June 30, 2015, approximately 51.0% were adjustable rate. Included in residential loans are home equity lines of credit and other second mortgage loans aggregating approximately $24.3 million.</w:t>
      </w:r>
    </w:p>
    <w:p>
      <w:pPr>
        <w:spacing w:after="0" w:line="183" w:lineRule="exact"/>
        <w:rPr>
          <w:sz w:val="20"/>
          <w:szCs w:val="20"/>
          <w:color w:val="auto"/>
        </w:rPr>
      </w:pPr>
    </w:p>
    <w:p>
      <w:pPr>
        <w:ind w:left="1080" w:right="60" w:hanging="532"/>
        <w:spacing w:after="0" w:line="25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Commercial Real Estate Loans. </w:t>
      </w:r>
      <w:r>
        <w:rPr>
          <w:rFonts w:ascii="Arial" w:cs="Arial" w:eastAsia="Arial" w:hAnsi="Arial"/>
          <w:sz w:val="18"/>
          <w:szCs w:val="18"/>
          <w:color w:val="auto"/>
        </w:rPr>
        <w:t>We originate multi-family and other commercial real estate loans secured by property located primarily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Banking Division's market area. At June 30, 2015, commercial real estate loans outstanding were $70.6 million, or 11.5% of total loans. Although the largest commercial real estate loan originated by the Community Banking Division had a principal balance of $3.2 million at June 30, 2015, the majority of the commercial real estate loans originated by the Community Banking Division had principal balances less than $500 thousand.</w:t>
      </w:r>
    </w:p>
    <w:p>
      <w:pPr>
        <w:spacing w:after="0" w:line="223" w:lineRule="exact"/>
        <w:rPr>
          <w:rFonts w:ascii="Arial" w:cs="Arial" w:eastAsia="Arial" w:hAnsi="Arial"/>
          <w:sz w:val="18"/>
          <w:szCs w:val="18"/>
          <w:color w:val="auto"/>
        </w:rPr>
      </w:pPr>
    </w:p>
    <w:p>
      <w:pPr>
        <w:ind w:left="1080" w:right="100" w:hanging="532"/>
        <w:spacing w:after="0" w:line="323"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Commercial Business Loans. </w:t>
      </w:r>
      <w:r>
        <w:rPr>
          <w:rFonts w:ascii="Arial" w:cs="Arial" w:eastAsia="Arial" w:hAnsi="Arial"/>
          <w:sz w:val="15"/>
          <w:szCs w:val="15"/>
          <w:color w:val="auto"/>
        </w:rPr>
        <w:t>We originate commercial business loans, including term loans, lines of credit and equipment and receivables</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 to businesses located primarily in the Community Banking Division's market area. At June 30, 2015, commercial business loans outstanding were $11.9 million, or 1.9% of total loans. At June 30, 2015, there were 122 commercial business loans outstanding with an average principal balance of $97 thousand. The largest of these commercial business loans had a principal balance of $2.7 million at June 30, 2015.</w:t>
      </w:r>
    </w:p>
    <w:p>
      <w:pPr>
        <w:spacing w:after="0" w:line="165"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Consumer Loans. </w:t>
      </w:r>
      <w:r>
        <w:rPr>
          <w:rFonts w:ascii="Arial" w:cs="Arial" w:eastAsia="Arial" w:hAnsi="Arial"/>
          <w:sz w:val="18"/>
          <w:szCs w:val="18"/>
          <w:color w:val="auto"/>
        </w:rPr>
        <w:t>We originate, on a direct basis, automobile, boat and recreational vehicle loans. At June 30, 2015, consumer loans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were $7.7 million, or 1.3% of total loans.</w:t>
      </w:r>
    </w:p>
    <w:p>
      <w:pPr>
        <w:spacing w:after="0" w:line="186"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i w:val="1"/>
          <w:iCs w:val="1"/>
          <w:color w:val="auto"/>
        </w:rPr>
        <w:t xml:space="preserve">Underwriting of Originated Loans. </w:t>
      </w:r>
      <w:r>
        <w:rPr>
          <w:rFonts w:ascii="Arial" w:cs="Arial" w:eastAsia="Arial" w:hAnsi="Arial"/>
          <w:sz w:val="16"/>
          <w:szCs w:val="16"/>
          <w:color w:val="auto"/>
        </w:rPr>
        <w:t>Most residential loans, including those held for investment, are originated in accordance with the standards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National Mortgage Association, the Federal Home Loan Mortgage Corporation, the Federal Housing Authority, or other third party correspondent lenders. Our underwriting and approval process for all other loans originated by the Community Banking Division is as follows:</w:t>
      </w:r>
    </w:p>
    <w:p>
      <w:pPr>
        <w:spacing w:after="0" w:line="174" w:lineRule="exact"/>
        <w:rPr>
          <w:sz w:val="20"/>
          <w:szCs w:val="20"/>
          <w:color w:val="auto"/>
        </w:rPr>
      </w:pPr>
    </w:p>
    <w:p>
      <w:pPr>
        <w:ind w:left="1080" w:right="2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Most of our Community Bank originated loans are sourced through relationships between loan officers and their third party referral sources or current or previous customers.</w:t>
      </w:r>
    </w:p>
    <w:p>
      <w:pPr>
        <w:spacing w:after="0" w:line="21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After a loan officer has taken basic information from the borrower, the request is submitted to the Community Banking Division's loan production department. The loan production department obtains comprehensive information from the borrower and third parties, and conducts verification and analysis of the borrower information, which is assembled into a single underwriting package that is submitted for final approval.</w:t>
      </w:r>
    </w:p>
    <w:p>
      <w:pPr>
        <w:spacing w:after="0" w:line="174" w:lineRule="exact"/>
        <w:rPr>
          <w:rFonts w:ascii="Arial" w:cs="Arial" w:eastAsia="Arial" w:hAnsi="Arial"/>
          <w:sz w:val="16"/>
          <w:szCs w:val="16"/>
          <w:color w:val="auto"/>
        </w:rPr>
      </w:pPr>
    </w:p>
    <w:p>
      <w:pPr>
        <w:jc w:val="both"/>
        <w:ind w:left="1080" w:right="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Loans of $500 thousand or more (determined on a relationship basis) require approval from the Community Banking Division Credit Committee, which is comprised of senior managers of the Bank. Loans of less than $500 thousand (determined on a relationship basis) require approval from two officers with appropriate lending authority.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National</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SBA National, launched in November 2014, originates loans to small businesses nationwide, most often through the SBA's 7(a) program, which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a partial government guarantee. Our loans are typically secured by liens on business assets and mortgages on commercial properties, as well as the SBA guarantees. We seek to build a loan portfolio that is diverse with respect to geography, loan type and collateral type.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SBA National loan portfolio as of June 30, 2015.</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SBA National</w:t>
            </w:r>
          </w:p>
        </w:tc>
      </w:tr>
      <w:tr>
        <w:trPr>
          <w:trHeight w:val="142"/>
        </w:trPr>
        <w:tc>
          <w:tcPr>
            <w:tcW w:w="6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Non-owner occupied 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4,461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1 - 4 family residential</w:t>
            </w: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10,963</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Company's SBA loan portfolio includes owner and non-owner occupied loans as defined under regulatory call report instructions. The regulatory call report instructions primarily consider the primary source of repayment on the loan for this determination. However, these loans meet the SBA requirements to be considered owner occupied as the owner or controlling entity are actively involved in the daily operations of the underlying core business.</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to the loans held in the SBA National loan portfolio, as of June 30, 2015, $1.9 million in the loans held for sale portfolio were attributable to SBA National, which relates to the guaranteed portion of the SBA National loans we expect to sell in the secondary market.</w:t>
      </w:r>
    </w:p>
    <w:p>
      <w:pPr>
        <w:spacing w:after="0" w:line="186"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i w:val="1"/>
          <w:iCs w:val="1"/>
          <w:color w:val="auto"/>
        </w:rPr>
        <w:t xml:space="preserve">Secondary Market for SBA Guarantees. </w:t>
      </w:r>
      <w:r>
        <w:rPr>
          <w:rFonts w:ascii="Arial" w:cs="Arial" w:eastAsia="Arial" w:hAnsi="Arial"/>
          <w:sz w:val="18"/>
          <w:szCs w:val="18"/>
          <w:color w:val="auto"/>
        </w:rPr>
        <w:t>We typically sell the SBA-guaranteed portion of our variable-rate originations (generally 75% of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at a premium in the secondary market. We generally retain a 25% unguaranteed interest and the accompanying servicing rights to the entire loan. We hold most fixed-rate SBA loan originations in portfolio.</w:t>
      </w:r>
    </w:p>
    <w:p>
      <w:pPr>
        <w:spacing w:after="0" w:line="194" w:lineRule="exact"/>
        <w:rPr>
          <w:sz w:val="20"/>
          <w:szCs w:val="20"/>
          <w:color w:val="auto"/>
        </w:rPr>
      </w:pPr>
    </w:p>
    <w:p>
      <w:pPr>
        <w:ind w:right="520" w:firstLine="351"/>
        <w:spacing w:after="0" w:line="323" w:lineRule="auto"/>
        <w:rPr>
          <w:sz w:val="20"/>
          <w:szCs w:val="20"/>
          <w:color w:val="auto"/>
        </w:rPr>
      </w:pPr>
      <w:r>
        <w:rPr>
          <w:rFonts w:ascii="Arial" w:cs="Arial" w:eastAsia="Arial" w:hAnsi="Arial"/>
          <w:sz w:val="15"/>
          <w:szCs w:val="15"/>
          <w:i w:val="1"/>
          <w:iCs w:val="1"/>
          <w:color w:val="auto"/>
        </w:rPr>
        <w:t xml:space="preserve">Competition for SBA Loans. </w:t>
      </w:r>
      <w:r>
        <w:rPr>
          <w:rFonts w:ascii="Arial" w:cs="Arial" w:eastAsia="Arial" w:hAnsi="Arial"/>
          <w:sz w:val="15"/>
          <w:szCs w:val="15"/>
          <w:color w:val="auto"/>
        </w:rPr>
        <w:t>SBA National competes primarily with community banks and regional banks nationwide. Capitalizing on our LASG</w:t>
      </w:r>
      <w:r>
        <w:rPr>
          <w:rFonts w:ascii="Arial" w:cs="Arial" w:eastAsia="Arial" w:hAnsi="Arial"/>
          <w:sz w:val="15"/>
          <w:szCs w:val="15"/>
          <w:i w:val="1"/>
          <w:iCs w:val="1"/>
          <w:color w:val="auto"/>
        </w:rPr>
        <w:t xml:space="preserve"> </w:t>
      </w:r>
      <w:r>
        <w:rPr>
          <w:rFonts w:ascii="Arial" w:cs="Arial" w:eastAsia="Arial" w:hAnsi="Arial"/>
          <w:sz w:val="15"/>
          <w:szCs w:val="15"/>
          <w:color w:val="auto"/>
        </w:rPr>
        <w:t>origination loan infrastructure, SBA National is in a position to review and act quickly on a variety of lending opportunities. Risk management, approvals, underwriting and other due diligence for these loans is similar to that for the LASG loans. We believe that SBA National has an advantage in originating commercial loans because of its ability to utilize in-house staff to quickly and accurately screen loan opportunities and accelerate the underwriting process.</w:t>
      </w:r>
    </w:p>
    <w:p>
      <w:pPr>
        <w:spacing w:after="0" w:line="15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Underwriting of SBA National Loans. </w:t>
      </w:r>
      <w:r>
        <w:rPr>
          <w:rFonts w:ascii="Arial" w:cs="Arial" w:eastAsia="Arial" w:hAnsi="Arial"/>
          <w:sz w:val="18"/>
          <w:szCs w:val="18"/>
          <w:color w:val="auto"/>
        </w:rPr>
        <w:t>Our loan policies and procedures establish guidelines governing our SBA lending program. Generally, these</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address the types of loans that we seek, target markets, underwriting and collateral requirements, terms, interest rate and yield considerations and compliance with laws and regulations. All loans or credit lines are subject to approval procedures and amount limitations. Our policies are reviewed and approved at least annually by our board of directors. We supplement our own supervision of the loan underwriting and approval process with periodic loan audits by internal personnel and outside professionals experienced in loan review.</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Loan Servicing. </w:t>
      </w:r>
      <w:r>
        <w:rPr>
          <w:rFonts w:ascii="Arial" w:cs="Arial" w:eastAsia="Arial" w:hAnsi="Arial"/>
          <w:sz w:val="18"/>
          <w:szCs w:val="18"/>
          <w:color w:val="auto"/>
        </w:rPr>
        <w:t>We conduct all loan servicing for SBA National loans with an in-house team of experienced asset managers who actively manage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Asset managers initiate and maintain regular borrower contact, and ensure that the loan credit analysis is accurate. Collateral valuations, property inspections, and other collateral characteristics are updated periodically as a result of our ongoing in-house real estate analysis. All asset management activity and analysis is contained within a central database.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LASG Purchases and Originations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LASG purchases and originates commercial loans secured by income-producing collateral, and on a nationwide basis. Although the Bank's</w:t>
      </w:r>
      <w:r>
        <w:rPr>
          <w:rFonts w:ascii="Arial" w:cs="Arial" w:eastAsia="Arial" w:hAnsi="Arial"/>
          <w:sz w:val="18"/>
          <w:szCs w:val="18"/>
          <w:i w:val="1"/>
          <w:iCs w:val="1"/>
          <w:color w:val="auto"/>
        </w:rPr>
        <w:t xml:space="preserve"> </w:t>
      </w:r>
      <w:r>
        <w:rPr>
          <w:rFonts w:ascii="Arial" w:cs="Arial" w:eastAsia="Arial" w:hAnsi="Arial"/>
          <w:sz w:val="18"/>
          <w:szCs w:val="18"/>
          <w:color w:val="auto"/>
        </w:rPr>
        <w:t>legal lending limit was $22.3 million 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June 30, 2015, our credit policy currently requires prior Board approval for the purchase or origination of a loan with an initial investment greater than 10% of the Company's Tier 1 capital, determined on a relationship basis. We focus primarily on loans with balances between $1.0 million and $5.0 million. Purchased loans are sourced on a nationwide basis from banks, insurance companies, investment funds and government agencies, either directly or indirectly through advisors. We seek to build a loan portfolio that is diverse with respect to geography, loan type and collateral type. Of the loans originated or purchased by the LASG that were outstanding as of June 30, 2015, $269.8 million, or 70.8%, consisted of commercial real estate loans. The following table summarizes the LASG loan portfolio as of June 30, 2015.</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0"/>
              </w:rPr>
              <w:t>Purchased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Originated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78"/>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Non-owner occupied commercial real estate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128,182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53,051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181,233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72,069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16,507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88,576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108,577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108,850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1 - 4 family residential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2,205</w:t>
            </w:r>
          </w:p>
        </w:tc>
      </w:tr>
      <w:tr>
        <w:trPr>
          <w:trHeight w:val="20"/>
        </w:trPr>
        <w:tc>
          <w:tcPr>
            <w:tcW w:w="4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202,592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178,272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380,864</w:t>
            </w:r>
          </w:p>
        </w:tc>
      </w:tr>
      <w:tr>
        <w:trPr>
          <w:trHeight w:val="20"/>
        </w:trPr>
        <w:tc>
          <w:tcPr>
            <w:tcW w:w="4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Since the inception of the LASG through June 30, 2015, we have purchased loans for an aggregate investment of $386.3 million, of which $82.7 million was purchased during fiscal 2015. We have also originated loans totaling $235.3 million, of which $130.5 million was originated in fiscal 2015. As of June 30, 2015, the unpaid principal balance of loans purchased or originated by the LASG ranged from $1 thousand to $12.0 million, with an average balance of $892 thousand. Included in the balance are non-real estate secured loans to broker-dealers, which have balances of $12.0 million each. The real estate loans were secured principally by retail, industrial, mixed use, multi-family and office properties in 36 states.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LASG loan portfolio stratified by book value as of June 30, 2015.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Range</w:t>
            </w:r>
          </w:p>
        </w:tc>
        <w:tc>
          <w:tcPr>
            <w:tcW w:w="22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of Total</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(Dollars in</w:t>
            </w: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 $500</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54,930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$500 - $1,000</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52"/>
              <w:spacing w:after="0"/>
              <w:rPr>
                <w:sz w:val="20"/>
                <w:szCs w:val="20"/>
                <w:color w:val="auto"/>
              </w:rPr>
            </w:pPr>
            <w:r>
              <w:rPr>
                <w:rFonts w:ascii="Arial" w:cs="Arial" w:eastAsia="Arial" w:hAnsi="Arial"/>
                <w:sz w:val="18"/>
                <w:szCs w:val="18"/>
                <w:color w:val="auto"/>
              </w:rPr>
              <w:t>48,480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$1,000 - $2,000</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69,332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$2,000 - $3,000</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52"/>
              <w:spacing w:after="0"/>
              <w:rPr>
                <w:sz w:val="20"/>
                <w:szCs w:val="20"/>
                <w:color w:val="auto"/>
              </w:rPr>
            </w:pPr>
            <w:r>
              <w:rPr>
                <w:rFonts w:ascii="Arial" w:cs="Arial" w:eastAsia="Arial" w:hAnsi="Arial"/>
                <w:sz w:val="18"/>
                <w:szCs w:val="18"/>
                <w:color w:val="auto"/>
              </w:rPr>
              <w:t>56,659</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$3,000 - $4,000</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24,857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Greater than $4,000</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126,606</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380,864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500" w:type="dxa"/>
            <w:vAlign w:val="bottom"/>
            <w:vMerge w:val="restart"/>
          </w:tcPr>
          <w:p>
            <w:pPr>
              <w:jc w:val="right"/>
              <w:ind w:right="2052"/>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the LASG loan portfolio by location and type of collateral as of June 30, 2015.</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Collateral Type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of Total</w:t>
            </w:r>
          </w:p>
        </w:tc>
        <w:tc>
          <w:tcPr>
            <w:tcW w:w="1940" w:type="dxa"/>
            <w:vAlign w:val="bottom"/>
            <w:gridSpan w:val="3"/>
          </w:tcPr>
          <w:p>
            <w:pPr>
              <w:ind w:left="18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(Dollars in</w:t>
            </w:r>
          </w:p>
        </w:tc>
        <w:tc>
          <w:tcPr>
            <w:tcW w:w="900" w:type="dxa"/>
            <w:vAlign w:val="bottom"/>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Multifamily</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57,752</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15.16%</w:t>
            </w:r>
          </w:p>
        </w:tc>
        <w:tc>
          <w:tcPr>
            <w:tcW w:w="1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66,972</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Office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44,125</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11.59%</w:t>
            </w:r>
          </w:p>
        </w:tc>
        <w:tc>
          <w:tcPr>
            <w:tcW w:w="1940" w:type="dxa"/>
            <w:vAlign w:val="bottom"/>
            <w:gridSpan w:val="3"/>
          </w:tcPr>
          <w:p>
            <w:pPr>
              <w:ind w:left="180"/>
              <w:spacing w:after="0"/>
              <w:rPr>
                <w:sz w:val="20"/>
                <w:szCs w:val="20"/>
                <w:color w:val="auto"/>
              </w:rPr>
            </w:pPr>
            <w:r>
              <w:rPr>
                <w:rFonts w:ascii="Arial" w:cs="Arial" w:eastAsia="Arial" w:hAnsi="Arial"/>
                <w:sz w:val="18"/>
                <w:szCs w:val="18"/>
                <w:color w:val="auto"/>
              </w:rPr>
              <w:t>NY</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66,722</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Hospitality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13.36%</w:t>
            </w:r>
          </w:p>
        </w:tc>
        <w:tc>
          <w:tcPr>
            <w:tcW w:w="1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54,121</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14.21%</w:t>
            </w:r>
          </w:p>
        </w:tc>
        <w:tc>
          <w:tcPr>
            <w:tcW w:w="1940" w:type="dxa"/>
            <w:vAlign w:val="bottom"/>
            <w:gridSpan w:val="3"/>
          </w:tcPr>
          <w:p>
            <w:pPr>
              <w:ind w:left="180"/>
              <w:spacing w:after="0"/>
              <w:rPr>
                <w:sz w:val="20"/>
                <w:szCs w:val="20"/>
                <w:color w:val="auto"/>
              </w:rPr>
            </w:pPr>
            <w:r>
              <w:rPr>
                <w:rFonts w:ascii="Arial" w:cs="Arial" w:eastAsia="Arial" w:hAnsi="Arial"/>
                <w:sz w:val="18"/>
                <w:szCs w:val="18"/>
                <w:color w:val="auto"/>
              </w:rPr>
              <w:t>FL</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10,509</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34,225</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8.99%</w:t>
            </w:r>
          </w:p>
        </w:tc>
        <w:tc>
          <w:tcPr>
            <w:tcW w:w="1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GA</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Mixed use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20,758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5.45%</w:t>
            </w:r>
          </w:p>
        </w:tc>
        <w:tc>
          <w:tcPr>
            <w:tcW w:w="1940" w:type="dxa"/>
            <w:vAlign w:val="bottom"/>
            <w:gridSpan w:val="3"/>
          </w:tcPr>
          <w:p>
            <w:pPr>
              <w:ind w:left="180"/>
              <w:spacing w:after="0"/>
              <w:rPr>
                <w:sz w:val="20"/>
                <w:szCs w:val="20"/>
                <w:color w:val="auto"/>
              </w:rPr>
            </w:pPr>
            <w:r>
              <w:rPr>
                <w:rFonts w:ascii="Arial" w:cs="Arial" w:eastAsia="Arial" w:hAnsi="Arial"/>
                <w:sz w:val="18"/>
                <w:szCs w:val="18"/>
                <w:color w:val="auto"/>
              </w:rPr>
              <w:t>IL</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17,348</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18.81%</w:t>
            </w:r>
          </w:p>
        </w:tc>
        <w:tc>
          <w:tcPr>
            <w:tcW w:w="1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Other 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15,281</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4.01%</w:t>
            </w:r>
          </w:p>
        </w:tc>
        <w:tc>
          <w:tcPr>
            <w:tcW w:w="1940" w:type="dxa"/>
            <w:vAlign w:val="bottom"/>
            <w:gridSpan w:val="3"/>
          </w:tcPr>
          <w:p>
            <w:pPr>
              <w:ind w:left="180"/>
              <w:spacing w:after="0"/>
              <w:rPr>
                <w:sz w:val="20"/>
                <w:szCs w:val="20"/>
                <w:color w:val="auto"/>
              </w:rPr>
            </w:pPr>
            <w:r>
              <w:rPr>
                <w:rFonts w:ascii="Arial" w:cs="Arial" w:eastAsia="Arial" w:hAnsi="Arial"/>
                <w:sz w:val="18"/>
                <w:szCs w:val="18"/>
                <w:color w:val="auto"/>
              </w:rPr>
              <w:t>Non-real estate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92,773</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w:t>
            </w:r>
          </w:p>
        </w:tc>
        <w:tc>
          <w:tcPr>
            <w:tcW w:w="1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82,308</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380,864</w:t>
            </w:r>
          </w:p>
        </w:tc>
        <w:tc>
          <w:tcPr>
            <w:tcW w:w="240" w:type="dxa"/>
            <w:vAlign w:val="bottom"/>
            <w:vMerge w:val="continue"/>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380,864</w:t>
            </w:r>
          </w:p>
        </w:tc>
        <w:tc>
          <w:tcPr>
            <w:tcW w:w="240" w:type="dxa"/>
            <w:vAlign w:val="bottom"/>
            <w:vMerge w:val="continue"/>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Loan Purchase Strategies. </w:t>
      </w:r>
      <w:r>
        <w:rPr>
          <w:rFonts w:ascii="Arial" w:cs="Arial" w:eastAsia="Arial" w:hAnsi="Arial"/>
          <w:sz w:val="18"/>
          <w:szCs w:val="18"/>
          <w:color w:val="auto"/>
        </w:rPr>
        <w:t>The LASG's loan purchasing strategy involves the acquisition of commercial loans, typically secured by real estate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assets located throughout the United States. The LASG includes a team of credit analysts, real estate analysts, servicing specialists and legal counsel with extensive experience in the loan acquisition business.</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acquire performing commercial loans typically at a discount to their unpaid principal balances. While we acquire loans on a nationwide basis, we seek to avoid significant concentration in any geographic region or in any one collateral type. We do not seek acquisition opportunities for which the primary collateral is land, construction, or one- to four-family residential property, although in a very limited number of cases, loans secured by such collateral may be included in a pool of otherwise desirable loans.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focus on servicing released, whole loan or lead participation transactions so that we can control the management of our portfolio through our experienced asset management professionals. Purchased loans can be acquired as a single relationship or combined with other borrowers in a larger pool. We generally avoid small average balance transactions (i.e. less than $250 thousand) due to the relatively higher operational and opportunity costs of managing and underwriting these assets. Loans are bid to a minimal acceptable yield to maturity based on the overall risk of the loan, including expected repayment terms and the underlying collateral value. Updated loan-to-value ratios and loan terms both influence the amount of discount the Bank requires in determining whether a loan meets the Bank's guidelines. We often achieve actual results in excess of our minimal acceptable yield to maturity when a loan is prepaid.</w:t>
      </w:r>
    </w:p>
    <w:p>
      <w:pPr>
        <w:spacing w:after="0" w:line="174"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At June 30, 2015, purchased loans had an unpaid principal balance of $239.9 million and a book value of $202.6 million, representing discount across the portfolio of 15.5%.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purchased loan portfolio as of June 30, 2015 by original purchase price percentage.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Initial Investment as a % of Unpaid Principal Balance</w:t>
            </w: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gridSpan w:val="2"/>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(Dollars in</w:t>
            </w:r>
          </w:p>
        </w:tc>
        <w:tc>
          <w:tcPr>
            <w:tcW w:w="20" w:type="dxa"/>
            <w:vAlign w:val="bottom"/>
          </w:tcPr>
          <w:p>
            <w:pPr>
              <w:spacing w:after="0"/>
              <w:rPr>
                <w:sz w:val="12"/>
                <w:szCs w:val="12"/>
                <w:color w:val="auto"/>
              </w:rPr>
            </w:pPr>
          </w:p>
        </w:tc>
        <w:tc>
          <w:tcPr>
            <w:tcW w:w="820" w:type="dxa"/>
            <w:vAlign w:val="bottom"/>
            <w:gridSpan w:val="2"/>
          </w:tcPr>
          <w:p>
            <w:pPr>
              <w:jc w:val="right"/>
              <w:ind w:right="97"/>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- 60%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88"/>
              </w:rPr>
              <w:t>60%</w:t>
            </w:r>
          </w:p>
        </w:tc>
        <w:tc>
          <w:tcPr>
            <w:tcW w:w="3140" w:type="dxa"/>
            <w:vAlign w:val="bottom"/>
          </w:tcPr>
          <w:p>
            <w:pPr>
              <w:ind w:left="20"/>
              <w:spacing w:after="0"/>
              <w:rPr>
                <w:sz w:val="20"/>
                <w:szCs w:val="20"/>
                <w:color w:val="auto"/>
              </w:rPr>
            </w:pPr>
            <w:r>
              <w:rPr>
                <w:rFonts w:ascii="Arial" w:cs="Arial" w:eastAsia="Arial" w:hAnsi="Arial"/>
                <w:sz w:val="18"/>
                <w:szCs w:val="18"/>
                <w:color w:val="auto"/>
              </w:rPr>
              <w:t>- 70%</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5,102</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88"/>
              </w:rPr>
              <w:t>70%</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30,282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88"/>
              </w:rPr>
              <w:t>80%</w:t>
            </w:r>
          </w:p>
        </w:tc>
        <w:tc>
          <w:tcPr>
            <w:tcW w:w="3140" w:type="dxa"/>
            <w:vAlign w:val="bottom"/>
          </w:tcPr>
          <w:p>
            <w:pPr>
              <w:ind w:left="20"/>
              <w:spacing w:after="0"/>
              <w:rPr>
                <w:sz w:val="20"/>
                <w:szCs w:val="20"/>
                <w:color w:val="auto"/>
              </w:rPr>
            </w:pPr>
            <w:r>
              <w:rPr>
                <w:rFonts w:ascii="Arial" w:cs="Arial" w:eastAsia="Arial" w:hAnsi="Arial"/>
                <w:sz w:val="18"/>
                <w:szCs w:val="18"/>
                <w:color w:val="auto"/>
              </w:rPr>
              <w:t>- 90%</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68,698</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88"/>
              </w:rPr>
              <w:t>90%</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202,592</w:t>
            </w:r>
          </w:p>
        </w:tc>
        <w:tc>
          <w:tcPr>
            <w:tcW w:w="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Secondary Market for Commercial Loans. </w:t>
      </w:r>
      <w:r>
        <w:rPr>
          <w:rFonts w:ascii="Arial" w:cs="Arial" w:eastAsia="Arial" w:hAnsi="Arial"/>
          <w:sz w:val="16"/>
          <w:szCs w:val="16"/>
          <w:color w:val="auto"/>
        </w:rPr>
        <w:t>Commercial whole loans are typically sold either directly by sellers or through loan sale advisors. Because a</w:t>
      </w:r>
      <w:r>
        <w:rPr>
          <w:rFonts w:ascii="Arial" w:cs="Arial" w:eastAsia="Arial" w:hAnsi="Arial"/>
          <w:sz w:val="16"/>
          <w:szCs w:val="16"/>
          <w:i w:val="1"/>
          <w:iCs w:val="1"/>
          <w:color w:val="auto"/>
        </w:rPr>
        <w:t xml:space="preserve"> </w:t>
      </w:r>
      <w:r>
        <w:rPr>
          <w:rFonts w:ascii="Arial" w:cs="Arial" w:eastAsia="Arial" w:hAnsi="Arial"/>
          <w:sz w:val="16"/>
          <w:szCs w:val="16"/>
          <w:color w:val="auto"/>
        </w:rPr>
        <w:t>central database for commercial whole loans does not exist, we attempt to compile our own statistics by both polling major loan sale advisors to obtain their aggregate trading volume and tracking the deal flow that we see directly via a proprietary database. This data reflects only a portion of the total market, as commercial whole loans that are sold in private direct sales or through other loan sale advisors are not included in our surveys. In recent years, the ratio of performing loans to total loans in the market has increased, in part, because, we believe, sellers have worked through their most troubled, non-performing loans or are looking to minimize the discount they would receive in a secondary market transaction. While the recent economic crisis has led to a high level of trading volume, we also expect the market to remain active in times of economic prosperity, as sellers tend to have additional reserve capacity to sell their unwanted assets. Furthermore, we believe that the continued consolidation of the banking industry will create secondary market activity as acquirers often sell non-strategic borrowing relationships or assets that create excess loan concentrations.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Underwriting of Purchased Loans. </w:t>
      </w:r>
      <w:r>
        <w:rPr>
          <w:rFonts w:ascii="Arial" w:cs="Arial" w:eastAsia="Arial" w:hAnsi="Arial"/>
          <w:sz w:val="16"/>
          <w:szCs w:val="16"/>
          <w:color w:val="auto"/>
        </w:rPr>
        <w:t>We review many loan purchase opportunities and commence underwriting on a relatively small percentage of them.</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2015, we reviewed approximately 128 transactions representing loans with $1.2 billion in unpaid principal balance. Of those transactions that we reviewed, we placed bids in 40 transactions representing loans with $161.5 million in unpaid principal balance. Ultimately, we closed 22 transactions in which we acquired $93.7 million in unpaid principal balance for an aggregate purchase price of $82.7 million, or 88.2% of the unpaid principal balance.</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Each of our purchased loans is individually underwritten by a team of in-house, seasoned analysts before being considered for approval. Prior to commencing underwriting, each loan or portfolio of loans is analyzed for its performance characteristics, loan terms, collateral quality, and price expectations. We also consider whether the loan or portfolio of loans would make our total purchased loan portfolio more or less diverse with respect to geography, loan type and collateral type. The opportunity is underwritten once it has been identified as fitting our investment parameters. While the extent of underwriting may vary based on investment size, procedures generally include the following:</w:t>
      </w:r>
    </w:p>
    <w:p>
      <w:pPr>
        <w:spacing w:after="0" w:line="210" w:lineRule="exact"/>
        <w:rPr>
          <w:sz w:val="20"/>
          <w:szCs w:val="20"/>
          <w:color w:val="auto"/>
        </w:rPr>
      </w:pPr>
    </w:p>
    <w:p>
      <w:pPr>
        <w:ind w:left="1080" w:right="5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loan analyst reviews and analyzes financial statements and third party research, including credit reports and other data with respect to the borrower, guarantors, corporate sponsors and any major tenants, in order to assess credit risk.</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the assistance of local counsel, where appropriate, an in-house attorney makes a determination regarding the quality of loan documentation and enforceability of loan terms.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in-house real estate specialist performs a detailed evaluation of all real estate collateral, including canvassing local market experts, conducting original market research for trends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sale and lease comparables, and creates a written valuation that is based on current data reflecting what we believe are recent trends.</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environmental assessment is performed on real estate collateral.</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property inspection is performed on all real estate collateral securing a loan, focusing on several characteristics, including, among other things, the physical quality of the property, current occupancy, general quality and occupancy within the neighborhood, market position and nearby property listings.</w:t>
      </w:r>
    </w:p>
    <w:p>
      <w:pPr>
        <w:spacing w:after="0" w:line="20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detailed underwriting package containing the results of all this analysis and information is assembled and reviewed by a separate credit analyst on our team before being submitted for approval by the LASG Credit Committee.</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Collateral Valuation. </w:t>
      </w:r>
      <w:r>
        <w:rPr>
          <w:rFonts w:ascii="Arial" w:cs="Arial" w:eastAsia="Arial" w:hAnsi="Arial"/>
          <w:sz w:val="18"/>
          <w:szCs w:val="18"/>
          <w:color w:val="auto"/>
        </w:rPr>
        <w:t>The estimated value of the real property collateralizing the loan is determined by the LASG's in-house real estate group,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among other factors, the type of property, its condition, location and its highest and best use in its marketplace. An inspection is conducted for the real property securing all loans bid upon, and for all loans that represent an investment in excess of $1.0 million, members of the LASG typically conduct an in-person site inspection.</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generally view cash flow from operations as the primary source of repayment on purchased loans. The LASG analyzes the current and likely future cash flows generated by the collateral to repay the loan. Also considered are minimum debt service coverage ratios, consisting of the ratio of net operating income to total principal and interest payments. For example, our credit policy provides that the debt service coverage ratio for a purchased commercial real estate loan generally should not be less than 120 percent of the monthly principal and interest payments resulting from a re-amortization of the Bank's basis, at a market interest rate.</w:t>
      </w:r>
    </w:p>
    <w:p>
      <w:pPr>
        <w:spacing w:after="0" w:line="197"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Loan Pricing.</w:t>
      </w:r>
      <w:r>
        <w:rPr>
          <w:sz w:val="20"/>
          <w:szCs w:val="20"/>
          <w:color w:val="auto"/>
        </w:rPr>
        <w:tab/>
      </w:r>
      <w:r>
        <w:rPr>
          <w:rFonts w:ascii="Arial" w:cs="Arial" w:eastAsia="Arial" w:hAnsi="Arial"/>
          <w:sz w:val="16"/>
          <w:szCs w:val="16"/>
          <w:color w:val="auto"/>
        </w:rPr>
        <w:t>In determining the amount that we are willing to bid to acquire individual loans or loan pools, the LASG considers the following:</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Collateral securing the loan;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resources of the borrower or guarantors,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Recourse nature of the loan;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Age and performance of the loan;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Length of time during which the loan has performed in accordance with its repayment term;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Yield expected to be earned;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Servicing restrictions, if any.</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to the factors listed above and despite the fact that purchased loans are typically performing loans, the LASG also estimates the amount that we may realize through collection efforts or foreclosure and sale of the collateral, net of expenses, and the length of time and costs required to complete the collection or foreclosure process in the event a loan becomes non-performing or is non-performing at the time of purchase.</w:t>
      </w:r>
    </w:p>
    <w:p>
      <w:pPr>
        <w:spacing w:after="0" w:line="16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i w:val="1"/>
          <w:iCs w:val="1"/>
          <w:color w:val="auto"/>
        </w:rPr>
        <w:t xml:space="preserve">Approvals. </w:t>
      </w:r>
      <w:r>
        <w:rPr>
          <w:rFonts w:ascii="Arial" w:cs="Arial" w:eastAsia="Arial" w:hAnsi="Arial"/>
          <w:sz w:val="18"/>
          <w:szCs w:val="18"/>
          <w:color w:val="auto"/>
        </w:rPr>
        <w:t>All loan purchases must be approved by the LASG Credit Committee. This committee is comprised of members of the executive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 and senior management from the LASG. Our credit policy currently requires prior Board approval for the purchase of a loan with an initial investment greater than 10% of the Company's Tier 1 capital, determined on a relationship basis.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 xml:space="preserve">Competition for Purchased Loans. </w:t>
      </w:r>
      <w:r>
        <w:rPr>
          <w:rFonts w:ascii="Arial" w:cs="Arial" w:eastAsia="Arial" w:hAnsi="Arial"/>
          <w:sz w:val="18"/>
          <w:szCs w:val="18"/>
          <w:color w:val="auto"/>
        </w:rPr>
        <w:t>The LASG competes primarily with community banks, regional banks and private equity funds operating nationwide.</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we often have a competitive advantage in bidding against private equity funds on performing loans because those funds generally have higher funding costs and, therefore, higher expectations for return on investment than we do. Furthermore, private equity funds typically do not compete for small balance commercial loans and typically pursue larger, bulk transactions.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Due to improving credit quality over the past several years and the continued low interest rate environment, the supply of loans available for purchase has declined, competition has increased, and spreads have tightened. Despite these trends, we believe that we continue to have a competitive advantage in bidding against other banks because we have a specialized group with experience in purchasing commercial real estate loans. Additionally, most banks we compete against are community banks looking to acquire loans in their market; these banks usually have specific criteria for their acquisition activities and do not pursue pools with collateral or geographic diversity.</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Loan Originations. </w:t>
      </w:r>
      <w:r>
        <w:rPr>
          <w:rFonts w:ascii="Arial" w:cs="Arial" w:eastAsia="Arial" w:hAnsi="Arial"/>
          <w:sz w:val="16"/>
          <w:szCs w:val="16"/>
          <w:color w:val="auto"/>
        </w:rPr>
        <w:t>In addition to purchasing loans, the LASG also originates commercial loans on a nationwide basis. Capitalizing on our purchased loan</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LASG is in a position to review and act quickly on a variety of lending opportunities. Risk management, approvals, underwriting and other due diligence for these loans is similar to that for purchased loans, with the exception of the appraisal and documentation process, which mirrors more traditional lenders in employing local attorneys and real estate appraisers to assist in the process. We believe that the LASG has an advantage in originating commercial loans because of its ability to utilize in-house staff to quickly and accurately screen loan opportunities and accelerate the underwriting process.</w:t>
      </w:r>
    </w:p>
    <w:p>
      <w:pPr>
        <w:spacing w:after="0" w:line="170"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i w:val="1"/>
          <w:iCs w:val="1"/>
          <w:color w:val="auto"/>
        </w:rPr>
        <w:t xml:space="preserve">Loan Servicing. </w:t>
      </w:r>
      <w:r>
        <w:rPr>
          <w:rFonts w:ascii="Arial" w:cs="Arial" w:eastAsia="Arial" w:hAnsi="Arial"/>
          <w:sz w:val="18"/>
          <w:szCs w:val="18"/>
          <w:color w:val="auto"/>
        </w:rPr>
        <w:t>We conduct all loan servicing for purchased and originated loans with an in-house team of experienced asset managers who 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manage the loan portfolio. Asset managers initiate and maintain regular borrower contact, and ensure that the loan credit analysis is accurate. Collateral valuations, property inspections, and other collateral characteristics are updated periodically as a result of our ongoing in-house real estate analysis. All asset management activity and analysis is contained within a central database.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Activities</w:t>
      </w:r>
    </w:p>
    <w:p>
      <w:pPr>
        <w:spacing w:after="0" w:line="23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Our securities portfolio and short-term investments provide and maintain liquidity, assist in managing the interest rate sensitivity of our balance sheet, and serve as collateral for certain of our obligations. Individual investment decisions are made based on the credit quality of the investment, liquidity requirements, potential returns, cash flow targets, and consistency with our asset/liability management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Deposits have traditionally been the primary source of the Bank's funds for lending and other investment purposes. In addition to deposits, the Bank obtains funds from the amortization and prepayment of loans and mortgage-backed securities, the sale, call or maturity of investment securities, advances from the Federal Home Loan Bank of Boston (the "FHLB"), other term borrowings and cash flows generated by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offer a full line of deposit products to customers in western and south-central Maine through our ten-branch network. Our deposit products consist of demand deposit, NOW, money market, savings and certificate of deposit accounts. Our customers access their funds through ATMs, MasterCard® Debit Cards, Automated Clearing House funds (electronic transfers) and checks. We also offer telephone banking, online banking and bill payment, mobile banking and remote deposit capture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services. Interest rates on our deposits are based upon factors that include prevailing loan demand, deposit maturities, alternative costs of funds, interest rates offered by competing financial institutions and other financial service firms, and general economic conditions. At June 30, 2015, we had core deposits of $674.2 million, representing 99.9% of total deposits. We define core deposits as non-maturity deposits and non-brokered insured time deposits.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online deposit program, ableBanking, provides an additional channel through which to obtain core deposits to support our growth. ableBanking, which was launched in late fiscal 2012 as a division of Northeast Bank, had $149.2 million in money market and time deposits as of June 30, 2015. We also use deposit listing services to gather deposits from time to time, in support of our liquidity and asset/liability management objectives. At June 30, 2015, listing service deposits totaled $169.6 million, bearing a weighted average term of 1.49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we currently consider core deposits (defined as non-maturity deposits and non-brokered insured time deposits) as our primary source of funding to support asset growth, advances from the FHLB and other sources of wholesale funding remain an important part of our liquidity contingency planning. Northeast Bank may borrow up to 50.0% of its total assets from the FHLB, and borrowings are typically collateralized by mortgage loans and securities pledged to the FHLB. At June 30, 2015, we had $45.7 million of available borrowing capacity based on collateral. Northeast Bank can also borrow from the Federal Reserve Bank of Boston, with any such borrowing collateralized by consumer loans pledged to the Federal Reserve.</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For the foreseeable future, we expect to rely less on borrowings than other banks of similar size, because of our regulatory commitment to fund 100% of our loans with core deposits, although the availability of FHLB and Federal Reserve Bank of Boston advances and other sources of wholesale funding remain an important part of our liquidity contingency planning.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Technology and Operational Enhancements</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Over the past few years, we have made investments in technology and customer service to develop the infrastructure to support the LASG, SBA National Group, ableBanking, and the Community Banking Division. In fiscal 2014, we successfully converted the Bank's core banking system from an "in-house" platform to a service-bureau solution offering enhanced features and capabilities. We expect that future investments in technology, customer service and operational support functions will generally be proportionate to our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of June 30, 2015, the Company employed 174 full-time and 17 part-time employees. The Company's employees are not represented by any collective bargaining unit. The Company believes that its relations with its employees are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Subsidiaries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2015, the Bank had four wholly-owned non-bank subsidiaries:</w:t>
      </w:r>
    </w:p>
    <w:p>
      <w:pPr>
        <w:spacing w:after="0" w:line="239" w:lineRule="exact"/>
        <w:rPr>
          <w:sz w:val="20"/>
          <w:szCs w:val="20"/>
          <w:color w:val="auto"/>
        </w:rPr>
      </w:pPr>
    </w:p>
    <w:p>
      <w:pPr>
        <w:ind w:left="1080" w:right="3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Northeast Bank Insurance Group, Inc. ("NBIG"). The insurance agency assets of NBIG were sold on September 1, 2011. The entity currently holds the real estate formerly used in its insurance agency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 Elm Realty, LLC, which was established to hold commercial real estate acquired as a result of loan workouts.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500 Pine Realty, LLC, which was established to hold residential real estate acquired as a result of loan workouts.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17 Dogwood Realty, LLC, which was established to hold commercial real estate acquired as a result of loan workouts.</w:t>
      </w:r>
    </w:p>
    <w:p>
      <w:pPr>
        <w:spacing w:after="0" w:line="225"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Company's wholly-owned subsidiary, ASI Data Services, Inc. ("ASI"), is an inactive corporate subsidiary. ASI initially provided data processing services to the Company and its subsidiaries. The Company's board transferred the assets and operations of ASI to the Bank in 1996.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a bank holding company registered under the Bank Holding Company Act of 1956, as amended (the "BHCA"), the Company is subject to regulation and supervision by the Federal Reserve. As a Federal Deposit Insurance Corporation ("FDIC") insured Maine-chartered bank, the Bank is subject to regulation and supervision by the Maine Bureau of Financial Institutions (the "Bureau") and the FDIC. This regulatory framework is intended to protect depositors, the federal deposit insurance fund, consumers and the banking system as a whole, and not necessarily investors in the Company. The following discussion is qualified in its entirety by reference to the full text of the statutes, regulations, policies and guidelines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Holding Company Regulation</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a bank holding company becomes a financial holding company under the Gramm-Leach-Bliley Act ("GLBA") as discussed below, the BHCA generally prohibits a bank holding company from acquiring a direct or indirect interest in or control of more than 5% of the voting shares of any company that is not a bank or a bank holding company. The BHCA requires every bank holding company to obtain the prior approval of the Federal Reserve before it may acquire substantially all of the assets of any bank, or ownership or control of any voting shares of a bank, if, after such acquisition, it would own or control, directly or indirectly, more than 5% of the voting stock of such bank. In addition, the BHCA generally prohibits a bank holding company from engaging directly or indirectly in activities other than those of banking, managing or controlling banks or furnishing services to its subsidiary banks. However, a bank holding company may engage in, and may own shares of companies engaged in certain activities, that the Federal Reserve had determined as of November 11, 1999 to be so closely related to banking or managing and controlling banks so as to be incident thereto.</w:t>
      </w:r>
    </w:p>
    <w:p>
      <w:pPr>
        <w:spacing w:after="0" w:line="172"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Under GLBA, bank holding companies that qualify and have elected to be treated as financial holding companies are permitted to offer their customers virtually any type of service that is financial in nature or incidental thereto, including banking, securities underwriting, insurance (both underwriting and agency), and merchant banking. Under the Dodd-Frank Wall Street Reform and Consumer Protection Act, (the "Dodd-Frank Act") however, a bank holding company and its affiliates are prohibited from engaging in proprietary trading and from sponsoring and investing in hedge funds and private equity funds, except as permitted under certain limited circumstances. In order to engage in financial activities under GLBA, a bank holding company must qualify and register with the Federal Reserve as a "financial holding company" by demonstrating that the bank holding company and each of its depository institution subsidiaries is "well capitalized" and "well managed." A financial holding company may not engage in new activities not permissible for all bank holding companies or acquire a company engaged in any activity that is not permissible for all bank holding companies if any depository institution subsidiary of the company has received on its most recent examination under the Community Reinvestment Act of 1977 ("CRA") a rating less than "satisfactory." Although the Company believes that it meets the qualifications to become a financial holding company under GLBA,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it has not elected "financial holding company" status, but rather to retain its pre-GLBA bank holding company regulatory status for the present time.</w:t>
      </w:r>
    </w:p>
    <w:p>
      <w:pPr>
        <w:spacing w:after="0" w:line="24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is required by the BHCA to file an annual report and additional reports required with the Federal Reserve. The Federal Reserve also makes periodic inspections of the Company and its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is a legal entity separate and distinct from the Bank. The revenue of the Company (on a parent company only basis) is derived primarily from interest and dividends from the Bank. The right of the Company, and consequently the right of shareholders of the Company, to participate in any distribution of the assets or earnings of the Bank through the payment of such dividends or otherwise is necessarily subject to the prior claims of creditors of the Bank (including depositors), except to the extent that certain claims of the Company in a creditor capacity may be recognized.</w:t>
      </w:r>
    </w:p>
    <w:p>
      <w:pPr>
        <w:spacing w:after="0" w:line="16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It is the policy of the Federal Reserve that bank holding companies should pay dividends only out of current earnings and only if, after paying such dividends, the bank holding company would remain adequately capitalized. The Federal Reserve has the authority to prohibit a bank holding company, such as the Company, from paying dividends if it deems such payment to be an unsafe or unsound practice.</w:t>
      </w:r>
    </w:p>
    <w:p>
      <w:pPr>
        <w:spacing w:after="0" w:line="194"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FDIC has the authority to use its enforcement powers to prohibit a bank from paying dividends if, in its opinion, the payment of dividends would constitute an unsafe or unsound practice. Federal law also prohibits the payment of dividends by a bank that will result in the bank failing to meet its applicable capital requirements on a pro forma basis. Maine law requires the approval of the Bureau for any dividend that would reduce a bank's capital below prescribed limits.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Strength</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Under the Dodd-Frank Act, the Company is required to serve as a source of financial strength for the Bank in the event of the financial distress of the Bank. This provision codifies the longstanding policy of the Federal Reserve. In addition, any capital loans by a bank holding company to any of its bank subsidiaries are subordinate to the payment of deposits and to certain other indebtedness. In the event of a bank holding company's bankruptcy, any commitment by the bank holding company to a federal bank regulatory agency to maintain the capital of a bank subsidiary will be assumed by the bankruptcy trustee and entitled to a priority of payment.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Transactions by Bank Holding Companies with their Affiliates</w:t>
      </w:r>
    </w:p>
    <w:p>
      <w:pPr>
        <w:spacing w:after="0" w:line="225"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There are various statutory restrictions on the extent to which bank holding companies and their non-bank subsidiaries may borrow, obtain credit from or otherwise engage in "covered transactions" with their insured depository institution subsidiaries. The Dodd-Frank Act amended the definition of affiliate to include any investment fund for which the depository institution or one of its affiliates is an investment adviser. An insured depository institution (and its subsidiaries) may not lend money to, or engage in other covered transactions with, its non-depository institution affiliates if the aggregate amount of covered transactions outstanding involving the bank, plus the proposed transaction, exceeds the following limits: (a) in the case of any one such affiliate, the aggregate amount of covered transactions of the insured depository institution and its subsidiaries cannot exceed 10% of the capital stock and surplus of the insured depository institution; and (b) in the case of all affiliates, the aggregate amount of covered transactions of the insured depository institution and its subsidiaries cannot exceed 20% of the capital stock and surplus of the insured depository institution. For this purpose, "covered transactions" are defined by statute to include a loan or extension of credit to an affiliate, a purchase of or investment in securities issued by an affiliate, a purchase of assets from an affiliate, the acceptance of securities issued by an affiliate as collateral for a loan or extension of credit to any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person or company, the issuance of a guarantee, acceptance or letter of credit on behalf of an affiliate, securities borrowing or lending transactions with an affiliate that creates a credit exposure to such affiliate, or a derivatives transaction with an affiliate that creates a credit exposure to such affiliate. Covered transactions are also subject to collateral security requirements. Covered transactions as well as other types of transactions between a bank and a bank holding company must be on market terms and not otherwise unduly favorable to the holding company or an affiliate of the holding company. Moreover, Section 106 of the Bank Holding Company Act Amendments of 1970 provides that, to further competition, a bank holding company and its subsidiaries are prohibited from engaging in certain tying arrangements in connection with any extension of credit, lease or sale of property of any kind, or furnishing of any service.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Bank</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a Maine-chartered bank, the Bank is subject to the supervision of and regulation by the Bureau and the FDIC, as the Bank's insurer of deposits. This supervision and regulation is for the protection of depositors, the FDIC's Deposit Insurance Fund ("DIF"), and consumers, and is not for the protection of the Company's shareholders. The prior approval of the Bureau and the FDIC is required, among other things, for the Bank to establish or relocate an additional branch office, assume deposits, or engage in any merger, consolidation, purchase or sale of all or substantially all of the assets of any bank. Under the Dodd-Frank Act, the Federal Reserve may directly examine the subsidiaries of the Company, including the Bank.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Adequacy and Safety and Soundness</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i w:val="1"/>
          <w:iCs w:val="1"/>
          <w:color w:val="auto"/>
        </w:rPr>
        <w:t xml:space="preserve">Regulatory Capital Requirements. </w:t>
      </w:r>
      <w:r>
        <w:rPr>
          <w:rFonts w:ascii="Arial" w:cs="Arial" w:eastAsia="Arial" w:hAnsi="Arial"/>
          <w:sz w:val="16"/>
          <w:szCs w:val="16"/>
          <w:color w:val="auto"/>
        </w:rPr>
        <w:t>The Federal Reserve has issued risk-based and leverage capital rules applicable to bank holding companies such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FDIC has issued similar rules that apply to insured state nonmember banks, such as the Bank. These guidelines are intended to reflect the relationship between the banking organization's capital and the degree of risk associated with its operations based on transactions recorded on-balance sheet as well as off-balance sheet items. The FRB and the FDIC may from time to time require that a banking organization maintain capital above the minimum levels discussed below, due to the banking organization's financial condition or actual or anticipated growth.</w:t>
      </w:r>
    </w:p>
    <w:p>
      <w:pPr>
        <w:spacing w:after="0" w:line="170"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capital adequacy rules define qualifying capital instruments and specify minimum amounts of capital as a percentage of assets that banking organizations are required to maintain. Common equity Tier 1 capital for banks and bank holding companies consists of common stockholders' equity and related surplus. Tier 1 capital for banks and bank holding companies generally consists of the sum of common shareholders' equity, non-cumulative perpetual preferred stock, and related surplus and, in certain cases and subject to limitations, minority interest in consolidated subsidiaries, less goodwill, other non-qualifying intangible assets and certain other deductions. Tier 2 capital generally consists of hybrid capital instruments, perpetual debt and mandatory convertible debt securities, cumulative perpetual preferred stock, term subordinated debt and intermediate-term preferred stock, and, subject to limitations, allowances for loan losses. The sum of Tier 1 and Tier 2 capital less certain required deductions represents qualifying total risk-based capital.</w:t>
      </w:r>
    </w:p>
    <w:p>
      <w:pPr>
        <w:spacing w:after="0" w:line="17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Prior to the effectiveness of certain provisions of the Dodd-Frank Act, bank holding companies were permitted to include trust preferred securities and cumulative perpetual preferred stock in Tier 1 capital, subject to limitations. However, the FRB's capital rule applicable to bank holding companies permanently grandfathers nonqualifying capital instruments, including trust preferred securities, issued before May 19, 2010 by depository institution holding companies with less than $15 billion in total assets as of December 31, 2009, subject to a limit of 25% of Tier 1 capital. In addition, under rules that became effective January 1, 2015, accumulated other comprehensive income (positive or negative) must be reflected in Tier 1 capital; however, the Company was permitted to make a one-time, permanent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election to continue to exclude accumulated other comprehensive income from capital. In March 2015, the Company made a one time, permanent election to continue to exclude accumulated other comprehensive income from capital.</w:t>
      </w:r>
    </w:p>
    <w:p>
      <w:pPr>
        <w:spacing w:after="0" w:line="186"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Under the capital rules, risk-based capital ratios are calculated by dividing Tier 1 and total risk-based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Under rules effective January 1, 2015, a bank holding company, such as the Company, is considered "well capitalized" if the bank holding company (i) has 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total risk based capital ratio of at least 10%, (ii) has a Tier 1 risk-based capital ratio of at least 6%, and (iii) is not subject to any written agreement order,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directive or prompt corrective action directive to meet and maintain a specific capital level for any capital measure. In addition, the FDIC has amended its prompt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corrective action rules to reflect the revisions made by the revised capital rules described above. Under the FDIC's revised rules, which became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1, 2015, an insured state nonmember bank is considered "well capitalized" if it (i) has a total risk-based capital ratio of 10.0% or greater; (ii) a Tier 1 risk-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capital ratio of 8.0% or greater; (iii) a common Tier 1 equity ratio of 6.5% or greater, (iv) a leverage capital ratio of 5.0% or greater; and (iv) is not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any written agreement, order, capital directive, or prompt corrective action directive to meet and maintain a specific capital level for any capital measure.</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and the Banks are considered "well capitalized" under all regulatory definitions.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Generally, a bank, upon receiving notice that it is not adequately capitalized (i.e., that it is "undercapitalized"), becomes subject to the prompt corrective action provisions of Section 38 of FDIA that, for example, (i) restrict payment of capital distributions and management fees, (ii) require that the Federal Reserve monitor the condition of the institution and its efforts to restore its capital, (iii) require submission of a capital restoration plan, (iv) restrict the growth of the institution's assets and (v) require prior regulatory approval of certain expansion proposals. A bank that is required to submit a capital restoration plan must concurrently submit a performance guarantee by each company that controls the bank. A bank that is "critically undercapitalized" (i.e., has a ratio of tangible equity to total assets that is equal to or less than 2.0%) will be subject to further restrictions, and generally will be placed in conservatorship or receivership within 90 days.</w:t>
      </w:r>
    </w:p>
    <w:p>
      <w:pPr>
        <w:spacing w:after="0" w:line="20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Deposit Insurance. </w:t>
      </w:r>
      <w:r>
        <w:rPr>
          <w:rFonts w:ascii="Arial" w:cs="Arial" w:eastAsia="Arial" w:hAnsi="Arial"/>
          <w:sz w:val="16"/>
          <w:szCs w:val="16"/>
          <w:color w:val="auto"/>
        </w:rPr>
        <w:t>Deposits in the Bank are insured by the FDIC to the maximum extent permitted by law. Pursuant to the Dodd-Frank Act, FDIC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has been permanently increased from $100,000 to $250,000 per depositor for deposits maintained by the depositor in the same right and capacity. The FDIA, as amended by the Federal Deposit Insurance Reform Act and the Dodd-Frank Act, requires the FDIC to set a ratio of deposit insurance reserves to estimated insured deposits of the Bank—the designated reserve ratio—of 1.35%. The FDIC utilizes a risk-based assessment system that imposes insurance premiums based upon a risk matrix that takes into account a bank's capital level and supervisory rating ("CAMELS rating"). CAMELS ratings reflect the applicable bank regulatory agency to applicable limits by the DIF and are subject to deposit, management, earnings, liquidity and sensitivity to risk. Assessment rates may also vary for certain institutions based on long term debt issuer ratings, secured or brokered deposits. Pursuant to the Dodd-Frank Act, deposit premiums are based on assets rather than insurable deposits. To determine its actual deposit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insurance premiums, the Bank computes the base amount on its average consolidated assets less its average tangible equity (defined as the amount of Tier 1 capital) and its applicable assessment rate. Assessment rates range from 2.5 to 9 basis points on the broader assessment base for banks in the lowest risk category up to 30 to 45 basis points for banks in the highest risk category.</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39"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i w:val="1"/>
          <w:iCs w:val="1"/>
          <w:color w:val="auto"/>
        </w:rPr>
        <w:t xml:space="preserve">Safety and Soundness Standard. </w:t>
      </w:r>
      <w:r>
        <w:rPr>
          <w:rFonts w:ascii="Arial" w:cs="Arial" w:eastAsia="Arial" w:hAnsi="Arial"/>
          <w:sz w:val="16"/>
          <w:szCs w:val="16"/>
          <w:color w:val="auto"/>
        </w:rPr>
        <w:t>The FDIA requires the federal bank regulatory agencies to prescribe standards, by regulations or guidelines,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controls, information systems and internal audit systems, loan documentation, credit underwriting, interest rate risk exposure, asset growth, asset quality, earnings, stock valuation and compensation, fees and benefits, and such other operational and managerial standards as the agencies deem appropriate. Guidelines adopted by the federal bank regulatory agencies establish general standards relating to internal controls and information systems, internal audit systems, loan documentation, credit underwriting, interest rate exposure, asset growth and compensation, fees and benefits. In general, these guidelines require, among other things, appropriate systems and practices to identify and manage the risk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the federal banking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FDIA. See "—Regulatory Capital Requirements" above. If an institution fails to comply with such an order, the agency may seek to enforce such order in judicial proceedings and to impose civil money penalties.</w:t>
      </w:r>
    </w:p>
    <w:p>
      <w:pPr>
        <w:spacing w:after="0" w:line="18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Depositor Preference. </w:t>
      </w:r>
      <w:r>
        <w:rPr>
          <w:rFonts w:ascii="Arial" w:cs="Arial" w:eastAsia="Arial" w:hAnsi="Arial"/>
          <w:sz w:val="16"/>
          <w:szCs w:val="16"/>
          <w:color w:val="auto"/>
        </w:rPr>
        <w:t>The FDIA provides that, in the event of the "liquidation or other resolution" of an insured depository institution, the claims of</w:t>
      </w:r>
      <w:r>
        <w:rPr>
          <w:rFonts w:ascii="Arial" w:cs="Arial" w:eastAsia="Arial" w:hAnsi="Arial"/>
          <w:sz w:val="16"/>
          <w:szCs w:val="16"/>
          <w:i w:val="1"/>
          <w:iCs w:val="1"/>
          <w:color w:val="auto"/>
        </w:rPr>
        <w:t xml:space="preserve"> </w:t>
      </w:r>
      <w:r>
        <w:rPr>
          <w:rFonts w:ascii="Arial" w:cs="Arial" w:eastAsia="Arial" w:hAnsi="Arial"/>
          <w:sz w:val="16"/>
          <w:szCs w:val="16"/>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Activities and Investments of Insured State Banks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powers of a Maine-chartered bank, such as the Bank, include provisions designed to provide Maine banks with competitive equity to the powers of national banks. GLBA includes a section of the FDIA governing subsidiaries of state banks that engage in "activities as principal that would only be permissible" for a national bank to conduct in a financial subsidiary. This provision permits state banks, to the extent permitted under state law, to engage in certain new activities, which are permissible for subsidiaries of a financial holding company. Further, it expressly preserves the ability of a state bank to retain all existing subsidiaries. Because Maine law explicitly permits banks chartered by the state to engage in all activities permissible for federally-chartered banks, the Bank is permitted to form subsidiaries to engage in the activities authorized by GLBA. In order to form a financial subsidiary,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state bank must be well-capitalized, and the state bank would be subject to certain capital deduction, risk management and affiliate transaction rules.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25"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Company and the Bank are subject to a number of federal and state laws designed to protect consumers and prohibit unfair or deceptive business practices. These laws include the Equal Credit Opportunity Act, the Fair Housing Act, Home Ownership Protection Act, the Fair Credit Reporting Act, as amended by the Fair and Accurate Credit Transactions Act of 2003 ("FACT Act"), GLBA, the Truth in Lending Act, CRA, the Home Mortgage Disclosure Act, the Real Estate Settlement Procedures Act, the National Flood Insurance Act, Electronic Funds Transfer Act, Truth in Savings Act, Secure and Fair Enforcement Act, Expedited Funds Availability Act, and various state law counterparts. These laws and regulations mandate certain disclosure requirements and regulate the manner in which financial institutions must interact with customers when taking deposits, making loans, collecting loans and providing other services. Further, the Dodd-Frank Act established the CFPB, which has the responsibility for making rules and regulations under the federal consumer protection laws relating to financial products and services. The CFPB also has a broad mandate to prohibit unfair or deceptive acts and practices and is specifically empowered to require certain disclosures to consumers and draft model disclosure forms. Failure to comply with consumer protection laws and regulations can subject financial institutions to enforcement actions, fines and other penalties. The FDIC examines the Bank for compliance with CFPB rules and enforces CFPB rules with respect to the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Reform</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Dodd-Frank Act prescribes certain standards that mortgage lenders must consider before making a residential mortgage loan, including verifying a borrower's ability to repay such mortgage loan. The Dodd-Frank Act also allows borrowers to assert violations of certain provisions of the Truth-in-Lending Act as a defense to foreclosure proceedings. Under the Dodd-Frank Act, prepayment penalties are prohibited for certain mortgage transactions and creditors are prohibited from financing insurance policies in connection with a residential mortgage loan or home equity line of credit. The Dodd-Frank Act requires mortgage lenders to make additional disclosures prior to the extension of credit, in each billing statement and for negative amortization loans and hybrid adjustable rate mortgages. Additionally, the Dodd-Frank Act prohibits mortgage originators from receiving compensation based on the terms of residential mortgage loans and generally limits the ability of a mortgage originator to be compensated by others if compensation is received from a consumer.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Customer Information Security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GLBA requires financial institutions to implement policies and procedures regarding the disclosure of nonpublic personal information about consumers to nonaffiliated third parties. In general, the Bank must provide its customers with an annual disclosure that explains its policies and procedures regarding the disclosure of such nonpublic personal information and, except as otherwise required or permitted by law, the Bank is prohibited from disclosing such information except as provided in such policies and procedures. GLBA also requires that the Bank develop, implement and maintain a comprehensive written information security program designed to ensure the security and confidentiality of customer information (as defined under GLBA), to protect against anticipated threats or hazards to the security or integrity of such information; and to protect against unauthorized access to or use of such information that could result in substantial harm or inconvenience to any customer. The Bank is also required to send a notice to customers whose "sensitive information" has been compromised if unauthorized use of this information is "reasonably possible." Most states, including Maine, have enacted legislation concerning breaches of data security and the duties of the Bank in response to a data breach. Congress continues to consider federal legislation that would require consumer notice of</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data security breaches. Pursuant to the FACT Act, the Bank must also develop and implement a written identity theft prevention program to detect, prevent, and mitigate identity theft in connection with the opening of certain accounts or certain existing accounts. Additionally, the FACT Act amends the Fair Credit Reporting Act to generally prohibit a person from using information received from an affiliate to make a solicitation for marketing purposes to a consumer, unless the consumer is given notice and a reasonable opportunity and a reasonable and simple method to opt out of the making of such solicitations.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Enforcement Authority</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enforcement powers available to the federal banking agencies include, among other things, the ability to assess civil money penalties, to issue cease and desist or removal orders and to initiate injunctive actions against banking organizations and institution-affiliated parties, as defined. In general, these enforcement actions may be initiated for violations of law and regulations and unsafe or unsound practices. Other actions or inactions may provide the basis for enforcement action, including misleading or untimely reports filed with regulatory authorities. Under certain circumstances, federal and state law requires public disclosure and reports of certain criminal offenses and also final enforcement actions by the federal banking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Reinvestment Act</w:t>
      </w:r>
    </w:p>
    <w:p>
      <w:pPr>
        <w:spacing w:after="0" w:line="225"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 xml:space="preserve">Pursuant to the CRA, regulatory authorities review the performance of the Bank in meeting the credit needs of the communities it serves. The applicable regulatory authorities consider compliance with this law in connection with the applications for, among other things, approval for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branches, branch relocations and acquisitions of banks and bank holding companies. The Bank received a "satisfactory" rating at its CRA examination dated June 10, 2013, its most recent exam.</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Failure of an institution to receive at least a "satisfactory" rating could inhibit such institution or its holding company from undertaking certain activities, including engaging in activities permitted for a financial holding company under GLBA, and acquisitions of other financial institutions. The FDIC must take into account the record of performance of banks in meeting the credit needs of the entire community served, including low- and moderate-income neighborhoods. Current CRA regulations for large banks primarily rely on objective criteria of the performance of institutions under three key assessment tests: a lending test, a service test and an investment test. For smaller banks, current CRA regulations primarily evaluate the performance of institutions under two key assessment tests: a lending test and a community development test. The Company is committed to meeting the existing or anticipated credit needs of its entire community, including low- and moderate-income neighborhoods, consistent with safe and sound banking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Branching and Acquisitions</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Riegle-Neal Interstate Banking and Branching Efficiency Act of 1994, as amended ("Riegle-Neal") and the Dodd-Frank Act permit well capitalized and well managed bank holding companies, as determined by the Federal Reserve, to acquire banks in any state subject to certain concentration limits and other conditions. Riegle-Neal also generally authorizes the interstate merger of banks. In addition, among other things, Riegle-Neal and the Dodd-Frank Act permit banks to establish new branches on an interstate basis to the same extent a bank chartered by the host state may establish branches. Bank holding companies and banks are required to obtain prior Federal Reserve approval to acquire more than 5% of a class of voting securities, or substantially all of the assets, of a bank holding company, bank or savings association.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and the Bank Secrecy Act</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Under the Bank Secrecy Act ("BSA"), a financial institution is required to have systems in place to detect certain transactions, based on the size and nature of the transaction. Financial institutions are generally required to report to the United States Treasury any cash transactions involving more than $10,000. In addition, financial institutions are required to file suspicious activity reports for transactions that involve more than $5,000 and which the financial institution knows, suspects or has reason to suspect involves illegal funds, is designed to evade the requirements of the BSA or has no lawful purpose. The Uniting and Strengthening America by Providing Appropriate Tools Required to Intercept and Obstruct Terrorism Act of 2001 (the "USA PATRIOT Act"), which amended the BSA, is designed to deny terrorists and others the ability to obtain anonymous access to the U.S. financial system. The USA PATRIOT Act has significant implications for financial institutions and businesses of other types involved in the transfer of money. The USA PATRIOT Act, together with the implementing regulations of various federal regulatory agencies, has caused financial institutions, such as the Bank, to adopt and implement additional policies or amend existing policies and procedures with respect to, among other things, anti-money laundering compliance, suspicious activity, currency transaction reporting, customer identity verification and customer risk analysis. In evaluating an application under Section 3 of the BHCA to acquire a bank or an application under the Bank Merger Act to merge banks or affect a purchase of assets and assumption of deposits and other liabilities, the applicable federal banking regulator must consider the anti-money laundering compliance record of both the applicant and the target.</w:t>
      </w:r>
    </w:p>
    <w:p>
      <w:pPr>
        <w:spacing w:after="0" w:line="178"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United States has imposed economic sanctions that affect transactions with designated foreign countries, nationals and others. These sanctions, which are administered by the Treasury Office of Foreign Assets Control ("OFAC"),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(ii) a blocking of assets in which the government or specially designated nationals of the sanctioned country have an interest, by prohibiting transfers of property subject to U.S. jurisdiction (including property in the possession or control of U.S. persons); and (iii) restrictions on transactions with or involving certain persons or entities. Blocked assets (for example, property and bank deposits) cannot be paid out, withdrawn, set off or transferred in any manner without a license from OFAC.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System</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Bank is a member of the Federal Home Loan Bank of Boston (the "FHLBB"), which is one of the regional Federal Home Loan Banks comprising the Federal Home Loan Bank System. Each Federal Home Loan Bank provides a central credit facility primarily for member institutions. Member institutions are required to acquire and hold shares of capital stock in the FHLBB in an amount at least equal to the sum of 0.35% of the aggregate principal amount of its unpaid residential mortgage loans and similar obligations at the beginning of each year and 4.5% of its advances (borrowings) from the FHLBB. The Bank was in compliance with this requirement with an investment in FHLBB stock as of June 30, 2015 of $4.1 million. The Bank receives dividends on its FHLBB stock. The FHLBB has recently declared dividends equal to an annual yield of approximately the daily average three-month LIBOR yield for the quarter for which the dividend has been declared. Dividend income on FHLBB stock of $67 thousand was recorded during the most recent fiscal year.</w:t>
      </w:r>
    </w:p>
    <w:p>
      <w:pPr>
        <w:spacing w:after="0" w:line="172"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Any advances from the FHLBB must be secured by specified types of collateral, and long-term advances may be used for the purpose of providing funds for residential housing finance, commercial lending and to purchase investments. Long term advances may also be used to help manage interest rate risk for asset and liability management purposes. As of June 30, 2015, the Bank had $30.2 million in outstanding FHLBB advances.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Investing in our common stock involves a high degree of risk. You should carefully consider the following risks and uncertainties, together with all other information in this prospectus, including our consolidated financial statements and related notes, before investing in our common stock. Any of the risk factors we describe below could adversely affect our business, financial condition or results of operations. The trading price of our voting common stock could decline if one or more of these risks or uncertainties actually occur, causing you to lose all or part of your investment. Certain statements below are forward-looking statements. See "A Note About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regulatory conditions that could constrain our ability to grow our business.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conjunction with the regulatory approvals received for the merger with FHB Formation LLC, we committed to maintain a Tier 1 leverage ratio of at least 10%, fund 100% of our loans with core deposits, limit purchased loans to 40% of total loans and hold non-owner occupied commercial real estate loans to within 300% of total risk-based capital. Core deposits, for purposes of this commitment, are defined as non-brokered non-maturity deposits and non-brokered insured time deposits. At June 30, 2015, the ratio of our purchased loans to total loans was 32.6%. Our ability to purchase loans will be dependent on our ability to grow our originated loan portfolio. To the extent that our ability to originate loans is constrained by market forces or for any other reason, our ability to execute our loan acquisition strategy would be similarly constrained.</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our allowance for loan losses is not sufficient to absorb actual losses or if we are required to increase our allowance, our financial condition and results of operations could be adversely affected.</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exposed to the risk that our borrowers may default on their obligations. A borrower's default on its obligations under one or more loans of the Bank may result in lost principal and interest income and increased operating expenses as a result of the allocation of management time and resources to the collection and work-out of the loan. In certain situations, where collection efforts are unsuccessful or acceptable work-out arrangements cannot be reached, the Bank may have to write off the loan in whole or in part. In such situations, the Bank may acquire real estate or other assets, if any, that secure the loan through foreclosure or other similar available remedies, and often the amount owed under the defaulted loan exceeds the value of the assets acquired.</w:t>
      </w:r>
    </w:p>
    <w:p>
      <w:pPr>
        <w:spacing w:after="0" w:line="17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periodically make a determination of an allowance for loan losses based on available information, including, but not limited to, our historical loss experience, the quality of the loan portfolio, certain economic conditions, the value of the underlying collateral, expected cash flows from purchased loans, and the level of non-accruing and criticized loans. We rely on our loan quality reviews, our experience and our evaluation of economic conditions, among other factors, in determining the amount of provision required for the allowance for loan losses. Provisions to this allowance result in an expense for the period. If, as a result of general economic conditions, previously incorrect assumptions, or an increase in defaulted loans, we determine that additional increases in the allowance for loan losses are necessary, we will incur additional expenses.</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Determining the allowance for loan losses inherently involves a high degree of subjectivity and requires us to make significant estimates of current credit risks and future trends, all of which may undergo material changes. At any time, there are likely to be loans in our portfolio that will result in losses but that have not been identified as nonperforming or potential problem credits. We cannot be sure that we will be able to identify deteriorating credits before they become nonperforming assets or that we will be able to limit losses on those loans that are identified. We have in the past been, and in the future may be, required to increase our allowance for loan losses for any of several reasons. State and federal regulators, in reviewing our loan portfolio as part of a regulatory examination, may request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that we increase our allowance for loan losses. Changes in economic conditions affecting borrowers, new information regarding existing loans, identification of additional problem loans and other factors, both within and outside of our control, may require an increase in our allowance for loan losses. In addition, if charge-offs in future periods exceed those estimated in our determination of our allowance for loan losses, we will need additional increases in our allowance for loan losses. Any increases in our allowance for loan losses will result in a decrease in our net income and, possibly, our capital, and could have an adverse effect on our financial condition and results of operations.</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A significant portion of loans held in our loan portfolio were originated by third parties, and such loans may not have been subject to the same level of due diligence that Northeast Bank would have conducted had it originated the loans.</w:t>
      </w:r>
    </w:p>
    <w:p>
      <w:pPr>
        <w:spacing w:after="0" w:line="186"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At June 30, 2015, 32.6% of the loans held in our loan portfolio were originated by third parties, and therefore may not have been subject to the same level of due diligence that Northeast Bank would have conducted had it originated the loans. Although the Loan Acquisition and Servicing Group conducts a comprehensive review of all loans that it purchases, loans originated by third parties may lack current financial information and may have incomplete legal documentation and outdated appraisals. As a result, the Loan Acquisition and Servicing Group may not have information with respect to an acquired loan which, if known at the time of acquisition, would have caused it to reduce its bid price or not bid for the loan at all. This may adversely affect our yield on loans or cause us to increase our provision for loan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experience with loans held in our loan portfolio that were originated by third parties is limited.</w:t>
      </w:r>
    </w:p>
    <w:p>
      <w:pPr>
        <w:spacing w:after="0" w:line="225" w:lineRule="exact"/>
        <w:rPr>
          <w:sz w:val="20"/>
          <w:szCs w:val="20"/>
          <w:color w:val="auto"/>
        </w:rPr>
      </w:pPr>
    </w:p>
    <w:p>
      <w:pPr>
        <w:ind w:right="80" w:firstLine="341"/>
        <w:spacing w:after="0" w:line="335" w:lineRule="auto"/>
        <w:rPr>
          <w:sz w:val="20"/>
          <w:szCs w:val="20"/>
          <w:color w:val="auto"/>
        </w:rPr>
      </w:pPr>
      <w:r>
        <w:rPr>
          <w:rFonts w:ascii="Arial" w:cs="Arial" w:eastAsia="Arial" w:hAnsi="Arial"/>
          <w:sz w:val="15"/>
          <w:szCs w:val="15"/>
          <w:color w:val="auto"/>
        </w:rPr>
        <w:t>At June 30, 2015, the 32.6% of the loans held in our loan portfolio that were originated by third parties had been held by us for approximately 1.6 years, calculated on a weighted average basis. Consequently, we have had only a relatively short period of time to evaluate the performance of those loans and the price at which we purchased them. Further experience with these loans may provide us with information that could cause us to increase our provision for loan losses.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portfolio includes commercial loans, which are generally riskier than other types of loans.</w:t>
      </w:r>
    </w:p>
    <w:p>
      <w:pPr>
        <w:spacing w:after="0" w:line="225"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At June 30, 2015, our commercial real estate mortgage and commercial business loan portfolios comprised 77.1% of total loans. Commercial loans generally carry larger loan balances and involve a higher risk of nonpayment or late payment than residential mortgage loans. These loans, and purchased loans in particular, may lack standardized terms and may include a balloon payment feature. Moreover, some of these loans may be secured by assets located outside of the Community Banking Division's market area. The ability of a borrower to make or refinance a balloon payment may be affected by a number of factors, including the financial condition of the borrower, prevailing economic conditions and prevailing interest rates. Repayment of these loans is generally more dependent on the economy and the successful operation of a business. Because of the risks associated with commercial loans, we may experience higher rates of default than if the portfolio were more heavily weighted toward residential mortgage loans. Higher rates of default could have an adverse effect on our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liability associated with our lending activities could result in losses.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course of business, we may acquire, through foreclosure, properties securing loans we have originated or purchased that are in default. Particularly in commercial real estate lending, there is a risk that hazardous substances could be discovered on these properties. In this event, we might be required to remove these substances from the affected properties at our sole cost and expense. The cost of this removal could substantially exceed the value of affected properties. We may not have adequate remedies against the prior owner or other responsible parties and could find it difficult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impossible to sell the affected properties. These events could have an adverse effect on our financial condition and results of operations.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may not be able to attract and retain qualified key employees, which could adversely affect our business prospects, including our competitive position and results of operations.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success is dependent upon our ability to attract and retain highly skilled individuals. There is significant competition for those individuals with the experience and skills required to conduct many of our business activities. We may not be able to hire or retain the key personnel that we depend upon for success. The unexpected loss of services of one or more of these or other key personnel could have a material adverse impact on our business because of their skills, knowledge of the markets in which we operate, years of industry experience and the difficulty of promptly finding qualified replacement personnel.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liquidity risk.</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Liquidity is the ability to meet cash flow needs on a timely basis at a reasonable cost. Our liquidity is used principally to originate or purchase loans, to repay deposit liabilities and other liabilities when they come due, and to fund operating costs. Customer demand for non-maturity deposits can be difficult to predict. Changes in market interest rates, increased competition within our markets, and other factors may make deposit gathering more difficult. Disruptions in the capital markets or interest rate changes may make the terms of wholesale funding sources—which include Federal Home Loan Bank advances, the Federal Reserve's Borrower-in-Custody program, securities sold under repurchase agreements, federal funds purchased and brokered certificates of deposit—less favorable and may make it difficult to sell securities when needed to provide additional liquidity. As a result, there is a risk that the cost of funding will increase or that we will not have sufficient funds to meet our obligations when they come due.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security and operational risks relating to our use of technology.</w:t>
      </w:r>
    </w:p>
    <w:p>
      <w:pPr>
        <w:spacing w:after="0" w:line="225"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Communication and information systems are critical to the conduct of our business because we use these systems to manage our customer relationships and process accounting and financial reporting information. Although we have established policies and procedures to prevent or limit the impact of system failures, interruptions and security breaches, including cyber security breaches, there can be no assurance that such events will not occur or that they will be adequately addressed if they do. In addition, any compromise of our security systems could prevent customers from using our website and our online banking services, both of which involve the transmission of confidential information. Although we rely on security and processing systems to provide the security and authentication necessary to securely transmit data, these precautions may not protect our systems from compromises or breaches of security. Information security risks have increased significantly due to the use of online, telephone and mobile banking channels by clients and the increased sophistication and activities of organized crime, hackers, terrorists and other external parties. The occurrence of any failures, interruptions or security breaches of our information systems could damage our reputation, result in the loss of business, subject us to increased regulatory scrutiny or expose us to civil litigation and possible financial liability, including the costs of customer notification and remediation efforts. Any of these occurrences could have an adverse effect on our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other companies to provide key components of our business infrastructure.</w:t>
      </w:r>
    </w:p>
    <w:p>
      <w:pPr>
        <w:spacing w:after="0" w:line="225"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Third party vendors provide key components of our business infrastructure such as internet connections, network access and core application processing. While we have selected these third party vendors carefully, we do not control their actions. Any problems caused by these third parties, including as a result of their not providing us their services for any reason or their performing their services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poorly, could adversely affect our ability to deliver products and services to our customers or otherwise conduct our business efficiently and effectively. Replacing these third party vendors could also entail significant delay and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significantly harm our business, including our competitive position and business prospects.</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are dependent on our reputation within our market area, as a trusted and responsible financial company, for all aspects of our relationships with customers, employees, vendors, third-party service providers, and others, with whom we conduct business or potential future business. Our ability to attract and retain customers and employees could be adversely affected if our reputation is damaged. Our actual or perceived failure to address various issues could give rise to reputational risk that could cause harm to us and our business prospects. These issues also include, but are not limited to, legal and regulatory requirements; properly maintaining customer and employee personal information; record keeping; money-laundering; sales and trading practices; ethical issues; appropriately addressing potential conflicts of interest; and the proper identification of the legal, reputational, credit, liquidity and market risks inherent in our products. Failure to appropriately address any of these issues could also give rise to additional regulatory restrictions and legal risks, which could, among other consequences, increase the size and number of litigation claims and damages asserted or subject us to enforcement actions, fines and penalties and cause us to incur related costs and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may fail or be circumvented.</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Effective controls over financial reporting are necessary to help ensure reliable financial reporting and prevent fraud. Management is responsible for maintaining an effective system of internal control and assessing system effectiveness. Our system of internal control is a process designed to provide reasonable, not absolute, assurance that system objectives are being met. Failure or circumvention of the system of internal control could have an adverse effect on our business, profitability, and financial condition, and could further result in regulatory actions and loss of investor confidence.</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Difficult economic conditions, both in the Community Banking Division's market area and more generally, could adversely affect our financial condition and results of operations.</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Community Banking Division primarily serves individuals and businesses located in western and south-central Maine. As a result, a significant portion of our earnings are closely tied to the economy of Maine. In addition, our loan portfolio includes commercial loans acquired by the Loan Acquisition and Servicing Group that are secured by assets located nationwide. Deterioration in the economic conditions of the Community Banking Division's market area in Maine, and deterioration of the economy nationally could result in the following consequences:</w:t>
      </w:r>
    </w:p>
    <w:p>
      <w:pPr>
        <w:spacing w:after="0" w:line="21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delinquencies may increase;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 assets and foreclosures may increase;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our products and services may decline;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Collateral for our loans may decline in value, in turn reducing a customer's borrowing power and reducing the value of collateral securing a loan;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if any, may require us to raise additional capital, but that capital may not be available when we need it.</w:t>
      </w:r>
    </w:p>
    <w:p>
      <w:pPr>
        <w:spacing w:after="0" w:line="225"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As a bank, we are required by regulatory authorities to maintain adequate levels of capital to support our operations. In addition, in conjunction with the regulatory approvals received for the merger with FHB Formation LLC, we committed to maintain a Tier 1 leverage ratio of at least 10% and a total risk-based capital ratio of at least 15%. We may need to raise additional capital to support our operations or our growth, if any. Our ability to raise additional capital will depend, in part, on conditions in the capital markets and our financial performance at that time. Accordingly, we may be unable to raise additional capital, if and when needed, on acceptable terms, or at all. If we cannot raise additional capital when needed, our ability to further expand our operations through internal growth and acquisitions could be materially impaired. In addition, if we decide to raise additional equity capital, investors' interests could be diluted. Our failure to meet any applicable regulatory guideline related to our lending activities or any capital requirement otherwise imposed upon us or to satisfy any other regulatory requirement could subject us to certain activity restrictions or to a variety of enforcement remedies available to the regulatory authorities, including limitations on our ability to pay dividends or pursue acquisitions, the issuance by regulatory authorities of a capital directive to increase capital and the termination of deposit insurance by the FDIC.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soundness of other financial institutions could adversely affect us.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counterparties, and we routinely execute transactions with counterparties in the financial industry, including brokers and dealers, other commercial banks, investment banks, mutual and hedge funds, and other financial institutions. As a result, defaults by, or even rumors or questions about, one or more financial services institutions, or the financial services industry generally, could lead to market-wide liquidity problems and losses or defaults by us or by other institutions and organizations. Many of these transactions expose us to credit risk in the event of default of our counterparty or client. In addition, our credit risk may be exacerbated when the collateral held by us cannot be liquidated or is liquidated at prices not sufficient to recover the full amount of the financial instrument exposure due to us. There is no assurance that any such losses would not materially and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Industry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financial services industry is intense and could result in us losing business or experiencing reduced margins.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Our future growth and success will depend on our ability to continue to compete effectively in the Community Banking Division's market area, in the markets in which the Loan Acquisition and Servicing Group and the SBA National group operate and in the markets in which ableBanking operates. We face aggressive competition from other domestic and foreign lending institutions and from numerous other providers of financial services. The ability of non-banking financial institutions to provide services previously limited to commercial banks has intensified competition. Because non-banking financial institutions are not subject to the same regulatory restrictions as banks and bank holding companies, they can often operate with greater flexibility and lower cost structures. Securities firms and insurance companies that elect to become financial holding companies may acquire banks and other financial institutions. This may significantly change the competitive environment in which we conduct our business. Some of our competitors have significantly greater financial resources and/or face fewer regulatory constraints. As a result of these various sources of competition, we could lose business to competitors or could be forced to price products and services on less advantageous terms to retain or attract clients, either of which would adversely affect its profitability.</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could adversely affect our net interest income and profitability.</w:t>
      </w:r>
    </w:p>
    <w:p>
      <w:pPr>
        <w:spacing w:after="0" w:line="225"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majority of our assets and liabilities are monetary in nature. As a result, our earnings and growth are significantly affected by interest rates, which are subject to the influence of economic conditions generally, both domestic and foreign, to events in the capital markets and also to the monetary and fiscal policies of the United States and its agencies, particularly the Federal Reserve. The nature and timing of any changes in such policies or general economic conditions and their effect on us cannot be controlled and are extremely difficult to predict. Changes in interest rates can affect our net interest income as well as the value of our assets and liabilities. Net interest income is the difference between (i) interest income on interest-earning assets, such as loans and securities, and (ii) interest expense on interest-bearing liabilities, such as deposits and borrowings. Changes in market interest rates, changes in the relationships between short-term and long-term market interest rates, or the yield curve, or changes in the relationships between different interest rate indices can affect the interest rates charged on interest-earning assets differently than the interest rates paid on interest-bearing liabilities. This difference could result in an increase in interest expense relative to interest income, and therefore reduce our net interest income. Further, declines in market interest rates may trigger loan prepayments, which in many cases are within our customers' discretion, and which in turn may serve to reduce our net interest income if we are unable to lend those funds to other borrowers or invest the funds at the same or higher interest rates.</w:t>
      </w:r>
    </w:p>
    <w:p>
      <w:pPr>
        <w:spacing w:after="0" w:line="18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operate in a highly regulated industry, and laws and regulations, or changes in them, could limit or restrict our activities and could have an adverse impact in our operations.</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subject to regulation and supervision by the Federal Reserve, and our banking subsidiary, Northeast Bank, is subject to regulation and supervision by the FDIC and the Maine Bureau of Financial Institutions. Federal and state laws and regulations govern numerous matters, including changes in the ownership or control of banks and bank holding companies, maintenance of adequate capital and the financial condition of a financial institution, permissible types, amounts and terms of extensions of credit and investments, permissible non-banking activities, the level of reserves against deposits and restrictions on dividend payments. The Federal Reserve, the FDIC and the Maine Bureau of Financial Institutions have the power to issue cease and desist orders to prevent or remedy unsafe or unsound practices or violations of law by banks subject to their regulation, and the Federal Reserve possesses similar powers with respect to bank holding companies. These and other restrictions limit the manner in which we and Northeast Bank may conduct business and obtain financing.</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our business is highly regulated, the laws, rules, regulations, and supervisory guidance and policies applicable to us are subject to regular modification and change. It is impossible to predict the competitive impact that any such changes would have on the banking and financial services industry in general or on our business in particular. Such changes may, among other things, increase the cost of doing business, limit permissible activities, or affect the competitive balance between banks and other financial institutions. The Dodd-Frank Act instituted major changes to the banking and financial institutions regulatory regimes in light of government intervention in the financial services sector following the 2008 financial crisis. Other changes to statutes, regulations, or regulatory policies, including changes in interpretation or implementation of statutes, regulations, or policies, could affect us in substantial and unpredictable ways. Such changes could subject us to additional costs, limit the types of financial services and products we may offer, and/or increase the ability of non-banks to offer competing financial services and products, among other things. Failure to comply with laws, regulations, or policies could result in sanctions by regulatory agencies, civil money penalties, and/or reputation damage, which could have a material adverse effect on our business, financial condition, and results of operations. See "Supervision and Regulation" in Item 1,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requirements imposed by the Dodd-Frank Act could adversely affect us.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Current and future legal and regulatory requirements, restrictions, and regulations, including those imposed under the Dodd-Frank Act, may adversely impact our profitability and may have a material and adverse effect on our business, financial condition, and results of operations, may require us to invest significant management attention and resources to evaluate and make any changes required by the legislation and related regulations and may make it more difficult for us to attract and retain qualified executive officers and employees. The Dodd-Frank Act comprehensively reformed the regulation of financial institutions, products and services. Certain provisions of the Dodd-Frank Act that affect deposit insurance assessments, the payment of interest on demand deposits and interchange fees could increase the costs associated with our banking subsidiaries' deposit-generating activities, as well as place limitations on the revenues that those deposits may generate. In addition, the Dodd-Frank Act established the CFPB. The CFPB has the authority to prescribe rules for all depository institutions governing the provision of consumer financial products and services, which may result in rules and regulations that reduce the profitability of such products and services or impose greater costs on the Company and its subsidiaries. The Dodd-Frank Act also established new minimum mortgage underwriting standards for residential mortgages, and the regulatory agencies have focused on the examination and supervision of mortgage lending and servicing activities. See "Supervision and Regulation—The Dodd-Frank Act" in Item 1,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more stringent capital requirements.</w:t>
      </w:r>
    </w:p>
    <w:p>
      <w:pPr>
        <w:spacing w:after="0" w:line="225"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federal banking agencies issued a joint final rule, or the "Final Capital Rule," that implemented the Basel III capital standards and established the minimum capital levels required under the Dodd-Frank Act. As of January 1, 2015, we became required to comply with the Final Capital Rule. The Final Capital Rule established a minimum common equity Tier I capital ratio of 6.5% of risk-weighted assets for a "well capitalized" institution and increased the minimum Tier I capital ratio for a "well capitalized" institution from 6.0% to 8.0%. Additionally, subject to a transition period, the Final Capital Rule requires an institution to maintain a 2.5% common equity Tier I capital conservation buffer over the 6.5% minimum risk-based capital requirement to avoid restrictions on the ability to pay dividends, discretionary bonuses, and engage in share repurchases. The Final Capital Rule permanently grandfathers trust preferred securities issued before May 19, 2010, subject to a limit of 25% of Tier I capital. The Final Capital Rule increased the required capital for certain categories of assets, including high-volatility construction real estate loans and certain exposures related to securitizations; however, the Final Capital Rule retained the current capital treatment of residential mortgages. Under the Final Capital Rule, we made a one-time, permanent election to continue to exclude accumulated other comprehensive income from capital in March 2015. Implementation of these standards, or any other new regulations, may adversely affect our ability to pay dividends, or require us to reduce business levels or raise capital, including in ways that may adversely affect our results of operations or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FDIC's assessment rates could adversely affect our financial condition and results of operations.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FDIC insures deposits at FDIC-insured depository institutions, such as Northeast Bank, up to applicable limits. As a result of recent economic conditions and the enactment of the Dodd-Frank Act, the FDIC has increased deposit insurance assessment rates. If these increases are insufficient for the deposit insurance fund of the FDIC to meet its funding requirements, there may need to be further special assessments or increases in deposit insurance premiums. We are generally unable to control the amount of premiums that we are required to pay for FDIC insurance. If there are additional bank or financial institution failures, we may be required to pay even higher FDIC premiums than the recently increased levels. Any future additional assessments, increases or required prepayments in FDIC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insurance premiums may materially adversely affect results of operations, including by reducing our profitability or limiting our ability to pursue certain business opportunities.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can materially impact our financial statements.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accounting policies and methods are fundamental to how we record and report our financial condition and results of operations. From time to time, the Financial Accounting Standards Board or regulatory authorities change the financial accounting and reporting standards that govern the preparation of our financial statements. These changes can be hard to predict and can materially impact how we record and report our financial condition and results of operations. In some cases, we could be required to apply a new or revised standard retroactively, resulting in our restating prior period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fines, penalties and other negative consequences from regulatory violations, possibly even inadvertent or unintentional violations.</w:t>
      </w:r>
    </w:p>
    <w:p>
      <w:pPr>
        <w:spacing w:after="0" w:line="24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maintain systems and procedures designed to ensure that we comply with applicable laws and regulations. However, some legal/regulatory frameworks provide for the imposition of fines or penalties for noncompliance even though the noncompliance was inadvertent or unintentional and even though there was in place at the time systems and procedures designed to ensure compliance. For example, we are subject to regulations issued by the Office of Foreign Assets Control, or "OFAC," that prohibit financial institutions from participating in the transfer of property belonging to the governments of certain foreign countries and designated nationals of those countries and certain other persons or entities whose interest in property is blocked by OFAC-administered sanctions. OFAC may impose penalties for inadvertent or unintentional violations even if reasonable processes are in place to prevent the violations. There may be other negative consequences resulting from a finding of noncompliance, including restrictions on certain activities. Such a finding may also damage our reputation as described below and could restrict the ability of institutional investment managers to invest in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has affected and may continue to affect the value of our common stock.</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performance of our common stock has been and may continue to be affected by many factors, including volatility in the credit, mortgage and housing markets, and the markets with respect to financial institutions generally. Government action and changes in government regulations, such as the Dodd-Frank Act, may affect the value of our common stock. More general market fluctuations, industry factors and general economic and political conditions and events, such as economic slowdowns or interest rate changes could also cause the value of our common stock to decrease regardless of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trading volume may not provide adequate liquidity for investors.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voting common stock is listed on the NASDAQ Global Market. The average daily trading volume for Northeast voting common stock is less than the corresponding trading volume for larger financial institutions. Due to this relatively low trading volume, significant sales of Northeast voting common stock, or the expectation of these sales, may place significant downward pressure on the market price of Northeast voting common stock. No assurance can be given that a more active trading market in our common stock will develop in the foreseeable future or can be maintained. There can also be no assurance that the offering will result in a material increase in the "float" for our common stock, which we define as the aggregate market value of our voting common stock held by shareholders who are not affiliates of Northeast, because our affiliates may purchase shares of voting common stock in the offering.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limited market for and restrictions on the transferability of our non-voting common stock.</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non-voting common stock is not and will not be listed on any exchange. Additionally, the non-voting common stock can only be transferred in certain limited circumstances set forth in our articles of incorporation. Accordingly, holders of our non-voting common stock may be required to bear the economic consequences of holding such non-voting common stock for an indefinite period of time.</w:t>
      </w:r>
    </w:p>
    <w:p>
      <w:pPr>
        <w:spacing w:after="0" w:line="194"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b w:val="1"/>
          <w:bCs w:val="1"/>
          <w:i w:val="1"/>
          <w:iCs w:val="1"/>
          <w:color w:val="auto"/>
        </w:rPr>
        <w:t>If we defer payments of interest on our outstanding junior subordinated debt securities or if certain defaults relating to those debt securities occur, we will be prohibited from declaring or paying dividends or distributions on, and from making liquidation payments with respect to, our common stock.</w:t>
      </w:r>
    </w:p>
    <w:p>
      <w:pPr>
        <w:spacing w:after="0" w:line="116"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June 30, 2015, we had outstanding $16.5 million in aggregate principal amount of junior subordinated debt securities issued in connection with the sale of trust preferred securities by affiliates of ours that are statutory business trusts. We have also guaranteed those trust preferred securities. The indenture under which the junior subordinated debt securities were issued, together with the guarantee, prohibits us, subject to limited exceptions, from declaring or paying any dividends or distributions on, or redeeming, repurchasing, acquiring or making any liquidation payments with respect to, any of our capital stock (including the Series A preferred stock and our common stock) at any time when (i) there shall have occurred and be continuing an event of default under the indenture; (ii) we are in default with respect to payment of any obligations under the guarantee; or (iii) we have elected to defer payment of interest on the junior subordinated debt securities. In that regard, we are entitled, at our option but subject to certain conditions, to defer payments of interest on the junior subordinated debt securities from time to time for up to five years.</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Events of default under the indenture generally consist of our failure to pay interest on the junior subordinated debt securities under certain circumstances, our failure to pay any principal of or premium on such junior subordinated debt securities when due, our failure to comply with certain covenants under the indenture, and certain events of bankruptcy, insolvency or liquidation relating to us.</w:t>
      </w:r>
    </w:p>
    <w:p>
      <w:pPr>
        <w:spacing w:after="0" w:line="194"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a result of these provisions, if we were to elect to defer payments of interest on the junior subordinated debt securities, or if any of the other events described in clause (i) or (ii) of the first paragraph of this risk factor were to occur, we would be prohibited from declaring or paying any dividends on the Series A preferred stock and our common stock, from redeeming, repurchasing or otherwise acquiring any of the Series A preferred stock or our common stock, and from making any payments to holders of the Series A preferred stock or our common stock in the event of our liquidation, which would likely have a material adverse effect on the market value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subsidiaries for dividends, distributions and other payments.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separate and distinct legal entity from Northeast Bank, and depend on dividends, distributions and other payments from Northeast Bank to fund dividend payments on our common stock and to fund all payments on our other obligations. We and Northeast Bank are subject to laws that authorize regulatory authorities to block or reduce the flow of funds from Northeast Bank to us. Regulatory action of that kind could impede access to the funds that Northeast needs in order to make payments on its obligations or dividend payments. In addition, if Northeast Bank does not maintain sufficient capital levels or its earnings are not sufficient to make dividend payments to us, we may not be able to make dividend payments to our common and preferred shareholders. Further, our right to participate in a distribution of assets upon a subsidiary's liquidation or reorganization is subject to the prior claims of Northeast Bank's creditors.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pay dividends and, if we pay dividends, we cannot guarantee the amount and frequency of such dividends.</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continued payment of dividends on shares of our common stock will depend upon our debt and equity structure, earnings and financial condition, need for capital in connection with possible future acquisitions, growth and other factors, including economic conditions, regulatory restrictions, and tax considerations. We cannot guarantee that we will pay dividends or, if we pay dividends, the amount and frequency of these dividends.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issue additional shares of common or preferred stock in the future, which could dilute a shareholder's ownership of common stock.</w:t>
      </w:r>
    </w:p>
    <w:p>
      <w:pPr>
        <w:spacing w:after="0" w:line="248" w:lineRule="exact"/>
        <w:rPr>
          <w:sz w:val="20"/>
          <w:szCs w:val="20"/>
          <w:color w:val="auto"/>
        </w:rPr>
      </w:pPr>
    </w:p>
    <w:p>
      <w:pPr>
        <w:ind w:right="140" w:firstLine="351"/>
        <w:spacing w:after="0" w:line="312" w:lineRule="auto"/>
        <w:rPr>
          <w:sz w:val="20"/>
          <w:szCs w:val="20"/>
          <w:color w:val="auto"/>
        </w:rPr>
      </w:pPr>
      <w:r>
        <w:rPr>
          <w:rFonts w:ascii="Arial" w:cs="Arial" w:eastAsia="Arial" w:hAnsi="Arial"/>
          <w:sz w:val="15"/>
          <w:szCs w:val="15"/>
          <w:color w:val="auto"/>
        </w:rPr>
        <w:t>Our articles of incorporation authorize our board of directors, generally without shareholder approval, to, among other things, issue additional shares of common or preferred stock. The issuance of any additional shares of common or preferred stock could be dilutive to a shareholder's ownership of our common stock. To the extent that we issue options or warrants to purchase common stock in the future and the options or warrants are exercised, our shareholders may experience further dilution. Holders of shares of our common stock have no preemptive rights that entitle holders to purchase their pro rata share of any offering of shares of any class or series and, therefore, shareholders may not be permitted to invest in future issuances of Northeast common or preferred stock. We are required by federal and state regulatory authorities to maintain adequate levels of capital to support our operations. Accordingly, regulatory requirements and/or deterioration in our asset quality may require us to sell common stock to raise capital under circumstances and at prices that result in substantial dilution.</w:t>
      </w:r>
    </w:p>
    <w:p>
      <w:pPr>
        <w:spacing w:after="0" w:line="15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may issue debt and equity securities that are senior to our common stock as to distributions and in liquidation, which could negatively affect the value of our common stock.</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future, we may increase our capital resources by entering into debt or debt-like financing or issuing debt or equity securities, which could include issuances of senior notes, subordinated notes, preferred stock or common stock. In the event of our liquidation, our lenders and holders of its debt or preferred securities would receive a distribution of our available assets before distributions to the holders of Northeast common stock. Our decision to incur debt and issue securities in future offerings will depend on market conditions and other factors beyond our control. We cannot predict or estimate the amount, timing or nature of our future offerings and debt financings. Future offerings could reduce the value of shares of our common stock and dilute a shareholder's interest in Northeast.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not insured by any governmental entity.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common stock is not a deposit account or other obligation of any bank and is not insured by the FDIC or any other governmental entity.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could negatively impact our shareholders.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Federal law imposes restrictions, including regulatory approval requirements, on persons seeking to acquire control over Northeast. Provisions of Maine law and provisions of our articles of incorporation and by-laws could make it more difficult for a third party to acquire control of us or have the effect of discouraging a third party from attempting to acquire control of us. We have a classified board of directors, meaning that approximately one-third of our directors are elected annually. Additionally, our articles of organization authorize our board of directors to issue preferred stock without shareholder approval and such preferred stock could be issued as a defensive measure in response to a takeover proposal. Other provisions that could make it more difficult for a third party to acquire us even if an acquisition might be in the best interest of our shareholders include supermajority voting requirements to remove a director from office without cause; restrictions on shareholders calling a special meeting;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requirement that only directors may fill a board vacancy; and provisions regarding the timing and content of shareholder proposals and nominations.</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At June 30, 2015, the Company conducted its business from its main office in Lewiston, Maine and an office in Boston, Massachusetts. The Company also conducts business from its ten full-service bank branches and six loan production offices located in western and south-central Maine and southern New Hampshire.</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to its Lewiston, Maine, and Boston, Massachusetts, offices, the Company leases eleven of its other locations. For information regarding the Company's lease commitments, please refer to "Lease Obligations" under Note 15 of the Notes to the Consolidated Financial Statements in Item 8 of this Annual Report.</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From time to time, the Company and its subsidiaries are subject to certain legal proceedings and claims in the ordinary course of business. Management presently believes that the ultimate outcome of these proceedings, individually and in the aggregate, will not be material to the Company or its consolidated financial position. The Company establishes reserves for specific legal matters when it determines that the likelihood of an unfavorable outcome is probable and the loss is reasonably estimable. Legal proceedings are subject to inherent uncertainties, and unfavorable rulings could occur that could cause the Company to establish litigation reserves or could have, individually or in the aggregate, a material adverse effect on its business, financial condition, or operating results.</w:t>
      </w:r>
    </w:p>
    <w:p>
      <w:pPr>
        <w:spacing w:after="0" w:line="1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Shareholder Matters and Issuer Purchases of Equity Securities</w:t>
      </w:r>
    </w:p>
    <w:p>
      <w:pPr>
        <w:spacing w:after="0" w:line="231" w:lineRule="exact"/>
        <w:rPr>
          <w:sz w:val="20"/>
          <w:szCs w:val="20"/>
          <w:color w:val="auto"/>
        </w:rPr>
      </w:pPr>
    </w:p>
    <w:p>
      <w:pPr>
        <w:ind w:right="100" w:firstLine="359"/>
        <w:spacing w:after="0" w:line="332" w:lineRule="auto"/>
        <w:tabs>
          <w:tab w:leader="none" w:pos="6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voting common stock currently trades on the NASDAQ under the symbol "NBN." There is no established public trading market for the Company's non-voting common stock. As of the close of business on September 18, 2015, there were approximately 368 registered shareholders of record.</w:t>
      </w:r>
    </w:p>
    <w:p>
      <w:pPr>
        <w:spacing w:after="0" w:line="139"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following table sets forth the high and low closing sale prices of the Company's voting common stock, as reported on NASDAQ, and quarterly dividends paid on the Company's voting and non-voting common stock during the periods indicated.</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w w:val="92"/>
              </w:rPr>
              <w:t>Fiscal year ended June 30, 2015</w:t>
            </w: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Dividend 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Jul 1 - Sep 30</w:t>
            </w:r>
          </w:p>
        </w:tc>
        <w:tc>
          <w:tcPr>
            <w:tcW w:w="3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Oct 1 - Dec 31</w:t>
            </w: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Apr 1 - Jun 30</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790"/>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w w:val="92"/>
              </w:rPr>
              <w:t>Fiscal year ended June 30, 2014</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24"/>
                <w:szCs w:val="24"/>
                <w:color w:val="auto"/>
              </w:rPr>
            </w:pP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Dividend 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Jul 1 - Sep 30</w:t>
            </w:r>
          </w:p>
        </w:tc>
        <w:tc>
          <w:tcPr>
            <w:tcW w:w="3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Oct 1 - Dec 31</w:t>
            </w: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Apr 1 - Jun 30</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September 18, 2015, the last reported sale price of the Company's voting common stock, as reported on NASDAQ was $10.50. Holders of the Company's voting and non-voting common stock are entitled to receive dividends when and if declared by the Board of Directors out of funds legally available. The amount and timing of future dividends payable on the Company's voting and non-voting common stock will depend on, among other things, the financial condition of the Company, regulatory considerations, and other factors. The Company is a legal entity separate from the Bank, but its revenues are derived primarily from the Bank. Accordingly, the ability of the Company to pay cash dividends on its stock in the future generally will be dependent upon the earnings of the Bank and the Bank's ability to pay dividends to the Company. The payment of dividends by the Bank will depend on a number of factors, including capital requirements, regulatory limitations, the Bank's results of operations and financial condition, tax considerations, and general economic conditions. National banking laws regulate and restrict the ability of the Bank to pay dividends to the Company. See "Item 1. Business—Supervision and Regulation."</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Information regarding securities authorized for issuance under our equity compensation plans will be included in the Proxy Statement relating to our 2015 Annual Meeting of Shareholders and is incorporated herein by reference.</w:t>
      </w:r>
    </w:p>
    <w:p>
      <w:pPr>
        <w:spacing w:after="0" w:line="186" w:lineRule="exact"/>
        <w:rPr>
          <w:sz w:val="20"/>
          <w:szCs w:val="20"/>
          <w:color w:val="auto"/>
        </w:rPr>
      </w:pPr>
    </w:p>
    <w:p>
      <w:pPr>
        <w:ind w:left="700" w:hanging="34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right="20" w:firstLine="359"/>
        <w:spacing w:after="0" w:line="255"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April 23, 2014, the Company announced that its Board of Directors authorized the Company to purchase up to 870,000 shares of its common stock, representing 8.3% of the Company's outstanding common shares and approximately $8.4 million based on the Company's closing stock price on April 22, 2014. Such purchases will be made in open market or in privately negotiated transactions from time to time and in such amounts as market conditions warrant. The timing and actual number of shares repurchased will depend on a variety of factors including price, corporate and regulatory requirements, market conditions, and other corporate liquidity requirements and priorities. The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repurchase program may be suspended or terminated at any time without prior notice, and will expire on April 23, 2016.</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April 30, 2015, The Board of Directors voted to amend the existing stock repurchase program to authorize the Company to purchase an additional 500,000 shares of its common stock, representing 5.1% of the Company's outstanding common shares or approximately $4.7 million based on the Company's closing price on April 29, 2015. Such purchases will be made in open market or in privately negotiated transactions from time to time and in such amounts as market conditions warrant. The timing and actual number of shares repurchased will depend on a variety of factors including price, corporate and regulatory requirements, market conditions, and other corporate liquidity requirements and priorities. The stock repurchase program may be suspended or terminated at any time without prior notice, and will expire on April 30, 2017.</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  The following table sets forth information with respect to purchases made by us of our common stock during the year ended June 30, 2015.</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Purchased as</w:t>
            </w:r>
          </w:p>
        </w:tc>
        <w:tc>
          <w:tcPr>
            <w:tcW w:w="160" w:type="dxa"/>
            <w:vAlign w:val="bottom"/>
          </w:tcPr>
          <w:p>
            <w:pPr>
              <w:spacing w:after="0"/>
              <w:rPr>
                <w:sz w:val="12"/>
                <w:szCs w:val="12"/>
                <w:color w:val="auto"/>
              </w:rPr>
            </w:pPr>
          </w:p>
        </w:tc>
        <w:tc>
          <w:tcPr>
            <w:tcW w:w="1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60" w:type="dxa"/>
            <w:vAlign w:val="bottom"/>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60" w:type="dxa"/>
            <w:vAlign w:val="bottom"/>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61"/>
        </w:trPr>
        <w:tc>
          <w:tcPr>
            <w:tcW w:w="364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Purchased(1)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4"/>
              <w:spacing w:after="0"/>
              <w:rPr>
                <w:sz w:val="20"/>
                <w:szCs w:val="20"/>
                <w:color w:val="auto"/>
              </w:rPr>
            </w:pPr>
            <w:r>
              <w:rPr>
                <w:rFonts w:ascii="Arial" w:cs="Arial" w:eastAsia="Arial" w:hAnsi="Arial"/>
                <w:sz w:val="14"/>
                <w:szCs w:val="14"/>
                <w:b w:val="1"/>
                <w:bCs w:val="1"/>
                <w:color w:val="auto"/>
                <w:w w:val="88"/>
              </w:rPr>
              <w:t>Price Per share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16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the Program(2)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 1 - Jul. 31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Aug. 1 - Aug. 31</w:t>
            </w:r>
          </w:p>
        </w:tc>
        <w:tc>
          <w:tcPr>
            <w:tcW w:w="1140" w:type="dxa"/>
            <w:vAlign w:val="bottom"/>
          </w:tcPr>
          <w:p>
            <w:pPr>
              <w:jc w:val="right"/>
              <w:spacing w:after="0"/>
              <w:rPr>
                <w:sz w:val="20"/>
                <w:szCs w:val="20"/>
                <w:color w:val="auto"/>
              </w:rPr>
            </w:pPr>
            <w:r>
              <w:rPr>
                <w:rFonts w:ascii="Arial" w:cs="Arial" w:eastAsia="Arial" w:hAnsi="Arial"/>
                <w:sz w:val="18"/>
                <w:szCs w:val="18"/>
                <w:color w:val="auto"/>
              </w:rPr>
              <w:t>12,300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305,600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564,400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 1 - Sep. 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305,600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Oct. 1 - Oct. 31</w:t>
            </w:r>
          </w:p>
        </w:tc>
        <w:tc>
          <w:tcPr>
            <w:tcW w:w="1140" w:type="dxa"/>
            <w:vAlign w:val="bottom"/>
          </w:tcPr>
          <w:p>
            <w:pPr>
              <w:jc w:val="right"/>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307,400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562,600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 1 - Nov. 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344,300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Dec. 1 - Dec. 31</w:t>
            </w:r>
          </w:p>
        </w:tc>
        <w:tc>
          <w:tcPr>
            <w:tcW w:w="1140" w:type="dxa"/>
            <w:vAlign w:val="bottom"/>
          </w:tcPr>
          <w:p>
            <w:pPr>
              <w:jc w:val="right"/>
              <w:spacing w:after="0"/>
              <w:rPr>
                <w:sz w:val="20"/>
                <w:szCs w:val="20"/>
                <w:color w:val="auto"/>
              </w:rPr>
            </w:pPr>
            <w:r>
              <w:rPr>
                <w:rFonts w:ascii="Arial" w:cs="Arial" w:eastAsia="Arial" w:hAnsi="Arial"/>
                <w:sz w:val="18"/>
                <w:szCs w:val="18"/>
                <w:color w:val="auto"/>
              </w:rPr>
              <w:t>395,586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739,886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130,114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 1 - Jan. 31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750,036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Feb. 1 - Feb. 28</w:t>
            </w:r>
          </w:p>
        </w:tc>
        <w:tc>
          <w:tcPr>
            <w:tcW w:w="1140" w:type="dxa"/>
            <w:vAlign w:val="bottom"/>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761,536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108,464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 1 - Mar. 31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771,136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Apr. 1 - Apr. 30</w:t>
            </w:r>
          </w:p>
        </w:tc>
        <w:tc>
          <w:tcPr>
            <w:tcW w:w="1140" w:type="dxa"/>
            <w:vAlign w:val="bottom"/>
          </w:tcPr>
          <w:p>
            <w:pPr>
              <w:jc w:val="right"/>
              <w:spacing w:after="0"/>
              <w:rPr>
                <w:sz w:val="20"/>
                <w:szCs w:val="20"/>
                <w:color w:val="auto"/>
              </w:rPr>
            </w:pPr>
            <w:r>
              <w:rPr>
                <w:rFonts w:ascii="Arial" w:cs="Arial" w:eastAsia="Arial" w:hAnsi="Arial"/>
                <w:sz w:val="18"/>
                <w:szCs w:val="18"/>
                <w:color w:val="auto"/>
              </w:rPr>
              <w:t>13,400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784,536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585,464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1 - May 31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822,466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547,534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Jun. 1 - Jun. 30</w:t>
            </w:r>
          </w:p>
        </w:tc>
        <w:tc>
          <w:tcPr>
            <w:tcW w:w="1140" w:type="dxa"/>
            <w:vAlign w:val="bottom"/>
          </w:tcPr>
          <w:p>
            <w:pPr>
              <w:jc w:val="right"/>
              <w:spacing w:after="0"/>
              <w:rPr>
                <w:sz w:val="20"/>
                <w:szCs w:val="20"/>
                <w:color w:val="auto"/>
              </w:rPr>
            </w:pPr>
            <w:r>
              <w:rPr>
                <w:rFonts w:ascii="Arial" w:cs="Arial" w:eastAsia="Arial" w:hAnsi="Arial"/>
                <w:sz w:val="18"/>
                <w:szCs w:val="18"/>
                <w:color w:val="auto"/>
              </w:rPr>
              <w:t>179,396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1,001,862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368,138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trade date, not settlement date</w:t>
      </w:r>
    </w:p>
    <w:p>
      <w:pPr>
        <w:spacing w:after="0" w:line="252" w:lineRule="exact"/>
        <w:rPr>
          <w:rFonts w:ascii="Arial" w:cs="Arial" w:eastAsia="Arial" w:hAnsi="Arial"/>
          <w:sz w:val="18"/>
          <w:szCs w:val="18"/>
          <w:color w:val="auto"/>
        </w:rPr>
      </w:pPr>
    </w:p>
    <w:p>
      <w:pPr>
        <w:ind w:left="1680" w:hanging="531"/>
        <w:spacing w:after="0" w:line="255" w:lineRule="auto"/>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30, 2015, The Board of Directors voted to amend the existing stock repurchase program to authorize the Company to purchase an additional 500,000 shares of its common stock, representing 5.1% of the Company's outstanding common shares or approximately $4.7 million based on the Company's closing price on April 29, 2015. On that date, 86,664 shares remained available for repurchase under the existing program, prior to the 500,000 share increase in the repurchase plan. The amended stock repurchase program will expire on April 30, 2017.</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following table sets forth our selected financial and operating data on a historical basis. The data set forth below does not purport to be complete. It should be read in conjunction with, and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qualified in its entirety by, the more detailed information, including the Company's Consolidated Financial Statements and related notes, appearing elsewhere herein.</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Successor Company(1)</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Company(2)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Twelve Months</w:t>
            </w:r>
          </w:p>
        </w:tc>
        <w:tc>
          <w:tcPr>
            <w:tcW w:w="1100" w:type="dxa"/>
            <w:vAlign w:val="bottom"/>
            <w:tcBorders>
              <w:top w:val="single" w:sz="8" w:color="auto"/>
            </w:tcBorders>
            <w:gridSpan w:val="3"/>
          </w:tcPr>
          <w:p>
            <w:pPr>
              <w:jc w:val="center"/>
              <w:ind w:right="112"/>
              <w:spacing w:after="0" w:line="129" w:lineRule="exact"/>
              <w:rPr>
                <w:sz w:val="20"/>
                <w:szCs w:val="20"/>
                <w:color w:val="auto"/>
              </w:rPr>
            </w:pPr>
            <w:r>
              <w:rPr>
                <w:rFonts w:ascii="Arial" w:cs="Arial" w:eastAsia="Arial" w:hAnsi="Arial"/>
                <w:sz w:val="14"/>
                <w:szCs w:val="14"/>
                <w:b w:val="1"/>
                <w:bCs w:val="1"/>
                <w:color w:val="auto"/>
                <w:w w:val="87"/>
              </w:rPr>
              <w:t>Twelve Months</w:t>
            </w:r>
          </w:p>
        </w:tc>
        <w:tc>
          <w:tcPr>
            <w:tcW w:w="112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Twelve Months</w:t>
            </w:r>
          </w:p>
        </w:tc>
        <w:tc>
          <w:tcPr>
            <w:tcW w:w="1100" w:type="dxa"/>
            <w:vAlign w:val="bottom"/>
            <w:tcBorders>
              <w:top w:val="single" w:sz="8" w:color="auto"/>
            </w:tcBorders>
            <w:gridSpan w:val="3"/>
          </w:tcPr>
          <w:p>
            <w:pPr>
              <w:jc w:val="center"/>
              <w:ind w:right="112"/>
              <w:spacing w:after="0" w:line="129" w:lineRule="exact"/>
              <w:rPr>
                <w:sz w:val="20"/>
                <w:szCs w:val="20"/>
                <w:color w:val="auto"/>
              </w:rPr>
            </w:pPr>
            <w:r>
              <w:rPr>
                <w:rFonts w:ascii="Arial" w:cs="Arial" w:eastAsia="Arial" w:hAnsi="Arial"/>
                <w:sz w:val="14"/>
                <w:szCs w:val="14"/>
                <w:b w:val="1"/>
                <w:bCs w:val="1"/>
                <w:color w:val="auto"/>
                <w:w w:val="87"/>
              </w:rPr>
              <w:t>Twelve Months</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92"/>
              <w:spacing w:after="0" w:line="129" w:lineRule="exact"/>
              <w:rPr>
                <w:sz w:val="20"/>
                <w:szCs w:val="20"/>
                <w:color w:val="auto"/>
              </w:rPr>
            </w:pPr>
            <w:r>
              <w:rPr>
                <w:rFonts w:ascii="Arial" w:cs="Arial" w:eastAsia="Arial" w:hAnsi="Arial"/>
                <w:sz w:val="14"/>
                <w:szCs w:val="14"/>
                <w:b w:val="1"/>
                <w:bCs w:val="1"/>
                <w:color w:val="auto"/>
                <w:w w:val="85"/>
              </w:rPr>
              <w:t>184 Days</w:t>
            </w: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5"/>
              </w:rPr>
              <w:t>181 Days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0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04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June 30, 2015</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7"/>
              </w:rPr>
              <w:t>June 30, 2014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5"/>
              </w:rPr>
              <w:t>June 30, 2013</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June 30, 2012</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2011</w:t>
            </w: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Dec. 28, 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3"/>
              </w:rPr>
              <w:t>(Dollars in thousands,</w:t>
            </w:r>
          </w:p>
        </w:tc>
        <w:tc>
          <w:tcPr>
            <w:tcW w:w="180" w:type="dxa"/>
            <w:vAlign w:val="bottom"/>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0"/>
              </w:rPr>
              <w:t>except per share</w:t>
            </w: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data)</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Selected operations data: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Interest and dividend income</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44,588</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38,371</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36,543</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27,014</w:t>
            </w:r>
          </w:p>
        </w:tc>
        <w:tc>
          <w:tcPr>
            <w:tcW w:w="16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13,304</w:t>
            </w:r>
          </w:p>
        </w:tc>
        <w:tc>
          <w:tcPr>
            <w:tcW w:w="240" w:type="dxa"/>
            <w:vAlign w:val="bottom"/>
            <w:tcBorders>
              <w:right w:val="single" w:sz="8" w:color="auto"/>
            </w:tcBorders>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14,378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tcBorders>
              <w:bottom w:val="single" w:sz="8" w:color="CCEEFF"/>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7,220</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6,653</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6,596</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6,317</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3,207</w:t>
            </w:r>
          </w:p>
        </w:tc>
        <w:tc>
          <w:tcPr>
            <w:tcW w:w="240" w:type="dxa"/>
            <w:vAlign w:val="bottom"/>
            <w:tcBorders>
              <w:bottom w:val="single" w:sz="8" w:color="CCEEFF"/>
              <w:right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5,877</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gridSpan w:val="2"/>
          </w:tcPr>
          <w:p>
            <w:pPr>
              <w:ind w:left="260"/>
              <w:spacing w:after="0" w:line="142" w:lineRule="exact"/>
              <w:rPr>
                <w:sz w:val="20"/>
                <w:szCs w:val="20"/>
                <w:color w:val="auto"/>
              </w:rPr>
            </w:pPr>
            <w:r>
              <w:rPr>
                <w:rFonts w:ascii="Arial" w:cs="Arial" w:eastAsia="Arial" w:hAnsi="Arial"/>
                <w:sz w:val="14"/>
                <w:szCs w:val="14"/>
                <w:color w:val="auto"/>
              </w:rPr>
              <w:t>Net interest income</w:t>
            </w: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37,368</w:t>
            </w:r>
          </w:p>
        </w:tc>
        <w:tc>
          <w:tcPr>
            <w:tcW w:w="16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31,718</w:t>
            </w: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29,947</w:t>
            </w:r>
          </w:p>
        </w:tc>
        <w:tc>
          <w:tcPr>
            <w:tcW w:w="18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20,697</w:t>
            </w:r>
          </w:p>
        </w:tc>
        <w:tc>
          <w:tcPr>
            <w:tcW w:w="1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10,097</w:t>
            </w:r>
          </w:p>
        </w:tc>
        <w:tc>
          <w:tcPr>
            <w:tcW w:w="240" w:type="dxa"/>
            <w:vAlign w:val="bottom"/>
            <w:tcBorders>
              <w:top w:val="single" w:sz="8" w:color="CCEEFF"/>
              <w:right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8,501</w:t>
            </w: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Provision for loan losses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Noninterest income(3)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7,089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8,514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5,782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17,569</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Net securities gains (losses)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gridSpan w:val="2"/>
          </w:tcPr>
          <w:p>
            <w:pPr>
              <w:ind w:left="260"/>
              <w:spacing w:after="0"/>
              <w:rPr>
                <w:sz w:val="20"/>
                <w:szCs w:val="20"/>
                <w:color w:val="auto"/>
              </w:rPr>
            </w:pPr>
            <w:r>
              <w:rPr>
                <w:rFonts w:ascii="Arial" w:cs="Arial" w:eastAsia="Arial" w:hAnsi="Arial"/>
                <w:sz w:val="14"/>
                <w:szCs w:val="14"/>
                <w:color w:val="auto"/>
              </w:rPr>
              <w:t>Noninterest expense(4)</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32,604</w:t>
            </w: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31,777</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31,955</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25,680</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15,807</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11,136</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4,279</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6,176</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964</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12,352</w:t>
            </w: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2,211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gridSpan w:val="2"/>
          </w:tcPr>
          <w:p>
            <w:pPr>
              <w:ind w:left="260"/>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3,995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1,881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w w:val="96"/>
              </w:rPr>
              <w:t>Net income from continuing operations</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7,141</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2,700</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4,295</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862</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12,460</w:t>
            </w: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1,565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gridSpan w:val="2"/>
          </w:tcPr>
          <w:p>
            <w:pPr>
              <w:spacing w:after="0" w:line="138" w:lineRule="exact"/>
              <w:rPr>
                <w:sz w:val="20"/>
                <w:szCs w:val="20"/>
                <w:color w:val="auto"/>
              </w:rPr>
            </w:pPr>
            <w:r>
              <w:rPr>
                <w:rFonts w:ascii="Arial" w:cs="Arial" w:eastAsia="Arial" w:hAnsi="Arial"/>
                <w:sz w:val="14"/>
                <w:szCs w:val="14"/>
                <w:color w:val="auto"/>
              </w:rPr>
              <w:t>Net income (loss) from discontinued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40" w:type="dxa"/>
            <w:vAlign w:val="bottom"/>
            <w:gridSpan w:val="2"/>
          </w:tcPr>
          <w:p>
            <w:pPr>
              <w:ind w:left="120"/>
              <w:spacing w:after="0"/>
              <w:rPr>
                <w:sz w:val="20"/>
                <w:szCs w:val="20"/>
                <w:color w:val="auto"/>
              </w:rPr>
            </w:pPr>
            <w:r>
              <w:rPr>
                <w:rFonts w:ascii="Arial" w:cs="Arial" w:eastAsia="Arial" w:hAnsi="Arial"/>
                <w:sz w:val="14"/>
                <w:szCs w:val="14"/>
                <w:color w:val="auto"/>
              </w:rPr>
              <w:t>operations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52"/>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7,141</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2,692</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4,420</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2,163</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12,552</w:t>
            </w:r>
          </w:p>
        </w:tc>
        <w:tc>
          <w:tcPr>
            <w:tcW w:w="24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60" w:type="dxa"/>
            <w:vAlign w:val="bottom"/>
            <w:gridSpan w:val="3"/>
            <w:vMerge w:val="restart"/>
          </w:tcPr>
          <w:p>
            <w:pPr>
              <w:spacing w:after="0"/>
              <w:rPr>
                <w:sz w:val="20"/>
                <w:szCs w:val="20"/>
                <w:color w:val="auto"/>
              </w:rPr>
            </w:pPr>
            <w:r>
              <w:rPr>
                <w:rFonts w:ascii="Arial" w:cs="Arial" w:eastAsia="Arial" w:hAnsi="Arial"/>
                <w:sz w:val="14"/>
                <w:szCs w:val="14"/>
                <w:color w:val="auto"/>
              </w:rPr>
              <w:t>Consolidated per share data:</w:t>
            </w: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6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Earnings: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Basic: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Continuing operations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0.72</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24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Borders>
              <w:bottom w:val="single" w:sz="8" w:color="CCEEFF"/>
            </w:tcBorders>
            <w:gridSpan w:val="2"/>
          </w:tcPr>
          <w:p>
            <w:pPr>
              <w:ind w:left="260"/>
              <w:spacing w:after="0" w:line="149" w:lineRule="exact"/>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0.00</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0.00</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0.01</w:t>
            </w:r>
          </w:p>
        </w:tc>
        <w:tc>
          <w:tcPr>
            <w:tcW w:w="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0.30</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0.03</w:t>
            </w:r>
          </w:p>
        </w:tc>
        <w:tc>
          <w:tcPr>
            <w:tcW w:w="240" w:type="dxa"/>
            <w:vAlign w:val="bottom"/>
            <w:tcBorders>
              <w:bottom w:val="single" w:sz="8" w:color="CCEEFF"/>
              <w:right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0.72</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0.26</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0.39</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0.41</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3.52</w:t>
            </w:r>
          </w:p>
        </w:tc>
        <w:tc>
          <w:tcPr>
            <w:tcW w:w="240" w:type="dxa"/>
            <w:vAlign w:val="bottom"/>
            <w:tcBorders>
              <w:bottom w:val="single" w:sz="8" w:color="CCEEFF"/>
              <w:right w:val="single" w:sz="8" w:color="auto"/>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Borders>
              <w:top w:val="single" w:sz="8" w:color="CCEEFF"/>
            </w:tcBorders>
            <w:gridSpan w:val="2"/>
          </w:tcPr>
          <w:p>
            <w:pPr>
              <w:ind w:left="380"/>
              <w:spacing w:after="0" w:line="129" w:lineRule="exact"/>
              <w:rPr>
                <w:sz w:val="20"/>
                <w:szCs w:val="20"/>
                <w:color w:val="auto"/>
              </w:rPr>
            </w:pPr>
            <w:r>
              <w:rPr>
                <w:rFonts w:ascii="Arial" w:cs="Arial" w:eastAsia="Arial" w:hAnsi="Arial"/>
                <w:sz w:val="14"/>
                <w:szCs w:val="14"/>
                <w:color w:val="auto"/>
              </w:rPr>
              <w:t>Diluted:</w:t>
            </w: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CCEEFF"/>
              <w:right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Continuing operations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0.72</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w:t>
            </w:r>
          </w:p>
        </w:tc>
        <w:tc>
          <w:tcPr>
            <w:tcW w:w="24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gridSpan w:val="2"/>
          </w:tcPr>
          <w:p>
            <w:pPr>
              <w:ind w:left="260"/>
              <w:spacing w:after="0"/>
              <w:rPr>
                <w:sz w:val="20"/>
                <w:szCs w:val="20"/>
                <w:color w:val="auto"/>
              </w:rPr>
            </w:pPr>
            <w:r>
              <w:rPr>
                <w:rFonts w:ascii="Arial" w:cs="Arial" w:eastAsia="Arial" w:hAnsi="Arial"/>
                <w:sz w:val="14"/>
                <w:szCs w:val="14"/>
                <w:color w:val="auto"/>
              </w:rPr>
              <w:t>Discontinued operations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gridSpan w:val="2"/>
            <w:shd w:val="clear" w:color="auto" w:fill="CCEEFF"/>
          </w:tcPr>
          <w:p>
            <w:pPr>
              <w:ind w:left="380"/>
              <w:spacing w:after="0" w:line="144" w:lineRule="exact"/>
              <w:rPr>
                <w:sz w:val="20"/>
                <w:szCs w:val="20"/>
                <w:color w:val="auto"/>
              </w:rPr>
            </w:pPr>
            <w:r>
              <w:rPr>
                <w:rFonts w:ascii="Arial" w:cs="Arial" w:eastAsia="Arial" w:hAnsi="Arial"/>
                <w:sz w:val="14"/>
                <w:szCs w:val="14"/>
                <w:color w:val="auto"/>
              </w:rPr>
              <w:t>Net income</w:t>
            </w:r>
          </w:p>
        </w:tc>
        <w:tc>
          <w:tcPr>
            <w:tcW w:w="2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0.72</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0.26</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0.39</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0.41</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3.47</w:t>
            </w:r>
          </w:p>
        </w:tc>
        <w:tc>
          <w:tcPr>
            <w:tcW w:w="24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gridSpan w:val="2"/>
            <w:vMerge w:val="restart"/>
          </w:tcPr>
          <w:p>
            <w:pPr>
              <w:ind w:left="380"/>
              <w:spacing w:after="0"/>
              <w:rPr>
                <w:sz w:val="20"/>
                <w:szCs w:val="20"/>
                <w:color w:val="auto"/>
              </w:rPr>
            </w:pPr>
            <w:r>
              <w:rPr>
                <w:rFonts w:ascii="Arial" w:cs="Arial" w:eastAsia="Arial" w:hAnsi="Arial"/>
                <w:sz w:val="14"/>
                <w:szCs w:val="14"/>
                <w:color w:val="auto"/>
              </w:rPr>
              <w:t>Cash dividends</w:t>
            </w: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gridSpan w:val="2"/>
            <w:vMerge w:val="continu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0.04</w:t>
            </w:r>
          </w:p>
        </w:tc>
        <w:tc>
          <w:tcPr>
            <w:tcW w:w="1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0.28</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0.36</w:t>
            </w:r>
          </w:p>
        </w:tc>
        <w:tc>
          <w:tcPr>
            <w:tcW w:w="1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0.36</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47"/>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0.18</w:t>
            </w: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0.18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Book value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w:t>
            </w: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340" w:type="dxa"/>
            <w:vAlign w:val="bottom"/>
            <w:gridSpan w:val="2"/>
          </w:tcPr>
          <w:p>
            <w:pPr>
              <w:ind w:left="120"/>
              <w:spacing w:after="0"/>
              <w:rPr>
                <w:sz w:val="20"/>
                <w:szCs w:val="20"/>
                <w:color w:val="auto"/>
              </w:rPr>
            </w:pPr>
            <w:r>
              <w:rPr>
                <w:rFonts w:ascii="Arial" w:cs="Arial" w:eastAsia="Arial" w:hAnsi="Arial"/>
                <w:sz w:val="14"/>
                <w:szCs w:val="14"/>
                <w:color w:val="auto"/>
              </w:rPr>
              <w:t>Selected balance sheet data:</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850,830</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761,931</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670,639</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669,196</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596,393</w:t>
            </w:r>
          </w:p>
        </w:tc>
        <w:tc>
          <w:tcPr>
            <w:tcW w:w="24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627,984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Loans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612,137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516,416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435,376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356,254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309,913</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367,284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Deposits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674,759</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574,329</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484,623</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422,188</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401,118</w:t>
            </w: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374,617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Borrowings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52,568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66,005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64,069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120,859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126,706</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199,326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stockholders' equity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112,839</w:t>
            </w: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112,066</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113,802</w:t>
            </w: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119,139</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64,954</w:t>
            </w: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50,366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340" w:type="dxa"/>
            <w:vAlign w:val="bottom"/>
            <w:gridSpan w:val="2"/>
          </w:tcPr>
          <w:p>
            <w:pPr>
              <w:ind w:left="120"/>
              <w:spacing w:after="0"/>
              <w:rPr>
                <w:sz w:val="20"/>
                <w:szCs w:val="20"/>
                <w:color w:val="auto"/>
              </w:rPr>
            </w:pPr>
            <w:r>
              <w:rPr>
                <w:rFonts w:ascii="Arial" w:cs="Arial" w:eastAsia="Arial" w:hAnsi="Arial"/>
                <w:sz w:val="14"/>
                <w:szCs w:val="14"/>
                <w:color w:val="auto"/>
              </w:rPr>
              <w:t>Other ratios: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0.89%</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0.64%</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0.36%</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equity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6.35%</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3.79%</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w:t>
            </w:r>
          </w:p>
        </w:tc>
        <w:tc>
          <w:tcPr>
            <w:tcW w:w="160" w:type="dxa"/>
            <w:vAlign w:val="bottom"/>
          </w:tcPr>
          <w:p>
            <w:pPr>
              <w:spacing w:after="0"/>
              <w:rPr>
                <w:sz w:val="12"/>
                <w:szCs w:val="12"/>
                <w:color w:val="auto"/>
              </w:rPr>
            </w:pPr>
          </w:p>
        </w:tc>
        <w:tc>
          <w:tcPr>
            <w:tcW w:w="9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38.23%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Efficiency ratio</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73.34%</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86.85%</w:t>
            </w: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81.41%</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93.08%</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2"/>
              </w:rPr>
              <w:t>Average equity to average total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14.00%</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15.38%</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16.93%</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w:t>
            </w:r>
          </w:p>
        </w:tc>
        <w:tc>
          <w:tcPr>
            <w:tcW w:w="160" w:type="dxa"/>
            <w:vAlign w:val="bottom"/>
          </w:tcPr>
          <w:p>
            <w:pPr>
              <w:spacing w:after="0"/>
              <w:rPr>
                <w:sz w:val="12"/>
                <w:szCs w:val="12"/>
                <w:color w:val="auto"/>
              </w:rPr>
            </w:pPr>
          </w:p>
        </w:tc>
        <w:tc>
          <w:tcPr>
            <w:tcW w:w="9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10.69%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dividend payout ratio</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5.56%</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107.69%</w:t>
            </w: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92.25%</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71.26%</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Tier 1 leverage capital ratio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14.42%</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15.90%</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17.78%</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19.91%</w:t>
            </w:r>
          </w:p>
        </w:tc>
        <w:tc>
          <w:tcPr>
            <w:tcW w:w="160" w:type="dxa"/>
            <w:vAlign w:val="bottom"/>
          </w:tcPr>
          <w:p>
            <w:pPr>
              <w:spacing w:after="0"/>
              <w:rPr>
                <w:sz w:val="12"/>
                <w:szCs w:val="12"/>
                <w:color w:val="auto"/>
              </w:rPr>
            </w:pPr>
          </w:p>
        </w:tc>
        <w:tc>
          <w:tcPr>
            <w:tcW w:w="9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10.35%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risk-based capital ratio</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20.04%</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23.69%</w:t>
            </w:r>
          </w:p>
        </w:tc>
        <w:tc>
          <w:tcPr>
            <w:tcW w:w="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27.54%</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33.34%</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"Successor Company" means Northeast Bancorp and its subsidiary after the closing of the merger with FHB Formation LLC on December 29, 2010.</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"Predecessor Company" means Northeast Bancorp and its subsidiary before the closing of the merger with FHB Formation LLC on December 29, 2010.</w:t>
      </w:r>
    </w:p>
    <w:p>
      <w:pPr>
        <w:spacing w:after="0" w:line="122" w:lineRule="exact"/>
        <w:rPr>
          <w:rFonts w:ascii="Arial" w:cs="Arial" w:eastAsia="Arial" w:hAnsi="Arial"/>
          <w:sz w:val="14"/>
          <w:szCs w:val="14"/>
          <w:color w:val="auto"/>
        </w:rPr>
      </w:pPr>
    </w:p>
    <w:p>
      <w:pPr>
        <w:ind w:left="1680" w:right="140" w:hanging="531"/>
        <w:spacing w:after="0" w:line="239" w:lineRule="auto"/>
        <w:tabs>
          <w:tab w:leader="none" w:pos="1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primarily fees for deposits, investment brokerage services to customers through the second quarter of fiscal 2014, and gains on the sale of loans. In the 184 days ended June 30, 2011, the total further includes a bargain purchase gain $15.4 million.</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salaries, employee benefits, occupancy and equipment, and other expenses. In the 184 days ended June 30, 2011, the total includes merger expenses totaling $3.2 million.</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Northeast Bancorp (the "Company") is a Maine corporation and a bank holding company registered with the Federal Reserve under the Bank Holding Company Act of 1956. The Company also is a registered Maine financial institution holding company, and is subject to regulation by both the Maine Bureau of Financial Institutions (the "Bureau") and the Federal Reserve. The Company's principal asset is the capital stock of Northeast Bank (the "Bank"), a Maine state-chartered universal bank, which is regulated by the Federal Deposit Insurance Corporation ("FDIC") and the Bureau. The Company's results of operations are primarily dependent on the results of the operations of the Bank.</w:t>
      </w:r>
    </w:p>
    <w:p>
      <w:pPr>
        <w:spacing w:after="0" w:line="170"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Management's Discussion and Analysis of Financial Condition and Results of Operations, which follows, presents a review of the consolidated operating results of the Company for the fiscal year ended June 30, 2015 ("fiscal 2015") and the fiscal year ended June 30, 2014 ("fiscal 2014"). This discussion and analysis is intended to assist you in understanding the results of our operations and financial condition. You should read this discussion together with your review of the Company's Consolidated Financial Statements and related notes and other statistical information included in this report. Certain amounts in the periods prior to fiscal 2015 have been reclassified to conform to the fiscal 2015 presentation.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Presentation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December 29, 2010, the merger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our outstanding common stock. The Company applied the acquisition method of accounting, as described in Accounting Standards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to the Merger, which represents an acquisition by FHB of Northeast, with Northeast as the surviving company (the "Successor Company"). In the application of ASC 805 to this transaction, the following was considered: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Identify the Accounting Acquirer</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FHB was identified as the accounting acquirer. FHB, which was incorporated on March 9, 2009, acquired a controlling financial interest of approximately 60% of the Successor Company's total outstanding voting and non-voting common stock in exchange for contributed capital and cash consideration.</w:t>
      </w:r>
    </w:p>
    <w:p>
      <w:pPr>
        <w:spacing w:after="0" w:line="139"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the evaluation and identification of FHB as the accounting acquirer, it was concluded that FHB was a substantive entity involved in significant pre-merger activities, including the following: raising capital; incurring debt; incurring operating expenses; leasing office space; hiring staff to develop the surviving company's business plan; retaining professional services firms; and identifying acquisition targets and negotiating potential transactions, including the Merger.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Determine the Acquisition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December 29, 2010, the closing date of the Merger, was the date that FHB gained control of the combined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Recognize assets acquired and liabilities assumed</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Because neither Northeast Bancorp, the Predecessor Company (the acquired company), nor FHB (the accounting acquirer) exist as separate entities after the Merger, a new basis of accounting at fair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 xml:space="preserve">value for the Successor Company's assets and liabilities was established in the consolidated financial statements. At the acquisition date, the Successor Company recognized the identifiable assets acquired and the liabilities assumed based on their then fair values in accordance with ASC Topic 820, </w:t>
      </w:r>
      <w:r>
        <w:rPr>
          <w:rFonts w:ascii="Arial" w:cs="Arial" w:eastAsia="Arial" w:hAnsi="Arial"/>
          <w:sz w:val="15"/>
          <w:szCs w:val="15"/>
          <w:i w:val="1"/>
          <w:iCs w:val="1"/>
          <w:color w:val="auto"/>
        </w:rPr>
        <w:t>Fair Value Measurement</w:t>
      </w:r>
      <w:r>
        <w:rPr>
          <w:rFonts w:ascii="Arial" w:cs="Arial" w:eastAsia="Arial" w:hAnsi="Arial"/>
          <w:sz w:val="15"/>
          <w:szCs w:val="15"/>
          <w:color w:val="auto"/>
        </w:rPr>
        <w:t xml:space="preserve"> ("ASC 820"). The Successor Company recognized a bargain purchase gain as the difference between the total purchase price and the net assets acquired.</w:t>
      </w:r>
    </w:p>
    <w:p>
      <w:pPr>
        <w:spacing w:after="0" w:line="14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result of application of the acquisition method of accounting to Northeast Bancorp after the merger on December 29, 2010, the Company's financial statements from the periods prior to the transaction date are not directly comparable to the financial statements for periods subsequent to the transaction date. To make this distinction, the Company has labeled balances and results of operations prior to the transaction date as "Predecessor Company" and balances and results of operations for periods subsequent to the transaction date as "Successor Company." The lack of comparability arises from the assets and liabilities having new accounting bases as a result of recording them at their fair values as of the transaction date rather than at historical cost basis. To denote this lack of comparability, a heavy black line has been placed between the Successor Company and Predecessor Company columns in the discussion herein.</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connection with the transaction, as part of the regulatory approval process the Company made certain commitments to the Board of Governors of the Federal Reserve System (the "Federal Reserve"), the most significant of which are, (i) maintain a Tier 1 leverage ratio of at least 10%, (ii) maintain a total risk-based capital ratio of at least 15%, (iii) limit purchased loans to 40% of total loans, (iv) fund 100% of the Company's loans with core deposits (defined as non-maturity deposits and non-brokered insured time deposits), and (v)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 The Company's compliance ratios at June 30, 2015 are as follows:</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200" w:type="dxa"/>
            <w:vAlign w:val="bottom"/>
            <w:gridSpan w:val="4"/>
          </w:tcPr>
          <w:p>
            <w:pPr>
              <w:spacing w:after="0"/>
              <w:rPr>
                <w:sz w:val="20"/>
                <w:szCs w:val="20"/>
                <w:color w:val="auto"/>
              </w:rPr>
            </w:pPr>
            <w:r>
              <w:rPr>
                <w:rFonts w:ascii="Arial" w:cs="Arial" w:eastAsia="Arial" w:hAnsi="Arial"/>
                <w:sz w:val="14"/>
                <w:szCs w:val="14"/>
                <w:b w:val="1"/>
                <w:bCs w:val="1"/>
                <w:color w:val="auto"/>
              </w:rPr>
              <w:t>Condition</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Tier 1 leverage ratio</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(ii)</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Total risk-based capital ratio</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Ratio of purchased loans to total loans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(iv)</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Ratio of loans to core deposits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(v)</w:t>
            </w: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Ratio of non-owner occupied commercial real estate loans to total risk-based capital</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a result of the sale of the Company's insurance agency business in the first quarter of fiscal 2012 and discontinuation of further significant business activities in the insurance agency segment, the Company has classified the results of its insurance agency division as discontinued operations in the Company's consolidated financial statements and discussion herein.</w:t>
      </w:r>
    </w:p>
    <w:p>
      <w:pPr>
        <w:spacing w:after="0" w:line="194"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Company concluded all investment brokerage activities in the second quarter of fiscal 2014. Accordingly, operations associated with these activities have been classified as discontinued operations in all periods in the Company's consolidated financial statements and discussion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Financial Highlights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financial and strategic highlights for fiscal 2015 include the following:</w:t>
      </w:r>
    </w:p>
    <w:p>
      <w:pPr>
        <w:spacing w:after="0" w:line="239" w:lineRule="exact"/>
        <w:rPr>
          <w:sz w:val="20"/>
          <w:szCs w:val="20"/>
          <w:color w:val="auto"/>
        </w:rPr>
      </w:pPr>
    </w:p>
    <w:p>
      <w:pPr>
        <w:ind w:left="1080" w:right="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Earned net income of $7.1 million, or $0.72 per diluted share, from continuing operations as compared to $2.7 million, or $0.26 per diluted share, from continuing operations in fiscal 2014.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02"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LASG purchased loans totaling $82.7 million and originated loans totaling $82.5 million, earning average portfolio yields of 13.0% and 6.4%, respectively. The purchased loan yield of 13.0% includes regularly scheduled interest and accretion, and accelerated accretion and fees recognized on loan payoffs. The Company also monitors the "total return" on its purchased loan portfolio, a measure that includes gains on sales of purchased loans, as well as interest, scheduled accretion and accelerated accretion and fees. On this basis, the purchased loan portfolio earned a total return of</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13.3% for fiscal 2015. An overview of the LASG portfolio follows: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June 30, 2015</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June 30, 2014</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Secured</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Secured</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Loans to</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Loans to</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Broker-</w:t>
            </w:r>
          </w:p>
        </w:tc>
        <w:tc>
          <w:tcPr>
            <w:tcW w:w="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Broker-</w:t>
            </w:r>
          </w:p>
        </w:tc>
        <w:tc>
          <w:tcPr>
            <w:tcW w:w="2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Purchased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Originated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2"/>
              </w:rPr>
              <w:t>Dealers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LASG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Purchased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Originated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6"/>
              </w:rPr>
              <w:t>Dealers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LASG</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6"/>
          </w:tcPr>
          <w:p>
            <w:pPr>
              <w:jc w:val="right"/>
              <w:ind w:right="36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purchased or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originated during the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w w:val="94"/>
              </w:rPr>
              <w:t>Unpaid principal balance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93,694</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82,502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48,000</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$ 224,196</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91,288</w:t>
            </w:r>
          </w:p>
        </w:tc>
        <w:tc>
          <w:tcPr>
            <w:tcW w:w="14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54,225</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$ 157,513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investment basis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48,000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146,048</w:t>
            </w:r>
          </w:p>
        </w:tc>
        <w:tc>
          <w:tcPr>
            <w:tcW w:w="160" w:type="dxa"/>
            <w:vAlign w:val="bottom"/>
            <w:shd w:val="clear" w:color="auto" w:fill="CCEEFF"/>
          </w:tcPr>
          <w:p>
            <w:pPr>
              <w:spacing w:after="0"/>
              <w:rPr>
                <w:sz w:val="18"/>
                <w:szCs w:val="18"/>
                <w:color w:val="auto"/>
              </w:rPr>
            </w:pPr>
          </w:p>
        </w:tc>
      </w:tr>
      <w:tr>
        <w:trPr>
          <w:trHeight w:val="397"/>
        </w:trPr>
        <w:tc>
          <w:tcPr>
            <w:tcW w:w="2040" w:type="dxa"/>
            <w:vAlign w:val="bottom"/>
            <w:gridSpan w:val="3"/>
          </w:tcPr>
          <w:p>
            <w:pPr>
              <w:spacing w:after="0"/>
              <w:rPr>
                <w:sz w:val="20"/>
                <w:szCs w:val="20"/>
                <w:color w:val="auto"/>
              </w:rPr>
            </w:pPr>
            <w:r>
              <w:rPr>
                <w:rFonts w:ascii="Arial" w:cs="Arial" w:eastAsia="Arial" w:hAnsi="Arial"/>
                <w:sz w:val="18"/>
                <w:szCs w:val="18"/>
                <w:color w:val="auto"/>
              </w:rPr>
              <w:t>Loan returns during the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Yield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r>
      <w:tr>
        <w:trPr>
          <w:trHeight w:val="216"/>
        </w:trPr>
        <w:tc>
          <w:tcPr>
            <w:tcW w:w="2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Total Return(1)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0.48%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10.11%</w:t>
            </w:r>
          </w:p>
        </w:tc>
      </w:tr>
      <w:tr>
        <w:trPr>
          <w:trHeight w:val="397"/>
        </w:trPr>
        <w:tc>
          <w:tcPr>
            <w:tcW w:w="20" w:type="dxa"/>
            <w:vAlign w:val="bottom"/>
          </w:tcPr>
          <w:p>
            <w:pPr>
              <w:spacing w:after="0"/>
              <w:rPr>
                <w:sz w:val="24"/>
                <w:szCs w:val="24"/>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 as of period</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w w:val="94"/>
              </w:rPr>
              <w:t>Unpaid principal balance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239,933</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118,416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60,000</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$ 418,349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242,631</w:t>
            </w:r>
          </w:p>
        </w:tc>
        <w:tc>
          <w:tcPr>
            <w:tcW w:w="14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65,558</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$ 320,219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investment basis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202,592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118,261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60,011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$ 380,864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203,450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65,561</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$ 281,011</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35" w:lineRule="exact"/>
        <w:rPr>
          <w:sz w:val="20"/>
          <w:szCs w:val="20"/>
          <w:color w:val="auto"/>
        </w:rPr>
      </w:pPr>
    </w:p>
    <w:p>
      <w:pPr>
        <w:ind w:left="1680" w:right="480" w:hanging="531"/>
        <w:spacing w:after="0" w:line="332" w:lineRule="auto"/>
        <w:tabs>
          <w:tab w:leader="none" w:pos="16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52"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the Company's core deposit base by $100.4 million, mainly the result of increases in money market accounts attracted through the Bank's online-only ableBanking division.</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Launched the Company's SBA National program in November of 2014, and originated $33.6 million in SBA-guaranteed loans through June 30,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Operations—Continuing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for the year ended June 30, 2015 was $7.1 million, a $4.4 million increase from $2.7 million for the year ended June 30,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Items of significance affecting the Company's earnings included:</w:t>
      </w:r>
    </w:p>
    <w:p>
      <w:pPr>
        <w:spacing w:after="0" w:line="252" w:lineRule="exact"/>
        <w:rPr>
          <w:sz w:val="20"/>
          <w:szCs w:val="20"/>
          <w:color w:val="auto"/>
        </w:rPr>
      </w:pPr>
    </w:p>
    <w:p>
      <w:pPr>
        <w:ind w:left="1080" w:right="22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in net interest and dividend income before provision for loan losses, which grew to $37.4 million compared to $31.7 million for the year ended June 30, 2014, principally due to an 18.5% increase in loans outstanding and an increase in transactional interest income realized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from the purchased loan portfolio. The following table summarizes interest income and related yields recognized on the Company's loans.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w w:val="89"/>
              </w:rPr>
              <w:t>Year Ended June 30,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w w:val="76"/>
              </w:rPr>
              <w:t>2014</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4"/>
                <w:szCs w:val="14"/>
                <w:color w:val="auto"/>
              </w:rPr>
            </w:pPr>
          </w:p>
        </w:tc>
      </w:tr>
      <w:tr>
        <w:trPr>
          <w:trHeight w:val="142"/>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157"/>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236,128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11,747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246,853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LASG: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w:t>
            </w: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203,822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26,500</w:t>
            </w:r>
          </w:p>
        </w:tc>
        <w:tc>
          <w:tcPr>
            <w:tcW w:w="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178,377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20,388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11.43%</w:t>
            </w: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Secured Loans to Broker-Dealers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r>
      <w:tr>
        <w:trPr>
          <w:trHeight w:val="210"/>
        </w:trPr>
        <w:tc>
          <w:tcPr>
            <w:tcW w:w="2720" w:type="dxa"/>
            <w:vAlign w:val="bottom"/>
          </w:tcPr>
          <w:p>
            <w:pPr>
              <w:ind w:left="360"/>
              <w:spacing w:after="0"/>
              <w:rPr>
                <w:sz w:val="20"/>
                <w:szCs w:val="20"/>
                <w:color w:val="auto"/>
              </w:rPr>
            </w:pPr>
            <w:r>
              <w:rPr>
                <w:rFonts w:ascii="Arial" w:cs="Arial" w:eastAsia="Arial" w:hAnsi="Arial"/>
                <w:sz w:val="18"/>
                <w:szCs w:val="18"/>
                <w:color w:val="auto"/>
              </w:rPr>
              <w:t>Total LASG</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325,212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31,636</w:t>
            </w:r>
          </w:p>
        </w:tc>
        <w:tc>
          <w:tcPr>
            <w:tcW w:w="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9.73%</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248,260</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24,083</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r>
      <w:tr>
        <w:trPr>
          <w:trHeight w:val="210"/>
        </w:trPr>
        <w:tc>
          <w:tcPr>
            <w:tcW w:w="2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561,340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43,383</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495,113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w:t>
            </w:r>
          </w:p>
        </w:tc>
      </w:tr>
      <w:tr>
        <w:trPr>
          <w:trHeight w:val="20"/>
        </w:trPr>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yield on purchased loans in each period shown was increased by unscheduled loan payoffs, which resulted in immediate recognition of the prepaid loans' discount in interest income. The following table details the "total return" on purchased loans, which includes total transactional income of $9.9 million for the year ended June 30, 2015, an increase of $4.5 million from the year ended June 30, 2014. The following table summarizes the total return recognized on the purchased loan portfolio:</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86"/>
              </w:rPr>
              <w:t>Year Ended 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9"/>
              </w:rPr>
              <w:t>Return(1)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9"/>
              </w:rPr>
              <w:t>Return(1)</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15,682</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Transactional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r>
      <w:tr>
        <w:trPr>
          <w:trHeight w:val="216"/>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Gain on sale of real estate owned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r>
      <w:tr>
        <w:trPr>
          <w:trHeight w:val="21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Accelerated accretion and loan fees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r>
      <w:tr>
        <w:trPr>
          <w:trHeight w:val="21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5,386</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r>
      <w:tr>
        <w:trPr>
          <w:trHeight w:val="210"/>
        </w:trPr>
        <w:tc>
          <w:tcPr>
            <w:tcW w:w="44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11.76%</w:t>
            </w:r>
          </w:p>
        </w:tc>
      </w:tr>
      <w:tr>
        <w:trPr>
          <w:trHeight w:val="20"/>
        </w:trPr>
        <w:tc>
          <w:tcPr>
            <w:tcW w:w="2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140" w:hanging="540"/>
        <w:spacing w:after="0" w:line="332" w:lineRule="auto"/>
        <w:tabs>
          <w:tab w:leader="none" w:pos="22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total return represents scheduled interest and accretion, accelerated accretion, net gains on asset sales, and other noninterest income recorded during the period divided by the average invested balance, on an annualized basis.</w:t>
      </w:r>
    </w:p>
    <w:p>
      <w:pPr>
        <w:spacing w:after="0" w:line="166"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$2.2 million in noninterest income, principally resulting from an increase of $1.8 million in gains realized on sale of portfolio loans. The year ended June 30, 2015 includes gains realized on sale of SBA loans of $2.6 million.</w:t>
      </w:r>
    </w:p>
    <w:p>
      <w:pPr>
        <w:spacing w:after="0" w:line="199"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of $827 thousand in noninterest expense, principally due to an increase in salaries and employee benefits of $1.0 million, the result of increases in employee head count, benefits costs and stock-based compensation expense. Professional fees also contributed to the overall increase, rising $373 thousand due primarily to fees for temporary consulting services. Offsetting these increases were decreases in occupancy and equipment expense of $509 thousand, the result of a reduction in software maintenance and depreciation expense following the conversion of the Bank's core systems platform to an outsourced model in May 2014.</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average balance sheets, average yields and costs, and certain other information for the periods indicated:</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87"/>
              </w:rPr>
              <w:t>Year Ended June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Income/</w:t>
            </w:r>
          </w:p>
        </w:tc>
        <w:tc>
          <w:tcPr>
            <w:tcW w:w="16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Yield/</w:t>
            </w:r>
          </w:p>
        </w:tc>
        <w:tc>
          <w:tcPr>
            <w:tcW w:w="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Income/</w:t>
            </w:r>
          </w:p>
        </w:tc>
        <w:tc>
          <w:tcPr>
            <w:tcW w:w="16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Yield/</w:t>
            </w:r>
          </w:p>
        </w:tc>
        <w:tc>
          <w:tcPr>
            <w:tcW w:w="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Income/</w:t>
            </w:r>
          </w:p>
        </w:tc>
        <w:tc>
          <w:tcPr>
            <w:tcW w:w="16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Yield/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7"/>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Interest-earning assets: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Investment securities(1)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108,204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0.84%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115,849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0.90%</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131,199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Loans(2)(3)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561,340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43,383</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495,113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37,009</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384,310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35,017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Regulatory stock</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Short-term investments(4)</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92,354</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0.24%</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78,838</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0.24%</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127,781</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interest-earning assets</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766,000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44,588</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5.82%</w:t>
            </w: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695,420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38,371</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5.52%</w:t>
            </w: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648,688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36,543</w:t>
            </w:r>
          </w:p>
        </w:tc>
        <w:tc>
          <w:tcPr>
            <w:tcW w:w="8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42"/>
        </w:trPr>
        <w:tc>
          <w:tcPr>
            <w:tcW w:w="2580" w:type="dxa"/>
            <w:vAlign w:val="bottom"/>
            <w:gridSpan w:val="3"/>
          </w:tcPr>
          <w:p>
            <w:pPr>
              <w:spacing w:after="0" w:line="142" w:lineRule="exact"/>
              <w:rPr>
                <w:sz w:val="20"/>
                <w:szCs w:val="20"/>
                <w:color w:val="auto"/>
              </w:rPr>
            </w:pPr>
            <w:r>
              <w:rPr>
                <w:rFonts w:ascii="Arial" w:cs="Arial" w:eastAsia="Arial" w:hAnsi="Arial"/>
                <w:sz w:val="14"/>
                <w:szCs w:val="14"/>
                <w:color w:val="auto"/>
              </w:rPr>
              <w:t>Cash and due from banks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2,704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2,876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3,065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non-interest earning assets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4"/>
                <w:szCs w:val="14"/>
                <w:color w:val="auto"/>
              </w:rPr>
              <w:t>Total assets</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802,445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732,254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688,959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Liabilities &amp; Stockholders' Equity:</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liabilities: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NOW accounts</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63,181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61,146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55,763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Money market accounts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133,266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1,002</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85,333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447</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0.52%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63,931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Savings accounts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31,939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Time deposits</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340,046</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3,800</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314,848</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3,470</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280,059</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3,564</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interest-bearing deposits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570,988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5,010</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0.88%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495,718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4,123</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0.83%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431,692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4,098</w:t>
            </w:r>
          </w:p>
        </w:tc>
        <w:tc>
          <w:tcPr>
            <w:tcW w:w="8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Short-term borrowings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2,578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Borrowed funds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58,468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w:t>
            </w: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Junior subordinated debentures</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8,531</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718</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8.42%</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8,352</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765</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9.16%</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8,185</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769</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interest-bearing liabilities</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627,758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7,220</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1.15%</w:t>
            </w: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564,768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6,653</w:t>
            </w:r>
          </w:p>
        </w:tc>
        <w:tc>
          <w:tcPr>
            <w:tcW w:w="8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1.18%</w:t>
            </w: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516,982</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6,596</w:t>
            </w:r>
          </w:p>
        </w:tc>
        <w:tc>
          <w:tcPr>
            <w:tcW w:w="8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31"/>
        </w:trPr>
        <w:tc>
          <w:tcPr>
            <w:tcW w:w="2580" w:type="dxa"/>
            <w:vAlign w:val="bottom"/>
            <w:gridSpan w:val="3"/>
          </w:tcPr>
          <w:p>
            <w:pPr>
              <w:spacing w:after="0" w:line="131" w:lineRule="exact"/>
              <w:rPr>
                <w:sz w:val="20"/>
                <w:szCs w:val="20"/>
                <w:color w:val="auto"/>
              </w:rPr>
            </w:pPr>
            <w:r>
              <w:rPr>
                <w:rFonts w:ascii="Arial" w:cs="Arial" w:eastAsia="Arial" w:hAnsi="Arial"/>
                <w:sz w:val="14"/>
                <w:szCs w:val="14"/>
                <w:color w:val="auto"/>
              </w:rPr>
              <w:t>Interest-bearing liabilities of discontinued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operations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bearing liabilities:</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Demand deposits and escrow accounts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54,940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50,890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49,343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80" w:type="dxa"/>
            <w:vAlign w:val="bottom"/>
            <w:gridSpan w:val="3"/>
          </w:tcPr>
          <w:p>
            <w:pPr>
              <w:spacing w:after="0" w:line="142" w:lineRule="exact"/>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w w:val="90"/>
              </w:rPr>
              <w:t>690,068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w w:val="90"/>
              </w:rPr>
              <w:t>619,620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w w:val="90"/>
              </w:rPr>
              <w:t>572,307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112,377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112,634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116,652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4"/>
                <w:szCs w:val="14"/>
                <w:color w:val="auto"/>
              </w:rPr>
              <w:t>Total liabilities and stockholders' equity</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802,445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732,254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688,959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interest income</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37,368</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31,718</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29,947</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gridSpan w:val="3"/>
            <w:vMerge w:val="restart"/>
          </w:tcPr>
          <w:p>
            <w:pPr>
              <w:spacing w:after="0"/>
              <w:rPr>
                <w:sz w:val="20"/>
                <w:szCs w:val="20"/>
                <w:color w:val="auto"/>
              </w:rPr>
            </w:pPr>
            <w:r>
              <w:rPr>
                <w:rFonts w:ascii="Arial" w:cs="Arial" w:eastAsia="Arial" w:hAnsi="Arial"/>
                <w:sz w:val="14"/>
                <w:szCs w:val="14"/>
                <w:color w:val="auto"/>
              </w:rPr>
              <w:t>Interest rate spread</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4.67%</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4.34%</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4.36%</w:t>
            </w:r>
          </w:p>
        </w:tc>
        <w:tc>
          <w:tcPr>
            <w:tcW w:w="0" w:type="dxa"/>
            <w:vAlign w:val="bottom"/>
          </w:tcPr>
          <w:p>
            <w:pPr>
              <w:spacing w:after="0" w:line="20" w:lineRule="exact"/>
              <w:rPr>
                <w:sz w:val="1"/>
                <w:szCs w:val="1"/>
                <w:color w:val="auto"/>
              </w:rPr>
            </w:pPr>
          </w:p>
        </w:tc>
      </w:tr>
      <w:tr>
        <w:trPr>
          <w:trHeight w:val="129"/>
        </w:trPr>
        <w:tc>
          <w:tcPr>
            <w:tcW w:w="25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margin(5)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Interest income and yield are stated on a fully tax-equivalent basis using a 34% tax rate.</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loans held for sale.</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Nonaccrual loans are included in the computation of average, but unpaid interest has not been included for purposes of determining interest income.</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Short term investments include FHLB overnight deposits and other interest-bearing deposits.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interest margin is calculated as net income divided by total interest-earning assets.</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87"/>
              </w:rPr>
              <w:t>Year Ended June 30, 2015</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10"/>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Compared to the Year Ended</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June 30, 2014</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gridSpan w:val="3"/>
          </w:tcPr>
          <w:p>
            <w:pPr>
              <w:jc w:val="center"/>
              <w:ind w:right="52"/>
              <w:spacing w:after="0" w:line="129" w:lineRule="exact"/>
              <w:rPr>
                <w:sz w:val="20"/>
                <w:szCs w:val="20"/>
                <w:color w:val="auto"/>
              </w:rPr>
            </w:pPr>
            <w:r>
              <w:rPr>
                <w:rFonts w:ascii="Arial" w:cs="Arial" w:eastAsia="Arial" w:hAnsi="Arial"/>
                <w:sz w:val="14"/>
                <w:szCs w:val="14"/>
                <w:b w:val="1"/>
                <w:bCs w:val="1"/>
                <w:color w:val="auto"/>
                <w:w w:val="85"/>
              </w:rPr>
              <w:t>Change Due</w:t>
            </w:r>
          </w:p>
        </w:tc>
        <w:tc>
          <w:tcPr>
            <w:tcW w:w="60" w:type="dxa"/>
            <w:vAlign w:val="bottom"/>
          </w:tcPr>
          <w:p>
            <w:pPr>
              <w:spacing w:after="0"/>
              <w:rPr>
                <w:sz w:val="11"/>
                <w:szCs w:val="11"/>
                <w:color w:val="auto"/>
              </w:rPr>
            </w:pPr>
          </w:p>
        </w:tc>
        <w:tc>
          <w:tcPr>
            <w:tcW w:w="9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Change Due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to Volume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8"/>
              </w:rPr>
              <w:t>to Rate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Total Change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Total increase in interest income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0"/>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Total increase in interest expense</w:t>
            </w:r>
          </w:p>
        </w:tc>
        <w:tc>
          <w:tcPr>
            <w:tcW w:w="1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in net interest and dividend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87"/>
              </w:rPr>
              <w:t>Year Ended June 30, 2014</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10"/>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Compared to the Year Ended</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June 30, 2013</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gridSpan w:val="3"/>
          </w:tcPr>
          <w:p>
            <w:pPr>
              <w:jc w:val="center"/>
              <w:ind w:right="52"/>
              <w:spacing w:after="0" w:line="129" w:lineRule="exact"/>
              <w:rPr>
                <w:sz w:val="20"/>
                <w:szCs w:val="20"/>
                <w:color w:val="auto"/>
              </w:rPr>
            </w:pPr>
            <w:r>
              <w:rPr>
                <w:rFonts w:ascii="Arial" w:cs="Arial" w:eastAsia="Arial" w:hAnsi="Arial"/>
                <w:sz w:val="14"/>
                <w:szCs w:val="14"/>
                <w:b w:val="1"/>
                <w:bCs w:val="1"/>
                <w:color w:val="auto"/>
                <w:w w:val="85"/>
              </w:rPr>
              <w:t>Change Due</w:t>
            </w:r>
          </w:p>
        </w:tc>
        <w:tc>
          <w:tcPr>
            <w:tcW w:w="60" w:type="dxa"/>
            <w:vAlign w:val="bottom"/>
          </w:tcPr>
          <w:p>
            <w:pPr>
              <w:spacing w:after="0"/>
              <w:rPr>
                <w:sz w:val="11"/>
                <w:szCs w:val="11"/>
                <w:color w:val="auto"/>
              </w:rPr>
            </w:pPr>
          </w:p>
        </w:tc>
        <w:tc>
          <w:tcPr>
            <w:tcW w:w="9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Change Due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to Volume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8"/>
              </w:rPr>
              <w:t>to Rate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Total Change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0"/>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Total increase in interest income</w:t>
            </w:r>
          </w:p>
        </w:tc>
        <w:tc>
          <w:tcPr>
            <w:tcW w:w="1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Interest bearing deposits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Total increase in interest expense</w:t>
            </w:r>
          </w:p>
        </w:tc>
        <w:tc>
          <w:tcPr>
            <w:tcW w:w="1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in net interest and dividend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For the year ended June 30, 2015, the $4.8 million volume-related change in net interest income was mainly the result of the increase in loans, which grew by $66.2 million on average compared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fiscal 2014. The rate-related change in fiscal 2015 compared to fiscal 2014 was principally due to the purchased loan yield differential, offset in part by a decline in yields on the originated loan portfolios. For fiscal 2015, the 4.88% net interest margin earned was 32 basis points higher than that earned for the year ended June 30, 2014. The net interest margin increased during fiscal 2015 principally due to the increased loan volume and increase in transactional income on purchased loans.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effects of accretion of fair value adjustments on the net interest margin, for the periods indicated: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11"/>
          </w:tcPr>
          <w:p>
            <w:pPr>
              <w:jc w:val="center"/>
              <w:ind w:right="100"/>
              <w:spacing w:after="0"/>
              <w:rPr>
                <w:sz w:val="20"/>
                <w:szCs w:val="20"/>
                <w:color w:val="auto"/>
              </w:rPr>
            </w:pPr>
            <w:r>
              <w:rPr>
                <w:rFonts w:ascii="Arial" w:cs="Arial" w:eastAsia="Arial" w:hAnsi="Arial"/>
                <w:sz w:val="14"/>
                <w:szCs w:val="14"/>
                <w:b w:val="1"/>
                <w:bCs w:val="1"/>
                <w:color w:val="auto"/>
                <w:w w:val="89"/>
              </w:rPr>
              <w:t>Accretion (Amortization) of Merger Fair Value Adjustments</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Year Ended June 30,</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Income</w:t>
            </w:r>
          </w:p>
        </w:tc>
        <w:tc>
          <w:tcPr>
            <w:tcW w:w="84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Effect on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Income</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Effect 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Yield / Rate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(Expense)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Yield / 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108,204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w w:val="94"/>
              </w:rPr>
              <w:t>0.00%$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115,849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0.07%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96,456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84,458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0.05%$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695,420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Interest-bearing liabilities:</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0.06%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0.59%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interest-bearing liabilities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0.10%$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564,768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Total effect of noncash accretion on:</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Company's total cost of funds improved to 1.06% in fiscal 2015, down from 1.08% in fiscal 2014, principally due to a 3 basis point decrease in the cost of interest-bearing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Quarterly, the Company determines the amount of its allowance for loan losses adequate to provide for losses inherent in the Company's loan portfolios, with the provision for loan losses determined by the net periodic change in the allowance for loan losses. For acquired loans accounted for under ASC 310-30, a provision for loan loss is recorded when estimates of future cash flows decrease due to credit deterioration.</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provision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provision for loan losses for the fiscal year ended June 30, 2015 was $717 thousand. This compares to a provision for loan losses of $531 thousand for the year ended June 30, 2014. At June 30, 2015 and 2014, the allowance for loan losses was $1.9 million and $1.4 million, respectively, and the ratio of allowance for loan losses to total loans was 0.31% and 0.26%, respectively. Net charge-offs 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fiscal year ended June 30, 2015 totaled $158 thousand, representing approximately 0.03% of the Company's average portfolio loan balance during the fiscal year. This compares to $307 thousand, or 0.06%, in fiscal 2014, representing a decrease of $151 thousand in fiscal 2015, the result of improved net charge-off trends in all loan segments.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on the allowance for loan losses, see "Asset Quality."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Noninterest income for the fiscal year ended June 30, 2015 totaled $7.1 million, an increase of $2.2 million, or 45.6%, from fiscal 2014. When compared to fiscal 2014, the increase was principally due to the following:</w:t>
      </w:r>
    </w:p>
    <w:p>
      <w:pPr>
        <w:spacing w:after="0" w:line="199" w:lineRule="exact"/>
        <w:rPr>
          <w:sz w:val="20"/>
          <w:szCs w:val="20"/>
          <w:color w:val="auto"/>
        </w:rPr>
      </w:pPr>
    </w:p>
    <w:p>
      <w:pPr>
        <w:ind w:left="1080" w:right="40" w:hanging="532"/>
        <w:spacing w:after="0" w:line="28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increase of $1.8 million in gains realized on sale of portfolio loans. The year ended June 30, 2015 includes gains realized on sale of SBA loans of $2.6 million and gains realized on sale of LASG loans of $200 thousand, compared to a $408 thousand gain on sale of SBA loans and</w:t>
      </w:r>
    </w:p>
    <w:p>
      <w:pPr>
        <w:ind w:left="1080"/>
        <w:spacing w:after="0"/>
        <w:rPr>
          <w:rFonts w:ascii="Arial" w:cs="Arial" w:eastAsia="Arial" w:hAnsi="Arial"/>
          <w:sz w:val="16"/>
          <w:szCs w:val="16"/>
          <w:color w:val="auto"/>
        </w:rPr>
      </w:pPr>
      <w:r>
        <w:rPr>
          <w:rFonts w:ascii="Arial" w:cs="Arial" w:eastAsia="Arial" w:hAnsi="Arial"/>
          <w:sz w:val="18"/>
          <w:szCs w:val="18"/>
          <w:color w:val="auto"/>
        </w:rPr>
        <w:t>$496 thousand gain on sale of LASG purchased loans in the year ended June 30, 2014;</w:t>
      </w:r>
    </w:p>
    <w:p>
      <w:pPr>
        <w:spacing w:after="0" w:line="245"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$227 thousand increase in gains on residential loans originated for sale, an increase correlated to the volume of loans originated for portfolio in fiscal 2015;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$365 thousand increase in net gains recognized on Real Estate Owned/Other Assets Acquired ("REO/OAA").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Noninterest expense for the fiscal year ended June 30, 2015 totaled $32.6 million, an increase of $827 thousand, or 2.6%, from fiscal 2014. When compared to fiscal 2014, the changes of significance are:</w:t>
      </w:r>
    </w:p>
    <w:p>
      <w:pPr>
        <w:spacing w:after="0" w:line="199" w:lineRule="exact"/>
        <w:rPr>
          <w:sz w:val="20"/>
          <w:szCs w:val="20"/>
          <w:color w:val="auto"/>
        </w:rPr>
      </w:pPr>
    </w:p>
    <w:p>
      <w:pPr>
        <w:ind w:left="1080" w:right="4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$1.0 million in salaries and employee benefits, principally due to increased employee head count, as well as higher employee benefits and stock-based compensation;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$373 thousand in professional fees, due primarily to fees for temporary consulting services;</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$250 thousand legal settlement recovery that was recognized in the quarter ended September 30, 2013, with no similar recovery in the year ended June 30, 2015;</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$509 thousand in occupancy and equipment expense, the result of a reduction in software maintenance and depreciation expense following the conversion of the Bank's core systems platform to an outsourced model in May 2014;</w:t>
      </w:r>
    </w:p>
    <w:p>
      <w:pPr>
        <w:spacing w:after="0" w:line="21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$157 thousand in intangible asset amortization. The company's core deposit intangible is amortized on an accelerated basis, therefore, the expense decreases annually;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$183 thousand in other noninterest expense, the reduction mainly due to non-recurring core conversion expenses incurred in fiscal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Income tax expense for the fiscal year ended June 30, 2015 totaled $4.0 million, representing 35.9% of pretax income, as compared to $1.6 million, or 36.9% of pretax income, in fiscal 2014. The decrease in the Company's effective tax rate was principally due to an increase in the prior year related to changes in state apportionment.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Operations—Discontinued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concluded all investment brokerage activities in the second quarter of fiscal 2014. Accordingly, operations associated with these activities have been classified as discontinued operations for all periods shown in the accompanying consolidated statements of income. The Company recorded no net loss from discontinued operations in fiscal 2015, compared to a net loss of $8 thousand in fiscal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total assets grew to $850.8 million at June 30, 2015, representing an increase of $88.9 million, or 11.7%, compared to $761.9 million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2014. Significant changes in the Company's balance sheet components include:</w:t>
      </w:r>
    </w:p>
    <w:p>
      <w:pPr>
        <w:spacing w:after="0" w:line="232" w:lineRule="exact"/>
        <w:rPr>
          <w:sz w:val="20"/>
          <w:szCs w:val="20"/>
          <w:color w:val="auto"/>
        </w:rPr>
      </w:pPr>
    </w:p>
    <w:p>
      <w:pPr>
        <w:ind w:left="1080" w:right="46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Loans increased by $95.7 million, or 18.5%, compared to June 30, 2014, principally due to net growth of $99.9 million in commercial loans purchased or originated by the LASG, offset by a $4.2 million decrease in loans originated by the Bank's Community Banking Division;</w:t>
      </w:r>
    </w:p>
    <w:p>
      <w:pPr>
        <w:spacing w:after="0" w:line="166"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Deposits increased by $100.4 million from June 30, 2014 and borrowings decreased $13.4 million from June 30, 2014. Non-maturity deposits increased by $96.7 million, or 41.6%, for the year while time deposits grew by $3.8 million or 1.1%. The increase was mainly the result of increases in money market accounts attracted through the Bank's online-only ableBanking division. The decrease in borrowings was primarily due a decrease of $12.6 million in FHLB advances outstanding; and</w:t>
      </w:r>
    </w:p>
    <w:p>
      <w:pPr>
        <w:spacing w:after="0" w:line="210" w:lineRule="exact"/>
        <w:rPr>
          <w:rFonts w:ascii="Arial" w:cs="Arial" w:eastAsia="Arial" w:hAnsi="Arial"/>
          <w:sz w:val="18"/>
          <w:szCs w:val="18"/>
          <w:color w:val="auto"/>
        </w:rPr>
      </w:pPr>
    </w:p>
    <w:p>
      <w:pPr>
        <w:jc w:val="both"/>
        <w:ind w:left="1080" w:right="360" w:hanging="532"/>
        <w:spacing w:after="0" w:line="306"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Stockholders' equity increased by $773 thousand from June 30, 2014, due principally to earnings of $7.1 million, as well as $705 thousand of scheduled amortization of stock-based compensation, offset by $6.7 million in share repurchases (representing 710,662 shares), a decrease in accumulated other comprehensive income of $5 thousand and $402 thousand in dividends paid on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Cash and cash equivalents increased $7.6 million, or 9.2%, to $89.9 million at June 30, 2015 as compared to $82.3 million at June 30, 2014. This increase was principally the result of deposit growth of $100.4 million, partially offset by loan growth of $95.7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Securities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available-for-sale securities portfolio totaled $101.9 million and $113.9 million at June 30, 2015 and 2014, respectively. Mortgage-backed securities and U.S. Government-sponsored enterprise bonds totaling $12.4 million were pledged for outstanding borrowings at June 30, 2015.</w:t>
      </w:r>
    </w:p>
    <w:p>
      <w:pPr>
        <w:spacing w:after="0" w:line="139"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At June 30, 2015, the Company's investment portfolio was comprised entirely of U.S. Government-sponsored enterprise bonds and mortgage-backed securities guaranteed by government agencies. Generally, funds retained by the Company as a result of increases in deposits or decreases in loans, to the extent not immediately deployed by the Bank, are invested in securities held in its investment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portfolio, which serves as a source of liquidity for the Company. The composition of the Company's securities portfolio at the dates indicated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ind w:left="320"/>
              <w:spacing w:after="0"/>
              <w:rPr>
                <w:sz w:val="20"/>
                <w:szCs w:val="20"/>
                <w:color w:val="auto"/>
              </w:rPr>
            </w:pPr>
            <w:r>
              <w:rPr>
                <w:rFonts w:ascii="Arial" w:cs="Arial" w:eastAsia="Arial" w:hAnsi="Arial"/>
                <w:sz w:val="14"/>
                <w:szCs w:val="14"/>
                <w:b w:val="1"/>
                <w:bCs w:val="1"/>
                <w:color w:val="auto"/>
              </w:rPr>
              <w:t>June 30, 2013</w:t>
            </w: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6"/>
              </w:rPr>
              <w:t>Fair Value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right"/>
              <w:ind w:right="157"/>
              <w:spacing w:after="0" w:line="142" w:lineRule="exact"/>
              <w:rPr>
                <w:sz w:val="20"/>
                <w:szCs w:val="20"/>
                <w:color w:val="auto"/>
              </w:rPr>
            </w:pPr>
            <w:r>
              <w:rPr>
                <w:rFonts w:ascii="Arial" w:cs="Arial" w:eastAsia="Arial" w:hAnsi="Arial"/>
                <w:sz w:val="14"/>
                <w:szCs w:val="14"/>
                <w:b w:val="1"/>
                <w:bCs w:val="1"/>
                <w:color w:val="auto"/>
                <w:w w:val="89"/>
              </w:rPr>
              <w:t>(Dollars 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54,553</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102,744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115,159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124,233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400" w:firstLine="348"/>
        <w:spacing w:after="0" w:line="370" w:lineRule="auto"/>
        <w:rPr>
          <w:sz w:val="20"/>
          <w:szCs w:val="20"/>
          <w:color w:val="auto"/>
        </w:rPr>
      </w:pPr>
      <w:r>
        <w:rPr>
          <w:rFonts w:ascii="Arial" w:cs="Arial" w:eastAsia="Arial" w:hAnsi="Arial"/>
          <w:sz w:val="15"/>
          <w:szCs w:val="15"/>
          <w:color w:val="auto"/>
        </w:rPr>
        <w:t>The table below sets forth certain information regarding the contractual maturities and weighted average yields of the Company's securities portfolio at June 30, 2015. Actual maturities of mortgage-backed securities will differ from contractual maturities due both to scheduled amortization and prepayments.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left="307"/>
              <w:spacing w:after="0"/>
              <w:rPr>
                <w:sz w:val="20"/>
                <w:szCs w:val="20"/>
                <w:color w:val="auto"/>
              </w:rPr>
            </w:pPr>
            <w:r>
              <w:rPr>
                <w:rFonts w:ascii="Arial" w:cs="Arial" w:eastAsia="Arial" w:hAnsi="Arial"/>
                <w:sz w:val="14"/>
                <w:szCs w:val="14"/>
                <w:b w:val="1"/>
                <w:bCs w:val="1"/>
                <w:color w:val="auto"/>
                <w:w w:val="97"/>
              </w:rPr>
              <w:t>After</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left="307"/>
              <w:spacing w:after="0"/>
              <w:rPr>
                <w:sz w:val="20"/>
                <w:szCs w:val="20"/>
                <w:color w:val="auto"/>
              </w:rPr>
            </w:pPr>
            <w:r>
              <w:rPr>
                <w:rFonts w:ascii="Arial" w:cs="Arial" w:eastAsia="Arial" w:hAnsi="Arial"/>
                <w:sz w:val="14"/>
                <w:szCs w:val="14"/>
                <w:b w:val="1"/>
                <w:bCs w:val="1"/>
                <w:color w:val="auto"/>
                <w:w w:val="97"/>
              </w:rPr>
              <w:t>After</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One Year</w:t>
            </w:r>
          </w:p>
        </w:tc>
        <w:tc>
          <w:tcPr>
            <w:tcW w:w="12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Five Years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88"/>
              </w:rPr>
              <w:t>Within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Through</w:t>
            </w:r>
          </w:p>
        </w:tc>
        <w:tc>
          <w:tcPr>
            <w:tcW w:w="12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Through</w:t>
            </w:r>
          </w:p>
        </w:tc>
        <w:tc>
          <w:tcPr>
            <w:tcW w:w="740" w:type="dxa"/>
            <w:vAlign w:val="bottom"/>
            <w:gridSpan w:val="3"/>
          </w:tcPr>
          <w:p>
            <w:pPr>
              <w:ind w:left="420"/>
              <w:spacing w:after="0" w:line="149" w:lineRule="exact"/>
              <w:rPr>
                <w:sz w:val="20"/>
                <w:szCs w:val="20"/>
                <w:color w:val="auto"/>
              </w:rPr>
            </w:pPr>
            <w:r>
              <w:rPr>
                <w:rFonts w:ascii="Arial" w:cs="Arial" w:eastAsia="Arial" w:hAnsi="Arial"/>
                <w:sz w:val="14"/>
                <w:szCs w:val="14"/>
                <w:b w:val="1"/>
                <w:bCs w:val="1"/>
                <w:color w:val="auto"/>
                <w:w w:val="91"/>
              </w:rPr>
              <w:t>After</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One Year</w:t>
            </w: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Five Years</w:t>
            </w: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3"/>
              </w:rPr>
              <w:t>Ten Years</w:t>
            </w:r>
          </w:p>
        </w:tc>
        <w:tc>
          <w:tcPr>
            <w:tcW w:w="13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Ten Years</w:t>
            </w:r>
          </w:p>
        </w:tc>
        <w:tc>
          <w:tcPr>
            <w:tcW w:w="800" w:type="dxa"/>
            <w:vAlign w:val="bottom"/>
            <w:gridSpan w:val="2"/>
          </w:tcPr>
          <w:p>
            <w:pPr>
              <w:ind w:left="460"/>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Yield</w:t>
            </w:r>
          </w:p>
        </w:tc>
        <w:tc>
          <w:tcPr>
            <w:tcW w:w="140" w:type="dxa"/>
            <w:vAlign w:val="bottom"/>
          </w:tcPr>
          <w:p>
            <w:pPr>
              <w:spacing w:after="0"/>
              <w:rPr>
                <w:sz w:val="12"/>
                <w:szCs w:val="12"/>
                <w:color w:val="auto"/>
              </w:rPr>
            </w:pPr>
          </w:p>
        </w:tc>
        <w:tc>
          <w:tcPr>
            <w:tcW w:w="7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12"/>
                <w:szCs w:val="12"/>
                <w:color w:val="auto"/>
              </w:rPr>
            </w:pPr>
          </w:p>
        </w:tc>
        <w:tc>
          <w:tcPr>
            <w:tcW w:w="74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Yield</w:t>
            </w:r>
          </w:p>
        </w:tc>
        <w:tc>
          <w:tcPr>
            <w:tcW w:w="140" w:type="dxa"/>
            <w:vAlign w:val="bottom"/>
          </w:tcPr>
          <w:p>
            <w:pPr>
              <w:spacing w:after="0"/>
              <w:rPr>
                <w:sz w:val="12"/>
                <w:szCs w:val="12"/>
                <w:color w:val="auto"/>
              </w:rPr>
            </w:pPr>
          </w:p>
        </w:tc>
        <w:tc>
          <w:tcPr>
            <w:tcW w:w="74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Yield</w:t>
            </w: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(Dollars in</w:t>
            </w:r>
          </w:p>
        </w:tc>
        <w:tc>
          <w:tcPr>
            <w:tcW w:w="80" w:type="dxa"/>
            <w:vAlign w:val="bottom"/>
          </w:tcPr>
          <w:p>
            <w:pPr>
              <w:spacing w:after="0"/>
              <w:rPr>
                <w:sz w:val="12"/>
                <w:szCs w:val="12"/>
                <w:color w:val="auto"/>
              </w:rPr>
            </w:pPr>
          </w:p>
        </w:tc>
        <w:tc>
          <w:tcPr>
            <w:tcW w:w="44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74"/>
              </w:rPr>
              <w:t>thousands)</w:t>
            </w: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1"/>
              </w:rPr>
              <w:t>U.S. Government agency securities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$ 36,142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740" w:type="dxa"/>
            <w:vAlign w:val="bottom"/>
            <w:gridSpan w:val="3"/>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0"/>
              </w:rPr>
              <w:t>Agency mortgage-backed securities</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0.00%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$ 36,142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0.42%$ 12,088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0.54%$ 26,119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0.93%$ 27,559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1.47%$ 101,908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Management reviews the portfolio of investments on an ongoing basis to determine if there have been any other-than-temporary declines in value. No other-than-temporary impairment expense was recognized during fiscal 2015 or fiscal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Loans, including loans held-for-sale, totaled $621.2 million at June 30, 2015, compared to $528.4 million at June 30, 2014. The increase of $92.8 million, or 17.6%, at June 30, 2015, was principally due to net increases of $32.6 million in commercial real estate and $81.3 in commercial business, offset by a net decreases of $16.0 million in residential loans, $2.2 million in consumer loans and $2.9 million in loans held for sale. During fiscal 2015, the LASG purchased $82.7 million in loans, consisting principally of commercial real estate loans. Additionally, during fiscal 2015, the LASG originated $130.5 million in loans, which included $48.0 million of secured commercial business loans to broker-dealers.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the Company's loan portfolio (excluding loans held-for-sale) at the dates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June 30, 2015</w:t>
            </w:r>
          </w:p>
        </w:tc>
        <w:tc>
          <w:tcPr>
            <w:tcW w:w="1340" w:type="dxa"/>
            <w:vAlign w:val="bottom"/>
            <w:gridSpan w:val="6"/>
          </w:tcPr>
          <w:p>
            <w:pPr>
              <w:jc w:val="right"/>
              <w:ind w:right="312"/>
              <w:spacing w:after="0"/>
              <w:rPr>
                <w:sz w:val="20"/>
                <w:szCs w:val="20"/>
                <w:color w:val="auto"/>
              </w:rPr>
            </w:pPr>
            <w:r>
              <w:rPr>
                <w:rFonts w:ascii="Arial" w:cs="Arial" w:eastAsia="Arial" w:hAnsi="Arial"/>
                <w:sz w:val="14"/>
                <w:szCs w:val="14"/>
                <w:b w:val="1"/>
                <w:bCs w:val="1"/>
                <w:color w:val="auto"/>
              </w:rPr>
              <w:t>June 30, 2014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7"/>
          </w:tcPr>
          <w:p>
            <w:pPr>
              <w:jc w:val="right"/>
              <w:ind w:right="372"/>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14"/>
                <w:szCs w:val="14"/>
                <w:color w:val="auto"/>
              </w:rPr>
            </w:pPr>
          </w:p>
        </w:tc>
        <w:tc>
          <w:tcPr>
            <w:tcW w:w="1040" w:type="dxa"/>
            <w:vAlign w:val="bottom"/>
            <w:gridSpan w:val="5"/>
          </w:tcPr>
          <w:p>
            <w:pPr>
              <w:jc w:val="right"/>
              <w:ind w:right="143"/>
              <w:spacing w:after="0"/>
              <w:rPr>
                <w:sz w:val="20"/>
                <w:szCs w:val="20"/>
                <w:color w:val="auto"/>
              </w:rPr>
            </w:pPr>
            <w:r>
              <w:rPr>
                <w:rFonts w:ascii="Arial" w:cs="Arial" w:eastAsia="Arial" w:hAnsi="Arial"/>
                <w:sz w:val="14"/>
                <w:szCs w:val="14"/>
                <w:b w:val="1"/>
                <w:bCs w:val="1"/>
                <w:color w:val="auto"/>
                <w:w w:val="87"/>
              </w:rPr>
              <w:t>June 30, 2012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7"/>
          </w:tcPr>
          <w:p>
            <w:pPr>
              <w:ind w:left="180"/>
              <w:spacing w:after="0"/>
              <w:rPr>
                <w:sz w:val="20"/>
                <w:szCs w:val="20"/>
                <w:color w:val="auto"/>
              </w:rPr>
            </w:pPr>
            <w:r>
              <w:rPr>
                <w:rFonts w:ascii="Arial" w:cs="Arial" w:eastAsia="Arial" w:hAnsi="Arial"/>
                <w:sz w:val="14"/>
                <w:szCs w:val="14"/>
                <w:b w:val="1"/>
                <w:bCs w:val="1"/>
                <w:color w:val="auto"/>
              </w:rPr>
              <w:t>June 30, 2011</w:t>
            </w:r>
          </w:p>
        </w:tc>
      </w:tr>
      <w:tr>
        <w:trPr>
          <w:trHeight w:val="129"/>
        </w:trPr>
        <w:tc>
          <w:tcPr>
            <w:tcW w:w="1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Percent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jc w:val="right"/>
              <w:ind w:right="22"/>
              <w:spacing w:after="0" w:line="129" w:lineRule="exact"/>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w w:val="97"/>
              </w:rPr>
              <w:t>Percent</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93"/>
              </w:rPr>
              <w:t>Percent</w:t>
            </w:r>
          </w:p>
        </w:tc>
        <w:tc>
          <w:tcPr>
            <w:tcW w:w="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93"/>
              </w:rPr>
              <w:t>Percent</w:t>
            </w:r>
          </w:p>
        </w:tc>
        <w:tc>
          <w:tcPr>
            <w:tcW w:w="114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of Total</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4"/>
              </w:rPr>
              <w:t>of Total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of Total</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of Total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176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w w:val="94"/>
              </w:rPr>
              <w:t>of Total</w:t>
            </w:r>
          </w:p>
        </w:tc>
      </w:tr>
      <w:tr>
        <w:trPr>
          <w:trHeight w:val="142"/>
        </w:trPr>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0"/>
              </w:rPr>
              <w:t>(Dollars in</w:t>
            </w:r>
          </w:p>
        </w:tc>
        <w:tc>
          <w:tcPr>
            <w:tcW w:w="80" w:type="dxa"/>
            <w:vAlign w:val="bottom"/>
            <w:gridSpan w:val="2"/>
          </w:tcPr>
          <w:p>
            <w:pPr>
              <w:spacing w:after="0"/>
              <w:rPr>
                <w:sz w:val="12"/>
                <w:szCs w:val="12"/>
                <w:color w:val="auto"/>
              </w:rPr>
            </w:pP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real estate</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132,669</w:t>
            </w:r>
          </w:p>
        </w:tc>
        <w:tc>
          <w:tcPr>
            <w:tcW w:w="8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21.67% $</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148,634</w:t>
            </w:r>
          </w:p>
        </w:tc>
        <w:tc>
          <w:tcPr>
            <w:tcW w:w="86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28.79% $</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127,829</w:t>
            </w:r>
          </w:p>
        </w:tc>
        <w:tc>
          <w:tcPr>
            <w:tcW w:w="4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29.36% $</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137,571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38.61% $</w:t>
            </w:r>
          </w:p>
        </w:tc>
        <w:tc>
          <w:tcPr>
            <w:tcW w:w="5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145,477</w:t>
            </w:r>
          </w:p>
        </w:tc>
        <w:tc>
          <w:tcPr>
            <w:tcW w:w="8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46.94%</w:t>
            </w: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348,676</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56.96%</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316,067</w:t>
            </w:r>
          </w:p>
        </w:tc>
        <w:tc>
          <w:tcPr>
            <w:tcW w:w="7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61.20%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264,448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60.74%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180,735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50.74%</w:t>
            </w: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117,761</w:t>
            </w:r>
          </w:p>
        </w:tc>
        <w:tc>
          <w:tcPr>
            <w:tcW w:w="8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38.00%</w:t>
            </w: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7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4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0.01%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8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0.65%</w:t>
            </w: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Commercial business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123,133</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41,800</w:t>
            </w:r>
          </w:p>
        </w:tc>
        <w:tc>
          <w:tcPr>
            <w:tcW w:w="7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8.09%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6.83%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5.51%</w:t>
            </w: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22,225</w:t>
            </w:r>
          </w:p>
        </w:tc>
        <w:tc>
          <w:tcPr>
            <w:tcW w:w="8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7.17%</w:t>
            </w: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and other</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7,659</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9,884</w:t>
            </w:r>
          </w:p>
        </w:tc>
        <w:tc>
          <w:tcPr>
            <w:tcW w:w="7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13,337</w:t>
            </w:r>
          </w:p>
        </w:tc>
        <w:tc>
          <w:tcPr>
            <w:tcW w:w="4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3.06%</w:t>
            </w:r>
          </w:p>
        </w:tc>
        <w:tc>
          <w:tcPr>
            <w:tcW w:w="5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17,149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22,435</w:t>
            </w:r>
          </w:p>
        </w:tc>
        <w:tc>
          <w:tcPr>
            <w:tcW w:w="8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7.24%</w:t>
            </w:r>
          </w:p>
        </w:tc>
        <w:tc>
          <w:tcPr>
            <w:tcW w:w="1020" w:type="dxa"/>
            <w:vAlign w:val="bottom"/>
          </w:tcPr>
          <w:p>
            <w:pPr>
              <w:spacing w:after="0"/>
              <w:rPr>
                <w:sz w:val="12"/>
                <w:szCs w:val="12"/>
                <w:color w:val="auto"/>
              </w:rPr>
            </w:pPr>
          </w:p>
        </w:tc>
      </w:tr>
      <w:tr>
        <w:trPr>
          <w:trHeight w:val="142"/>
        </w:trPr>
        <w:tc>
          <w:tcPr>
            <w:tcW w:w="3140" w:type="dxa"/>
            <w:vAlign w:val="bottom"/>
            <w:gridSpan w:val="2"/>
          </w:tcPr>
          <w:p>
            <w:pPr>
              <w:ind w:left="1140"/>
              <w:spacing w:after="0" w:line="142" w:lineRule="exact"/>
              <w:rPr>
                <w:sz w:val="20"/>
                <w:szCs w:val="20"/>
                <w:color w:val="auto"/>
              </w:rPr>
            </w:pPr>
            <w:r>
              <w:rPr>
                <w:rFonts w:ascii="Arial" w:cs="Arial" w:eastAsia="Arial" w:hAnsi="Arial"/>
                <w:sz w:val="14"/>
                <w:szCs w:val="14"/>
                <w:color w:val="auto"/>
              </w:rPr>
              <w:t>Total loans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612,137</w:t>
            </w:r>
          </w:p>
        </w:tc>
        <w:tc>
          <w:tcPr>
            <w:tcW w:w="800" w:type="dxa"/>
            <w:vAlign w:val="bottom"/>
            <w:gridSpan w:val="3"/>
          </w:tcPr>
          <w:p>
            <w:pPr>
              <w:jc w:val="right"/>
              <w:ind w:right="20"/>
              <w:spacing w:after="0" w:line="142"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516,416</w:t>
            </w:r>
          </w:p>
        </w:tc>
        <w:tc>
          <w:tcPr>
            <w:tcW w:w="76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435,376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
              <w:spacing w:after="0" w:line="142" w:lineRule="exact"/>
              <w:rPr>
                <w:sz w:val="20"/>
                <w:szCs w:val="20"/>
                <w:color w:val="auto"/>
              </w:rPr>
            </w:pPr>
            <w:r>
              <w:rPr>
                <w:rFonts w:ascii="Arial" w:cs="Arial" w:eastAsia="Arial" w:hAnsi="Arial"/>
                <w:sz w:val="14"/>
                <w:szCs w:val="14"/>
                <w:color w:val="auto"/>
                <w:w w:val="97"/>
              </w:rPr>
              <w:t>100.00%</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356,254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4"/>
          </w:tcPr>
          <w:p>
            <w:pPr>
              <w:jc w:val="right"/>
              <w:spacing w:after="0" w:line="142" w:lineRule="exact"/>
              <w:rPr>
                <w:sz w:val="20"/>
                <w:szCs w:val="20"/>
                <w:color w:val="auto"/>
              </w:rPr>
            </w:pPr>
            <w:r>
              <w:rPr>
                <w:rFonts w:ascii="Arial" w:cs="Arial" w:eastAsia="Arial" w:hAnsi="Arial"/>
                <w:sz w:val="14"/>
                <w:szCs w:val="14"/>
                <w:color w:val="auto"/>
                <w:w w:val="86"/>
              </w:rPr>
              <w:t>100.00%</w:t>
            </w:r>
          </w:p>
        </w:tc>
        <w:tc>
          <w:tcPr>
            <w:tcW w:w="8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309,913</w:t>
            </w:r>
          </w:p>
        </w:tc>
        <w:tc>
          <w:tcPr>
            <w:tcW w:w="840" w:type="dxa"/>
            <w:vAlign w:val="bottom"/>
            <w:gridSpan w:val="4"/>
          </w:tcPr>
          <w:p>
            <w:pPr>
              <w:jc w:val="right"/>
              <w:ind w:right="60"/>
              <w:spacing w:after="0" w:line="142" w:lineRule="exact"/>
              <w:rPr>
                <w:sz w:val="20"/>
                <w:szCs w:val="20"/>
                <w:color w:val="auto"/>
              </w:rPr>
            </w:pPr>
            <w:r>
              <w:rPr>
                <w:rFonts w:ascii="Arial" w:cs="Arial" w:eastAsia="Arial" w:hAnsi="Arial"/>
                <w:sz w:val="14"/>
                <w:szCs w:val="14"/>
                <w:color w:val="auto"/>
              </w:rPr>
              <w:t>100.00%</w:t>
            </w: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Less: Allowance for loan losses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3140" w:type="dxa"/>
            <w:vAlign w:val="bottom"/>
            <w:gridSpan w:val="2"/>
          </w:tcPr>
          <w:p>
            <w:pPr>
              <w:ind w:left="1140"/>
              <w:spacing w:after="0"/>
              <w:rPr>
                <w:sz w:val="20"/>
                <w:szCs w:val="20"/>
                <w:color w:val="auto"/>
              </w:rPr>
            </w:pPr>
            <w:r>
              <w:rPr>
                <w:rFonts w:ascii="Arial" w:cs="Arial" w:eastAsia="Arial" w:hAnsi="Arial"/>
                <w:sz w:val="14"/>
                <w:szCs w:val="14"/>
                <w:color w:val="auto"/>
              </w:rPr>
              <w:t>Loans, net</w:t>
            </w: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610,211</w:t>
            </w:r>
          </w:p>
        </w:tc>
        <w:tc>
          <w:tcPr>
            <w:tcW w:w="88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515,049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434,233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355,430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309,476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31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6720" w:type="dxa"/>
            <w:vAlign w:val="bottom"/>
            <w:gridSpan w:val="20"/>
          </w:tcPr>
          <w:p>
            <w:pPr>
              <w:ind w:left="360"/>
              <w:spacing w:after="0"/>
              <w:rPr>
                <w:sz w:val="20"/>
                <w:szCs w:val="20"/>
                <w:color w:val="auto"/>
              </w:rPr>
            </w:pPr>
            <w:r>
              <w:rPr>
                <w:rFonts w:ascii="Arial" w:cs="Arial" w:eastAsia="Arial" w:hAnsi="Arial"/>
                <w:sz w:val="18"/>
                <w:szCs w:val="18"/>
                <w:color w:val="auto"/>
                <w:w w:val="90"/>
              </w:rPr>
              <w:t>The Company's loan portfolio (excluding loans held-for-sale) by lending division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21"/>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3"/>
              </w:rPr>
              <w:t>June 30, 2015</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9"/>
        </w:trPr>
        <w:tc>
          <w:tcPr>
            <w:tcW w:w="1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7"/>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Community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Banking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4"/>
              </w:rPr>
              <w:t>SBA</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Percent</w:t>
            </w:r>
          </w:p>
        </w:tc>
      </w:tr>
      <w:tr>
        <w:trPr>
          <w:trHeight w:val="161"/>
        </w:trPr>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center"/>
              <w:ind w:right="82"/>
              <w:spacing w:after="0"/>
              <w:rPr>
                <w:sz w:val="20"/>
                <w:szCs w:val="20"/>
                <w:color w:val="auto"/>
              </w:rPr>
            </w:pPr>
            <w:r>
              <w:rPr>
                <w:rFonts w:ascii="Arial" w:cs="Arial" w:eastAsia="Arial" w:hAnsi="Arial"/>
                <w:sz w:val="14"/>
                <w:szCs w:val="14"/>
                <w:b w:val="1"/>
                <w:bCs w:val="1"/>
                <w:color w:val="auto"/>
                <w:w w:val="88"/>
              </w:rPr>
              <w:t>Division</w:t>
            </w: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LASG</w:t>
            </w:r>
          </w:p>
        </w:tc>
        <w:tc>
          <w:tcPr>
            <w:tcW w:w="160" w:type="dxa"/>
            <w:vAlign w:val="bottom"/>
          </w:tcPr>
          <w:p>
            <w:pPr>
              <w:spacing w:after="0"/>
              <w:rPr>
                <w:sz w:val="14"/>
                <w:szCs w:val="14"/>
                <w:color w:val="auto"/>
              </w:rPr>
            </w:pPr>
          </w:p>
        </w:tc>
        <w:tc>
          <w:tcPr>
            <w:tcW w:w="7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National</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4"/>
                <w:szCs w:val="14"/>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of Total</w:t>
            </w:r>
          </w:p>
        </w:tc>
        <w:tc>
          <w:tcPr>
            <w:tcW w:w="1300" w:type="dxa"/>
            <w:vAlign w:val="bottom"/>
            <w:gridSpan w:val="3"/>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8"/>
          </w:tcPr>
          <w:p>
            <w:pPr>
              <w:jc w:val="right"/>
              <w:ind w:right="103"/>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4"/>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106,138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580" w:type="dxa"/>
            <w:vAlign w:val="bottom"/>
            <w:gridSpan w:val="2"/>
          </w:tcPr>
          <w:p>
            <w:pPr>
              <w:jc w:val="right"/>
              <w:ind w:right="26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106,275</w:t>
            </w:r>
          </w:p>
        </w:tc>
        <w:tc>
          <w:tcPr>
            <w:tcW w:w="2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24,326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24,326</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gridSpan w:val="8"/>
          </w:tcPr>
          <w:p>
            <w:pPr>
              <w:ind w:left="160"/>
              <w:spacing w:after="0"/>
              <w:rPr>
                <w:sz w:val="20"/>
                <w:szCs w:val="20"/>
                <w:color w:val="auto"/>
              </w:rPr>
            </w:pPr>
            <w:r>
              <w:rPr>
                <w:rFonts w:ascii="Arial" w:cs="Arial" w:eastAsia="Arial" w:hAnsi="Arial"/>
                <w:sz w:val="18"/>
                <w:szCs w:val="18"/>
                <w:color w:val="auto"/>
                <w:w w:val="92"/>
              </w:rPr>
              <w:t>Commercial real estate: non-owner occupied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48,933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53,051</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3,865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105,849</w:t>
            </w:r>
          </w:p>
        </w:tc>
        <w:tc>
          <w:tcPr>
            <w:tcW w:w="2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21,657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16,507</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42,625</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Construction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11,597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108,577</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122,811</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7,659</w:t>
            </w:r>
          </w:p>
        </w:tc>
        <w:tc>
          <w:tcPr>
            <w:tcW w:w="2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1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220,310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178,272</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409,545</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66.90%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Purchased loans: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w w:val="92"/>
              </w:rPr>
              <w:t>Commercial real estate: non-owner occupied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128,182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128,182</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gridSpan w:val="8"/>
          </w:tcPr>
          <w:p>
            <w:pPr>
              <w:ind w:left="160"/>
              <w:spacing w:after="0"/>
              <w:rPr>
                <w:sz w:val="20"/>
                <w:szCs w:val="20"/>
                <w:color w:val="auto"/>
              </w:rPr>
            </w:pPr>
            <w:r>
              <w:rPr>
                <w:rFonts w:ascii="Arial" w:cs="Arial" w:eastAsia="Arial" w:hAnsi="Arial"/>
                <w:sz w:val="18"/>
                <w:szCs w:val="18"/>
                <w:color w:val="auto"/>
              </w:rPr>
              <w:t>Commercial real estate: owner occupied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72,069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72,069</w:t>
            </w:r>
          </w:p>
        </w:tc>
        <w:tc>
          <w:tcPr>
            <w:tcW w:w="2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1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202,592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202,592</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980" w:type="dxa"/>
            <w:vAlign w:val="bottom"/>
          </w:tcPr>
          <w:p>
            <w:pPr>
              <w:ind w:left="5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220,310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380,864</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10,963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612,137</w:t>
            </w:r>
          </w:p>
        </w:tc>
        <w:tc>
          <w:tcPr>
            <w:tcW w:w="22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5"/>
              </w:rPr>
              <w:t>100.00%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gridSpan w:val="4"/>
          </w:tcPr>
          <w:p>
            <w:pPr>
              <w:jc w:val="right"/>
              <w:ind w:right="4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0"/>
              </w:rPr>
              <w:t>June 30, 2014</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Community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6"/>
              </w:rPr>
              <w:t>Banking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SBA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Percent</w:t>
            </w: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Division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LASG</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National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8"/>
              </w:rPr>
              <w:t>of Total</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6"/>
          </w:tcPr>
          <w:p>
            <w:pPr>
              <w:jc w:val="right"/>
              <w:ind w:right="43"/>
              <w:spacing w:after="0" w:line="142"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116,660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116,972</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22.66%</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27,975</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5.42%</w:t>
            </w: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80,160</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15.52%</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36,426</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9,884</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312,966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60.61%</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Purchased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0.05%</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non-owner occupied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133,581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133,581</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25.87%</w:t>
            </w: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real estate: owner occupied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65,900</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12.76%</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203,450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39.39%</w:t>
            </w:r>
          </w:p>
        </w:tc>
      </w:tr>
      <w:tr>
        <w:trPr>
          <w:trHeight w:val="210"/>
        </w:trPr>
        <w:tc>
          <w:tcPr>
            <w:tcW w:w="20" w:type="dxa"/>
            <w:vAlign w:val="bottom"/>
          </w:tcPr>
          <w:p>
            <w:pPr>
              <w:spacing w:after="0"/>
              <w:rPr>
                <w:sz w:val="18"/>
                <w:szCs w:val="18"/>
                <w:color w:val="auto"/>
              </w:rPr>
            </w:pPr>
          </w:p>
        </w:tc>
        <w:tc>
          <w:tcPr>
            <w:tcW w:w="4620" w:type="dxa"/>
            <w:vAlign w:val="bottom"/>
          </w:tcPr>
          <w:p>
            <w:pPr>
              <w:ind w:left="5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235,405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281,011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516,416</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summarizes the scheduled maturity of the Company's loan portfolio at June 30, 2015. Demand loans, loans having no stated repayment schedule, and overdraft loans are reported as being due in less than one year.</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88"/>
              </w:rPr>
              <w:t>Scheduled Loan Maturities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97"/>
              </w:rPr>
              <w:t>After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After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One Year</w:t>
            </w:r>
          </w:p>
        </w:tc>
        <w:tc>
          <w:tcPr>
            <w:tcW w:w="160" w:type="dxa"/>
            <w:vAlign w:val="bottom"/>
          </w:tcPr>
          <w:p>
            <w:pPr>
              <w:spacing w:after="0"/>
              <w:rPr>
                <w:sz w:val="12"/>
                <w:szCs w:val="12"/>
                <w:color w:val="auto"/>
              </w:rPr>
            </w:pP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Five Years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Within</w:t>
            </w:r>
          </w:p>
        </w:tc>
        <w:tc>
          <w:tcPr>
            <w:tcW w:w="8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Through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7"/>
              </w:rPr>
              <w:t>One Year</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Five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6"/>
              </w:rPr>
              <w:t>Ten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Ten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78"/>
              </w:rPr>
              <w:t>(Dollars in thousands)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Originated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101,190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130,600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tcPr>
          <w:p>
            <w:pPr>
              <w:ind w:left="360"/>
              <w:spacing w:after="0"/>
              <w:rPr>
                <w:sz w:val="20"/>
                <w:szCs w:val="20"/>
                <w:color w:val="auto"/>
              </w:rPr>
            </w:pPr>
            <w:r>
              <w:rPr>
                <w:rFonts w:ascii="Arial" w:cs="Arial" w:eastAsia="Arial" w:hAnsi="Arial"/>
                <w:sz w:val="18"/>
                <w:szCs w:val="18"/>
                <w:color w:val="auto"/>
              </w:rPr>
              <w:t>Purchased</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tcPr>
          <w:p>
            <w:pPr>
              <w:ind w:left="36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27,528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47,722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148,425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200,251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Non-mortgage loans: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tcPr>
          <w:p>
            <w:pPr>
              <w:ind w:left="36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12,762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122,861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114,404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82,630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238,602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612,137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4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w w:val="94"/>
              </w:rPr>
              <w:t>Loans Due After One Year, by Interest Rate Type</w:t>
            </w:r>
          </w:p>
        </w:tc>
      </w:tr>
      <w:tr>
        <w:trPr>
          <w:trHeight w:val="142"/>
        </w:trPr>
        <w:tc>
          <w:tcPr>
            <w:tcW w:w="2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2"/>
              </w:rPr>
              <w:t>Predetermined rate</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6"/>
              </w:rPr>
              <w:t>Floating or Adjustable</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3"/>
          </w:tcPr>
          <w:p>
            <w:pPr>
              <w:jc w:val="right"/>
              <w:ind w:right="274"/>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Originated</w:t>
            </w:r>
          </w:p>
        </w:tc>
        <w:tc>
          <w:tcPr>
            <w:tcW w:w="1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63,892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126,686</w:t>
            </w:r>
          </w:p>
        </w:tc>
      </w:tr>
      <w:tr>
        <w:trPr>
          <w:trHeight w:val="216"/>
        </w:trPr>
        <w:tc>
          <w:tcPr>
            <w:tcW w:w="2780" w:type="dxa"/>
            <w:vAlign w:val="bottom"/>
          </w:tcPr>
          <w:p>
            <w:pPr>
              <w:ind w:left="360"/>
              <w:spacing w:after="0"/>
              <w:rPr>
                <w:sz w:val="20"/>
                <w:szCs w:val="20"/>
                <w:color w:val="auto"/>
              </w:rPr>
            </w:pPr>
            <w:r>
              <w:rPr>
                <w:rFonts w:ascii="Arial" w:cs="Arial" w:eastAsia="Arial" w:hAnsi="Arial"/>
                <w:sz w:val="18"/>
                <w:szCs w:val="18"/>
                <w:color w:val="auto"/>
              </w:rPr>
              <w:t>Purchased</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1,511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1,528</w:t>
            </w:r>
          </w:p>
        </w:tc>
      </w:tr>
      <w:tr>
        <w:trPr>
          <w:trHeight w:val="216"/>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80" w:type="dxa"/>
            <w:vAlign w:val="bottom"/>
          </w:tcPr>
          <w:p>
            <w:pPr>
              <w:ind w:left="360"/>
              <w:spacing w:after="0"/>
              <w:rPr>
                <w:sz w:val="20"/>
                <w:szCs w:val="20"/>
                <w:color w:val="auto"/>
              </w:rPr>
            </w:pPr>
            <w:r>
              <w:rPr>
                <w:rFonts w:ascii="Arial" w:cs="Arial" w:eastAsia="Arial" w:hAnsi="Arial"/>
                <w:sz w:val="18"/>
                <w:szCs w:val="18"/>
                <w:color w:val="auto"/>
              </w:rPr>
              <w:t>Originated</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37,901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96,175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134,076</w:t>
            </w: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170,423</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Non-mortgage loans: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80" w:type="dxa"/>
            <w:vAlign w:val="bottom"/>
          </w:tcPr>
          <w:p>
            <w:pPr>
              <w:ind w:left="360"/>
              <w:spacing w:after="0"/>
              <w:rPr>
                <w:sz w:val="20"/>
                <w:szCs w:val="20"/>
                <w:color w:val="auto"/>
              </w:rPr>
            </w:pPr>
            <w:r>
              <w:rPr>
                <w:rFonts w:ascii="Arial" w:cs="Arial" w:eastAsia="Arial" w:hAnsi="Arial"/>
                <w:sz w:val="18"/>
                <w:szCs w:val="18"/>
                <w:color w:val="auto"/>
              </w:rPr>
              <w:t>Originated</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28,559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28,793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57,352</w:t>
            </w: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7,403</w:t>
            </w:r>
          </w:p>
        </w:tc>
      </w:tr>
      <w:tr>
        <w:trPr>
          <w:trHeight w:val="20"/>
        </w:trPr>
        <w:tc>
          <w:tcPr>
            <w:tcW w:w="2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286,296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497,733</w:t>
            </w:r>
          </w:p>
        </w:tc>
      </w:tr>
      <w:tr>
        <w:trPr>
          <w:trHeight w:val="20"/>
        </w:trPr>
        <w:tc>
          <w:tcPr>
            <w:tcW w:w="2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Approximately 54.4% of total portfolio loans at June 30, 2015, were variable rate products, compared to 51.1% at June 30, 2014.</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Certain purchased loans have been identified as having evidence of credit deterioration since their origination, and it is probable that the Company will not collect all contractually required principal and interest payments. Purchased credit-impaired loans are accounted for using the measurement provisions set forth in ASC 310-30. The nonaccretable difference represents a loan's contractually required payments receivable in excess of the amount of cash flows expected to be collected. Improvements in expected cash flows result in prospective yield adjustments. The effect of a decrease in expected cash flows due to further credit deterioration are recorded through the allowance for loan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cash surrender value of the Company's BOLI assets increased $440 thousand, or 3.0%, to $15.3 million at June 30, 2015, compared to $14.8 million at June 30, 2014. BOLI assets are invested in the general account of three insurance companies and in separate accounts of a fourth insurance company. A general account policy's cash surrender value is supported by the general assets of the insurance company. A separate account policy's cash surrender value is supported by assets segregated from the general assets of the insurance company. Standard and Poor's rated these companies A+ or better at June 30, 2015. Interest earnings, net of mortality costs, increase the cash surrender value. These interest earnings are based on interest rates that reset each year, and are subject to minimum guaranteed rates. These increases in cash surrender value are recognized in other income and are not subject to income taxes. Management considers BOLI an illiquid asset. BOLI represented 12.7% of the Company's total risk-based capital at June 30, 2015.</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Intangible assets totaled $2.2 million and $2.8 million at June 30, 2015 and June 30, 2014, respectively. The $589 thousand decrease was the result of core deposit intangible amortization during fiscal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Company's principal source of funding is its core deposit accounts. At June 30, 2015, core deposits, which the Company defines as non-maturity deposits and non-brokered insured time deposits, represented 99.9% of total deposits.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Total deposits increased $100.4 million to $674.8 million as of June 30, 2015 from $574.3 million as of June 30, 2014. The increase mainly the result of increases in money market accounts attracted through the Bank's online-only ableBanking division.</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tables set forth certain information relative to the composition of the Company's average deposit accounts and the weighted average interest rate on each category of deposits for the periods indicated: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w w:val="94"/>
              </w:rPr>
              <w:t>Year Ended June 30, 2015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Weighted</w:t>
            </w:r>
          </w:p>
        </w:tc>
        <w:tc>
          <w:tcPr>
            <w:tcW w:w="116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96"/>
              </w:rPr>
              <w:t>Percent of 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Average Rate</w:t>
            </w:r>
          </w:p>
        </w:tc>
        <w:tc>
          <w:tcPr>
            <w:tcW w:w="3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Average Deposits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4"/>
          </w:tcPr>
          <w:p>
            <w:pPr>
              <w:jc w:val="right"/>
              <w:ind w:right="120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 and escrow accounts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54,940</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Regular savings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34,495</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0.13%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63,181</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133,266</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0.75%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340,046</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Total average deposits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0.79%</w:t>
            </w: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625,928</w:t>
            </w:r>
          </w:p>
        </w:tc>
        <w:tc>
          <w:tcPr>
            <w:tcW w:w="1400" w:type="dxa"/>
            <w:vAlign w:val="bottom"/>
            <w:gridSpan w:val="3"/>
            <w:vMerge w:val="continue"/>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60" w:type="dxa"/>
            <w:vAlign w:val="bottom"/>
            <w:gridSpan w:val="5"/>
          </w:tcPr>
          <w:p>
            <w:pPr>
              <w:jc w:val="right"/>
              <w:ind w:right="1072"/>
              <w:spacing w:after="0"/>
              <w:rPr>
                <w:sz w:val="20"/>
                <w:szCs w:val="20"/>
                <w:color w:val="auto"/>
              </w:rPr>
            </w:pPr>
            <w:r>
              <w:rPr>
                <w:rFonts w:ascii="Arial" w:cs="Arial" w:eastAsia="Arial" w:hAnsi="Arial"/>
                <w:sz w:val="14"/>
                <w:szCs w:val="14"/>
                <w:b w:val="1"/>
                <w:bCs w:val="1"/>
                <w:color w:val="auto"/>
                <w:w w:val="93"/>
              </w:rPr>
              <w:t>Year Ended June 30, 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w w:val="93"/>
              </w:rPr>
              <w:t>Year Ended June 30, 2013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Weighted</w:t>
            </w:r>
          </w:p>
        </w:tc>
        <w:tc>
          <w:tcPr>
            <w:tcW w:w="114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94"/>
              </w:rPr>
              <w:t>Percent of Total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Weighted</w:t>
            </w:r>
          </w:p>
        </w:tc>
        <w:tc>
          <w:tcPr>
            <w:tcW w:w="11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94"/>
              </w:rPr>
              <w:t>Percent of 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Average Rate</w:t>
            </w:r>
          </w:p>
        </w:tc>
        <w:tc>
          <w:tcPr>
            <w:tcW w:w="3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Average Deposits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Average Rate</w:t>
            </w:r>
          </w:p>
        </w:tc>
        <w:tc>
          <w:tcPr>
            <w:tcW w:w="320" w:type="dxa"/>
            <w:vAlign w:val="bottom"/>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7"/>
              </w:rPr>
              <w:t>Average Deposits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100" w:type="dxa"/>
            <w:vAlign w:val="bottom"/>
            <w:gridSpan w:val="4"/>
          </w:tcPr>
          <w:p>
            <w:pPr>
              <w:jc w:val="right"/>
              <w:ind w:right="21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 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escrow accounts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50,890</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49,343</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Regular savings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34,391</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0.14%</w:t>
            </w: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31,939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0.14%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61,146</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0.26%</w:t>
            </w:r>
          </w:p>
        </w:tc>
        <w:tc>
          <w:tcPr>
            <w:tcW w:w="1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55,763</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85,333</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0.52%</w:t>
            </w: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63,931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0.53%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314,848</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280,059</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rPr>
                <w:sz w:val="20"/>
                <w:szCs w:val="20"/>
                <w:color w:val="auto"/>
              </w:rPr>
            </w:pPr>
            <w:r>
              <w:rPr>
                <w:rFonts w:ascii="Arial" w:cs="Arial" w:eastAsia="Arial" w:hAnsi="Arial"/>
                <w:sz w:val="18"/>
                <w:szCs w:val="18"/>
                <w:color w:val="auto"/>
              </w:rPr>
              <w:t>Total average deposits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0.75%</w:t>
            </w: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0.85%</w:t>
            </w: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546,608</w:t>
            </w:r>
          </w:p>
        </w:tc>
        <w:tc>
          <w:tcPr>
            <w:tcW w:w="1400" w:type="dxa"/>
            <w:vAlign w:val="bottom"/>
            <w:gridSpan w:val="3"/>
            <w:vMerge w:val="continue"/>
          </w:tcPr>
          <w:p>
            <w:pPr>
              <w:spacing w:after="0"/>
              <w:rPr>
                <w:sz w:val="18"/>
                <w:szCs w:val="18"/>
                <w:color w:val="auto"/>
              </w:rPr>
            </w:pP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100.00%</w:t>
            </w:r>
          </w:p>
        </w:tc>
        <w:tc>
          <w:tcPr>
            <w:tcW w:w="1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481,035</w:t>
            </w:r>
          </w:p>
        </w:tc>
        <w:tc>
          <w:tcPr>
            <w:tcW w:w="1380" w:type="dxa"/>
            <w:vAlign w:val="bottom"/>
            <w:gridSpan w:val="3"/>
            <w:vMerge w:val="continue"/>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As of June 30, 2015, the aggregate amount of outstanding certificates of deposit in amounts greater than or equal to $100 thousand was approximately $262.7 million. The scheduled maturity of these deposits is set forth below:</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2015</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3 months or less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Over 3 through 6 months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32,191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Over 6 through 12 months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Over 12 months</w:t>
            </w:r>
          </w:p>
        </w:tc>
        <w:tc>
          <w:tcPr>
            <w:tcW w:w="2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156,549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time certificates $100 thousand and over</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262,742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Short-term borrowings, FHLB advances, Federal Reserve Discount Window Borrower-in-custody advances, wholesale repurchase agreements and junior subordinated debentures have been the Company's sources of funding other than deposits. In fiscal 2015, total borrowings decreased by $13.2 million, or 20.6%, to $51.2 million.</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Advances from the FHLB were $30.2 million and $42.8 million at June 30, 2015 and June 30, 2014, respectively, a decrease of $12.6 million, or 29.5%. The decrease is due to payoffs of maturing FHLB advances during the year. At June 30, 2015, the Company had pledged investment securities having a fair value of $9.4 million for outstanding FHLB borrowings. In addition, pledges of residential real estate loans, certain commercial real estate loans and certain FHLB deposits free of liens or pledges are required to secure outstanding advances and available additional borrowing capacity from the FHLB. Wholesale repurchase agreements were $10.0 million and $10.2 million at June 30, 2015 and 2014, respectively. At June 30, 2015, the Company had pledged investment securities having a fair value of $3.0 million for outstanding wholesale repurchase agreements.</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Short-term borrowings, consisting of sweep accounts and repurchase agreements, were $2.3 million and $3.0 million at June 30, 2015 and 2014, respectively. At June 30, 2015, sweep accounts were secured by a $2.7 million of letter of credit issued by the FHLB and an investment security with a fair value of $3.0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certain information about the Company's short-term borrowings for the periods indicated: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 2015</w:t>
            </w: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Average Rate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08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at period end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2,349</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Average outstanding during period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2,578</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period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4"/>
              </w:rPr>
              <w:t>Year Ended June 30, 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8"/>
              </w:rPr>
              <w:t>Year Ended June 30, 2013</w:t>
            </w: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Average Rate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Average Rate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960" w:type="dxa"/>
            <w:vAlign w:val="bottom"/>
            <w:gridSpan w:val="4"/>
          </w:tcPr>
          <w:p>
            <w:pPr>
              <w:jc w:val="right"/>
              <w:ind w:right="7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period end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2,984</w:t>
            </w:r>
          </w:p>
        </w:tc>
        <w:tc>
          <w:tcPr>
            <w:tcW w:w="14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Average outstanding during period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2,230</w:t>
            </w:r>
          </w:p>
        </w:tc>
        <w:tc>
          <w:tcPr>
            <w:tcW w:w="1420" w:type="dxa"/>
            <w:vAlign w:val="bottom"/>
            <w:gridSpan w:val="3"/>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1,472</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period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There were no balances outstanding at June 30, 2015 and 2014, respectively, for advances under the Federal Reserve Discount Window Borrower-in-custody program. The available credit under the program was $2.2 million and $3.1 million at June 30, 2015 and June 30, 2014, respectively, with the decrease in fiscal 2015 attributable to payoffs of consumer loans pledged as collateral.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had junior subordinated debentures issued to affiliated trusts totaling $8.6 million and $8.4 million at June 30, 2015 and 2014,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"Capital" below for more information on our junior subordinated debentures and affiliated trusts.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allowance for loan losses is maintained at a level that management considers adequate to provide for probable loan losses based upon evaluation of known and inherent risks in the loan portfolio. The allowance is increased by providing for loan losses through a charge to expense and by recoveries of loans previously charged-off and is reduced by loans being charged-off.</w:t>
      </w:r>
    </w:p>
    <w:p>
      <w:pPr>
        <w:spacing w:after="0" w:line="194"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The allowance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been recorded based on estimates of inherent losses in newly originated loans and for incremental reserves required for legacy loans based on estimates of deteriorated credit quality post-Merger.</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2015, the allowance for loan losses totaled $1.9 million, or 0.31% of total loans, as compared to $1.4 million, or 0.26% of total loans,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2014. The year over year increase in the Company's allowance for losses was principally the result of loan growth. The following table sets forth activity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Company's allowance for loan losses for the periods indicated.</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Predecessor</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7"/>
          </w:tcPr>
          <w:p>
            <w:pPr>
              <w:jc w:val="right"/>
              <w:spacing w:after="0"/>
              <w:rPr>
                <w:sz w:val="20"/>
                <w:szCs w:val="20"/>
                <w:color w:val="auto"/>
              </w:rPr>
            </w:pPr>
            <w:r>
              <w:rPr>
                <w:rFonts w:ascii="Arial" w:cs="Arial" w:eastAsia="Arial" w:hAnsi="Arial"/>
                <w:sz w:val="14"/>
                <w:szCs w:val="14"/>
                <w:b w:val="1"/>
                <w:bCs w:val="1"/>
                <w:color w:val="auto"/>
                <w:w w:val="86"/>
              </w:rPr>
              <w:t>Successor Company</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Company</w:t>
            </w: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5"/>
              </w:rPr>
              <w:t>Year Ended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5"/>
              </w:rPr>
              <w:t>Year Ended</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5"/>
              </w:rPr>
              <w:t>Year Ended</w:t>
            </w: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184 Days Ended</w:t>
            </w:r>
          </w:p>
        </w:tc>
        <w:tc>
          <w:tcPr>
            <w:tcW w:w="2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181 Days Ended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 2015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June 30, 2014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 2013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June 30, 2012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3"/>
              </w:rPr>
              <w:t>June 30, 2011</w:t>
            </w:r>
          </w:p>
        </w:tc>
        <w:tc>
          <w:tcPr>
            <w:tcW w:w="2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6"/>
              </w:rPr>
              <w:t>Dec. 28, 2010</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40" w:type="dxa"/>
            <w:vAlign w:val="bottom"/>
            <w:gridSpan w:val="6"/>
          </w:tcPr>
          <w:p>
            <w:pPr>
              <w:jc w:val="right"/>
              <w:ind w:right="2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at beginning of period</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w:t>
            </w: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Loans charged-off during the period: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Residential real estate</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4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Commercial real estate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Commercial business</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Consumer and other</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w:t>
            </w: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372</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Total loans charged-off</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306</w:t>
            </w:r>
          </w:p>
        </w:tc>
        <w:tc>
          <w:tcPr>
            <w:tcW w:w="24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859</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ind w:left="120"/>
              <w:spacing w:after="0" w:line="138" w:lineRule="exact"/>
              <w:rPr>
                <w:sz w:val="20"/>
                <w:szCs w:val="20"/>
                <w:color w:val="auto"/>
              </w:rPr>
            </w:pPr>
            <w:r>
              <w:rPr>
                <w:rFonts w:ascii="Arial" w:cs="Arial" w:eastAsia="Arial" w:hAnsi="Arial"/>
                <w:sz w:val="14"/>
                <w:szCs w:val="14"/>
                <w:color w:val="auto"/>
                <w:w w:val="95"/>
              </w:rPr>
              <w:t>Recoveries on loans previously charged-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off:</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Residential real estate</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Commercial real estate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Commercial business</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Consumer and other</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w:t>
            </w: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56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Total recoveries</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w:t>
            </w:r>
          </w:p>
        </w:tc>
        <w:tc>
          <w:tcPr>
            <w:tcW w:w="24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r>
      <w:tr>
        <w:trPr>
          <w:trHeight w:val="142"/>
        </w:trPr>
        <w:tc>
          <w:tcPr>
            <w:tcW w:w="2580" w:type="dxa"/>
            <w:vAlign w:val="bottom"/>
            <w:gridSpan w:val="3"/>
          </w:tcPr>
          <w:p>
            <w:pPr>
              <w:spacing w:after="0" w:line="142" w:lineRule="exact"/>
              <w:rPr>
                <w:sz w:val="20"/>
                <w:szCs w:val="20"/>
                <w:color w:val="auto"/>
              </w:rPr>
            </w:pPr>
            <w:r>
              <w:rPr>
                <w:rFonts w:ascii="Arial" w:cs="Arial" w:eastAsia="Arial" w:hAnsi="Arial"/>
                <w:sz w:val="14"/>
                <w:szCs w:val="14"/>
                <w:color w:val="auto"/>
              </w:rPr>
              <w:t>Net loans charged off during the period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158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307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803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559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270</w:t>
            </w: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751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24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912</w:t>
            </w:r>
          </w:p>
        </w:tc>
        <w:tc>
          <w:tcPr>
            <w:tcW w:w="160" w:type="dxa"/>
            <w:vAlign w:val="bottom"/>
            <w:shd w:val="clear" w:color="auto" w:fill="CCEEFF"/>
          </w:tcPr>
          <w:p>
            <w:pPr>
              <w:spacing w:after="0"/>
              <w:rPr>
                <w:sz w:val="12"/>
                <w:szCs w:val="12"/>
                <w:color w:val="auto"/>
              </w:rPr>
            </w:pPr>
          </w:p>
        </w:tc>
      </w:tr>
      <w:tr>
        <w:trPr>
          <w:trHeight w:val="142"/>
        </w:trPr>
        <w:tc>
          <w:tcPr>
            <w:tcW w:w="2580" w:type="dxa"/>
            <w:vAlign w:val="bottom"/>
            <w:gridSpan w:val="3"/>
          </w:tcPr>
          <w:p>
            <w:pPr>
              <w:spacing w:after="0" w:line="142" w:lineRule="exact"/>
              <w:rPr>
                <w:sz w:val="20"/>
                <w:szCs w:val="20"/>
                <w:color w:val="auto"/>
              </w:rPr>
            </w:pPr>
            <w:r>
              <w:rPr>
                <w:rFonts w:ascii="Arial" w:cs="Arial" w:eastAsia="Arial" w:hAnsi="Arial"/>
                <w:sz w:val="14"/>
                <w:szCs w:val="14"/>
                <w:color w:val="auto"/>
              </w:rPr>
              <w:t>Allowance at end of period</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437</w:t>
            </w: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5,967</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Total loans at end of period(1)</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612,137</w:t>
            </w:r>
          </w:p>
        </w:tc>
        <w:tc>
          <w:tcPr>
            <w:tcW w:w="14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516,416</w:t>
            </w:r>
          </w:p>
        </w:tc>
        <w:tc>
          <w:tcPr>
            <w:tcW w:w="1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435,376</w:t>
            </w:r>
          </w:p>
        </w:tc>
        <w:tc>
          <w:tcPr>
            <w:tcW w:w="14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356,254</w:t>
            </w:r>
          </w:p>
        </w:tc>
        <w:tc>
          <w:tcPr>
            <w:tcW w:w="14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309,913</w:t>
            </w:r>
          </w:p>
        </w:tc>
        <w:tc>
          <w:tcPr>
            <w:tcW w:w="240" w:type="dxa"/>
            <w:vAlign w:val="bottom"/>
            <w:tcBorders>
              <w:right w:val="single" w:sz="8" w:color="auto"/>
            </w:tcBorders>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367,284</w:t>
            </w:r>
          </w:p>
        </w:tc>
        <w:tc>
          <w:tcPr>
            <w:tcW w:w="16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1"/>
                <w:szCs w:val="11"/>
                <w:color w:val="auto"/>
              </w:rPr>
            </w:pPr>
          </w:p>
        </w:tc>
        <w:tc>
          <w:tcPr>
            <w:tcW w:w="2560" w:type="dxa"/>
            <w:vAlign w:val="bottom"/>
            <w:gridSpan w:val="2"/>
          </w:tcPr>
          <w:p>
            <w:pPr>
              <w:spacing w:after="0" w:line="138" w:lineRule="exact"/>
              <w:rPr>
                <w:sz w:val="20"/>
                <w:szCs w:val="20"/>
                <w:color w:val="auto"/>
              </w:rPr>
            </w:pPr>
            <w:r>
              <w:rPr>
                <w:rFonts w:ascii="Arial" w:cs="Arial" w:eastAsia="Arial" w:hAnsi="Arial"/>
                <w:sz w:val="14"/>
                <w:szCs w:val="14"/>
                <w:color w:val="auto"/>
              </w:rPr>
              <w:t>Average loans outstanding during the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period(1)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555,073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488,172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376,660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333,053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332,684</w:t>
            </w:r>
          </w:p>
        </w:tc>
        <w:tc>
          <w:tcPr>
            <w:tcW w:w="2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375,878</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as a percentage of total loans</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w:t>
            </w:r>
          </w:p>
        </w:tc>
      </w:tr>
      <w:tr>
        <w:trPr>
          <w:trHeight w:val="138"/>
        </w:trPr>
        <w:tc>
          <w:tcPr>
            <w:tcW w:w="20" w:type="dxa"/>
            <w:vAlign w:val="bottom"/>
          </w:tcPr>
          <w:p>
            <w:pPr>
              <w:spacing w:after="0"/>
              <w:rPr>
                <w:sz w:val="11"/>
                <w:szCs w:val="11"/>
                <w:color w:val="auto"/>
              </w:rPr>
            </w:pPr>
          </w:p>
        </w:tc>
        <w:tc>
          <w:tcPr>
            <w:tcW w:w="2560" w:type="dxa"/>
            <w:vAlign w:val="bottom"/>
            <w:gridSpan w:val="2"/>
          </w:tcPr>
          <w:p>
            <w:pPr>
              <w:spacing w:after="0" w:line="138" w:lineRule="exact"/>
              <w:rPr>
                <w:sz w:val="20"/>
                <w:szCs w:val="20"/>
                <w:color w:val="auto"/>
              </w:rPr>
            </w:pPr>
            <w:r>
              <w:rPr>
                <w:rFonts w:ascii="Arial" w:cs="Arial" w:eastAsia="Arial" w:hAnsi="Arial"/>
                <w:sz w:val="14"/>
                <w:szCs w:val="14"/>
                <w:color w:val="auto"/>
              </w:rPr>
              <w:t>Ratio of net charge-offs to average loans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outstanding</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0.03%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0.06%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0.08%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0.20%</w:t>
            </w:r>
          </w:p>
        </w:tc>
      </w:tr>
      <w:tr>
        <w:trPr>
          <w:trHeight w:val="138"/>
        </w:trPr>
        <w:tc>
          <w:tcPr>
            <w:tcW w:w="20" w:type="dxa"/>
            <w:vAlign w:val="bottom"/>
          </w:tcPr>
          <w:p>
            <w:pPr>
              <w:spacing w:after="0"/>
              <w:rPr>
                <w:sz w:val="11"/>
                <w:szCs w:val="11"/>
                <w:color w:val="auto"/>
              </w:rPr>
            </w:pPr>
          </w:p>
        </w:tc>
        <w:tc>
          <w:tcPr>
            <w:tcW w:w="25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89"/>
              </w:rPr>
              <w:t>Allowance as a percentage of non-performing</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5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loans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18.41%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18.66%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23.54%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13.48%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5.49%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67.49%</w:t>
            </w: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and resulting ratios exclude loans held for sale</w:t>
      </w:r>
    </w:p>
    <w:p>
      <w:pPr>
        <w:spacing w:after="0" w:line="20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allocates the allowance for loan losses by loan category and the percent of loans in each category to total loans at the dates indicated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June 30, 2015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June 30, 2014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June 30, 2013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6"/>
              </w:rPr>
              <w:t>June 30, 2012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4"/>
              </w:rPr>
              <w:t>June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Percent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Percent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Percent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Loans to</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Loans to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Loans to</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Loans to</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Loans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Total Loans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ind w:left="160"/>
              <w:spacing w:after="0" w:line="142" w:lineRule="exact"/>
              <w:rPr>
                <w:sz w:val="20"/>
                <w:szCs w:val="20"/>
                <w:color w:val="auto"/>
              </w:rPr>
            </w:pPr>
            <w:r>
              <w:rPr>
                <w:rFonts w:ascii="Arial" w:cs="Arial" w:eastAsia="Arial" w:hAnsi="Arial"/>
                <w:sz w:val="14"/>
                <w:szCs w:val="14"/>
                <w:b w:val="1"/>
                <w:bCs w:val="1"/>
                <w:color w:val="auto"/>
                <w:w w:val="89"/>
              </w:rPr>
              <w:t>(Dollars in thousands)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real estate</w:t>
            </w:r>
          </w:p>
        </w:tc>
        <w:tc>
          <w:tcPr>
            <w:tcW w:w="16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21.67%</w:t>
            </w:r>
          </w:p>
        </w:tc>
        <w:tc>
          <w:tcPr>
            <w:tcW w:w="18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28.79%</w:t>
            </w:r>
          </w:p>
        </w:tc>
        <w:tc>
          <w:tcPr>
            <w:tcW w:w="160" w:type="dxa"/>
            <w:vAlign w:val="bottom"/>
            <w:gridSpan w:val="2"/>
            <w:shd w:val="clear" w:color="auto" w:fill="CCEEFF"/>
          </w:tcPr>
          <w:p>
            <w:pPr>
              <w:jc w:val="right"/>
              <w:ind w:right="21"/>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29.36%</w:t>
            </w:r>
          </w:p>
        </w:tc>
        <w:tc>
          <w:tcPr>
            <w:tcW w:w="20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38.61%</w:t>
            </w:r>
          </w:p>
        </w:tc>
        <w:tc>
          <w:tcPr>
            <w:tcW w:w="22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977</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56.96%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61.21%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60.75%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51.07%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business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Consumer and 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Unallocated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4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40" w:type="dxa"/>
            <w:vAlign w:val="bottom"/>
          </w:tcPr>
          <w:p>
            <w:pPr>
              <w:jc w:val="right"/>
              <w:ind w:right="2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2" w:lineRule="exact"/>
              <w:rPr>
                <w:sz w:val="20"/>
                <w:szCs w:val="20"/>
                <w:color w:val="auto"/>
              </w:rPr>
            </w:pPr>
            <w:r>
              <w:rPr>
                <w:rFonts w:ascii="Arial" w:cs="Arial" w:eastAsia="Arial" w:hAnsi="Arial"/>
                <w:sz w:val="14"/>
                <w:szCs w:val="14"/>
                <w:color w:val="auto"/>
              </w:rPr>
              <w:t>1,926</w:t>
            </w:r>
          </w:p>
        </w:tc>
        <w:tc>
          <w:tcPr>
            <w:tcW w:w="80" w:type="dxa"/>
            <w:vAlign w:val="bottom"/>
            <w:vMerge w:val="continue"/>
          </w:tcPr>
          <w:p>
            <w:pPr>
              <w:spacing w:after="0"/>
              <w:rPr>
                <w:sz w:val="12"/>
                <w:szCs w:val="12"/>
                <w:color w:val="auto"/>
              </w:rPr>
            </w:pPr>
          </w:p>
        </w:tc>
        <w:tc>
          <w:tcPr>
            <w:tcW w:w="8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100.00%</w:t>
            </w:r>
          </w:p>
        </w:tc>
        <w:tc>
          <w:tcPr>
            <w:tcW w:w="20" w:type="dxa"/>
            <w:vAlign w:val="bottom"/>
            <w:vMerge w:val="continue"/>
          </w:tcPr>
          <w:p>
            <w:pPr>
              <w:spacing w:after="0"/>
              <w:rPr>
                <w:sz w:val="12"/>
                <w:szCs w:val="12"/>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2" w:lineRule="exact"/>
              <w:rPr>
                <w:sz w:val="20"/>
                <w:szCs w:val="20"/>
                <w:color w:val="auto"/>
              </w:rPr>
            </w:pPr>
            <w:r>
              <w:rPr>
                <w:rFonts w:ascii="Arial" w:cs="Arial" w:eastAsia="Arial" w:hAnsi="Arial"/>
                <w:sz w:val="14"/>
                <w:szCs w:val="14"/>
                <w:color w:val="auto"/>
              </w:rPr>
              <w:t>1,367</w:t>
            </w:r>
          </w:p>
        </w:tc>
        <w:tc>
          <w:tcPr>
            <w:tcW w:w="80" w:type="dxa"/>
            <w:vAlign w:val="bottom"/>
            <w:vMerge w:val="continue"/>
          </w:tcPr>
          <w:p>
            <w:pPr>
              <w:spacing w:after="0"/>
              <w:rPr>
                <w:sz w:val="12"/>
                <w:szCs w:val="12"/>
                <w:color w:val="auto"/>
              </w:rPr>
            </w:pPr>
          </w:p>
        </w:tc>
        <w:tc>
          <w:tcPr>
            <w:tcW w:w="8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100.00%</w:t>
            </w:r>
          </w:p>
        </w:tc>
        <w:tc>
          <w:tcPr>
            <w:tcW w:w="20" w:type="dxa"/>
            <w:vAlign w:val="bottom"/>
            <w:vMerge w:val="continue"/>
          </w:tcPr>
          <w:p>
            <w:pPr>
              <w:spacing w:after="0"/>
              <w:rPr>
                <w:sz w:val="12"/>
                <w:szCs w:val="12"/>
                <w:color w:val="auto"/>
              </w:rPr>
            </w:pPr>
          </w:p>
        </w:tc>
        <w:tc>
          <w:tcPr>
            <w:tcW w:w="140" w:type="dxa"/>
            <w:vAlign w:val="bottom"/>
          </w:tcPr>
          <w:p>
            <w:pPr>
              <w:jc w:val="right"/>
              <w:ind w:right="2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2" w:lineRule="exact"/>
              <w:rPr>
                <w:sz w:val="20"/>
                <w:szCs w:val="20"/>
                <w:color w:val="auto"/>
              </w:rPr>
            </w:pPr>
            <w:r>
              <w:rPr>
                <w:rFonts w:ascii="Arial" w:cs="Arial" w:eastAsia="Arial" w:hAnsi="Arial"/>
                <w:sz w:val="14"/>
                <w:szCs w:val="14"/>
                <w:color w:val="auto"/>
              </w:rPr>
              <w:t>1,143</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100.00%</w:t>
            </w:r>
          </w:p>
        </w:tc>
        <w:tc>
          <w:tcPr>
            <w:tcW w:w="20" w:type="dxa"/>
            <w:vAlign w:val="bottom"/>
            <w:vMerge w:val="continue"/>
          </w:tcPr>
          <w:p>
            <w:pPr>
              <w:spacing w:after="0"/>
              <w:rPr>
                <w:sz w:val="12"/>
                <w:szCs w:val="12"/>
                <w:color w:val="auto"/>
              </w:rPr>
            </w:pPr>
          </w:p>
        </w:tc>
        <w:tc>
          <w:tcPr>
            <w:tcW w:w="180" w:type="dxa"/>
            <w:vAlign w:val="bottom"/>
          </w:tcPr>
          <w:p>
            <w:pPr>
              <w:jc w:val="right"/>
              <w:ind w:right="61"/>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rPr>
              <w:t>824</w:t>
            </w: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100.00%</w:t>
            </w:r>
          </w:p>
        </w:tc>
        <w:tc>
          <w:tcPr>
            <w:tcW w:w="40" w:type="dxa"/>
            <w:vAlign w:val="bottom"/>
            <w:vMerge w:val="continue"/>
          </w:tcPr>
          <w:p>
            <w:pPr>
              <w:spacing w:after="0"/>
              <w:rPr>
                <w:sz w:val="12"/>
                <w:szCs w:val="12"/>
                <w:color w:val="auto"/>
              </w:rPr>
            </w:pPr>
          </w:p>
        </w:tc>
        <w:tc>
          <w:tcPr>
            <w:tcW w:w="180" w:type="dxa"/>
            <w:vAlign w:val="bottom"/>
          </w:tcPr>
          <w:p>
            <w:pPr>
              <w:jc w:val="right"/>
              <w:ind w:right="61"/>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rPr>
              <w:t>437</w:t>
            </w:r>
          </w:p>
        </w:tc>
        <w:tc>
          <w:tcPr>
            <w:tcW w:w="80" w:type="dxa"/>
            <w:vAlign w:val="bottom"/>
            <w:vMerge w:val="continue"/>
          </w:tcPr>
          <w:p>
            <w:pPr>
              <w:spacing w:after="0"/>
              <w:rPr>
                <w:sz w:val="12"/>
                <w:szCs w:val="12"/>
                <w:color w:val="auto"/>
              </w:rPr>
            </w:pPr>
          </w:p>
        </w:tc>
        <w:tc>
          <w:tcPr>
            <w:tcW w:w="9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reflects the annual trend of total loans 30 days or more past due, as a percentage of total loans at June 30: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Past due loans to total loans</w:t>
            </w:r>
          </w:p>
        </w:tc>
        <w:tc>
          <w:tcPr>
            <w:tcW w:w="3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80" w:type="dxa"/>
            <w:vAlign w:val="bottom"/>
          </w:tcPr>
          <w:p>
            <w:pPr>
              <w:jc w:val="right"/>
              <w:ind w:right="1352"/>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amounts and categories of the Company's non-performing assets at the dates indicated: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5"/>
              </w:rPr>
              <w:t>June 30, 2015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June 30, 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June 30, 2013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5"/>
              </w:rPr>
              <w:t>June 30, 2012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June 30, 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5"/>
              </w:rPr>
              <w:t>(Dollars 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Originated portfolio:</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Home equity</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Purchased portfolio:</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20"/>
                <w:szCs w:val="20"/>
                <w:color w:val="auto"/>
              </w:rPr>
            </w:pPr>
            <w:r>
              <w:rPr>
                <w:rFonts w:ascii="Arial" w:cs="Arial" w:eastAsia="Arial" w:hAnsi="Arial"/>
                <w:sz w:val="18"/>
                <w:szCs w:val="18"/>
                <w:color w:val="auto"/>
              </w:rPr>
              <w:t>Total purchased portfolio</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3"/>
              </w:rPr>
              <w:t>Real estate owned and other repossessed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collateral</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Nonperforming loans that are current</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651</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887</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Non-performing loans to total loans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At June 30, 2015, the Company had $12.4 million of nonperforming assets, or 1.5% of total assets, compared to $9.3 million, or 1.2% of total assets, as of June 30, 2014. The increase in nonperforming assets in fiscal 2015 was principally associated with nonaccrual purchased commercial real estate loans.</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TDRs represent loans for which concessions (such as extension of repayment terms or reductions of interest rates to below market rates) are granted due to a borrower's financial condition. Such concessions may include reductions of interest rates to below-market terms and/or extension of repayment terms. The balances and payment status of TDRs follow:</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3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r>
      <w:tr>
        <w:trPr>
          <w:trHeight w:val="142"/>
        </w:trPr>
        <w:tc>
          <w:tcPr>
            <w:tcW w:w="3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6"/>
          </w:tcPr>
          <w:p>
            <w:pPr>
              <w:jc w:val="center"/>
              <w:ind w:left="26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Nonaccrual</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Accrual</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6,365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2,632</w:t>
            </w:r>
          </w:p>
        </w:tc>
      </w:tr>
      <w:tr>
        <w:trPr>
          <w:trHeight w:val="20"/>
        </w:trPr>
        <w:tc>
          <w:tcPr>
            <w:tcW w:w="3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TDRs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3,742</w:t>
            </w:r>
          </w:p>
        </w:tc>
      </w:tr>
      <w:tr>
        <w:trPr>
          <w:trHeight w:val="20"/>
        </w:trPr>
        <w:tc>
          <w:tcPr>
            <w:tcW w:w="3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June 30, 2015, the Company had real estate owned and other repossessed collateral amounting to $1.7 million, compared to $2.0 million at June 30, 2014, a decrease of $340 thousand. The real estate and personal property collateral for commercial and consumer loans are written down to fair value upon transfer to acquired assets. Revenues and expenses are recognized in the period when received or incurred on other real estate and in substance foreclosures. Gains and losses on disposition are recognized in noninterest income.</w:t>
      </w:r>
    </w:p>
    <w:p>
      <w:pPr>
        <w:spacing w:after="0" w:line="19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continue to focus on asset quality and allocate significant resources to credit policy, loan review, asset management, collection, and workout functions. Despite this ongoing effort, there can be no assurance that adverse changes in the real estate markets and economic conditions will not result in higher non-performing assets levels in the future and negatively impact our results of operations through higher provision for loan losses, net loan charge-offs, decreased accrual of income and increased noninterest expenses.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Commercial real estate and commercial loans are periodically evaluated under a ten-point rating system. These ratings are guidelines in assessing the risk of a particular loan. The Company had $8.9 million and $7.4 million of loans rated substandard or worse at June 30, 2015 and June 30, 2014, respectively, an increase attributable to purchased loans. The following tables present the Company's loans by risk rating.</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2015</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Originated Portfolio</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Real Estate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0"/>
              </w:rPr>
              <w:t>Business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4"/>
              </w:rPr>
              <w:t>Residential(1)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Pass (1 - 6)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454,228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Special mention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Substandard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Doubtful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139,569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122,552</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202,592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473,848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Originated Portfolio</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Real Estate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0"/>
              </w:rPr>
              <w:t>Business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4"/>
              </w:rPr>
              <w:t>Residential(1)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Pass (1 - 6)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353,242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Special mention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Substandard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Doubtful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116,617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375,136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60" w:hanging="531"/>
        <w:spacing w:after="0" w:line="268"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Management and the Board of Directors of the Company recognize that taking and managing risk is fundamental to the business of banking. Through the development, implementation and monitoring of its policies with respect to risk management, the Company strives to measure, evaluate and control the risks it faces. The Board and management understand that an effective risk management system is critical to the Company's safety and soundness. Chief among the risks faced by us are credit risk, market risk (including interest rate risk), liquidity risk, and operational (transaction)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considers credit risk to be the most significant risk that it faces, in that it has the greatest potential to affect the financial condition and operating results of the Company. Credit risk is managed through a combination of policies and limits established by the Board, the monitoring of compliance with these policies and limits, and the periodic evaluation of loans in the portfolio, including those with problem characteristics. The Company also utilizes the services of independent</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third-parties to provide loan review services, which consist of a variety of monitoring techniques after a loan is purchased or originated.</w:t>
      </w:r>
    </w:p>
    <w:p>
      <w:pPr>
        <w:spacing w:after="0" w:line="225" w:lineRule="exact"/>
        <w:rPr>
          <w:sz w:val="20"/>
          <w:szCs w:val="20"/>
          <w:color w:val="auto"/>
        </w:rPr>
      </w:pPr>
    </w:p>
    <w:p>
      <w:pPr>
        <w:ind w:right="400" w:firstLine="351"/>
        <w:spacing w:after="0" w:line="254" w:lineRule="auto"/>
        <w:rPr>
          <w:sz w:val="20"/>
          <w:szCs w:val="20"/>
          <w:color w:val="auto"/>
        </w:rPr>
      </w:pPr>
      <w:r>
        <w:rPr>
          <w:rFonts w:ascii="Arial" w:cs="Arial" w:eastAsia="Arial" w:hAnsi="Arial"/>
          <w:sz w:val="18"/>
          <w:szCs w:val="18"/>
          <w:color w:val="auto"/>
        </w:rPr>
        <w:t>In general, Northeast's policies establish limits on the maximum amount of credit that may be granted to a single borrower (including affiliates), the aggregate amount of loans outstanding by type in relation to total assets and capital, and concentrations of loans by size, property type, and geography. Underwriting criteria, such as collateral and debt service coverage ratios and approval limits are also specified in loan policies. The Company's policies also address the performance of periodic credit reviews, the risk rating of loans, when loans should be placed on non-performing status and factors that should be considered in establishing the Bank's allowance for loan losses. For additional information, refer to "Asset Quality" above and Item 1, "Business—Lending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6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97"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 As of June 30, 2015, the income simulation analysis (as noted in the table below) for the first twelve-month period indicated that exposure to changing interest rates fell within the Company's policy levels of tolerance.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77"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Assuming a 200 basis point increase and 100 basis point decrease in interest rates starting on June 30, 2015, we estimate that our net interest income in the following 12 months would increase by 1.3% if rates increased by 200 basis points and decrease by 0.2% if rates declined by 100 basis points. These results indicate a modest level of asset sensitivity in our balance sheet. An asset-sensitive position indicates that there are more rate-sensitive assets than rate-sensitive liabilities repricing or maturing within specific time horizons, which would generally imply a favorable impact on net interest income in periods of rising interest rates and a negative impact in periods of falling rates. A liability-sensitive position would generally imply a negative impact on net interest income in periods of rising rates and a positive impact in periods of falling rates.</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2"/>
              </w:rPr>
              <w:t>Up 200 Basis Points</w:t>
            </w:r>
          </w:p>
        </w:tc>
        <w:tc>
          <w:tcPr>
            <w:tcW w:w="160" w:type="dxa"/>
            <w:vAlign w:val="bottom"/>
          </w:tcPr>
          <w:p>
            <w:pPr>
              <w:spacing w:after="0"/>
              <w:rPr>
                <w:sz w:val="14"/>
                <w:szCs w:val="14"/>
                <w:color w:val="auto"/>
              </w:rPr>
            </w:pPr>
          </w:p>
        </w:tc>
        <w:tc>
          <w:tcPr>
            <w:tcW w:w="1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Down 100 Basis Points</w:t>
            </w:r>
          </w:p>
        </w:tc>
        <w:tc>
          <w:tcPr>
            <w:tcW w:w="160" w:type="dxa"/>
            <w:vAlign w:val="bottom"/>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86"/>
              </w:rPr>
              <w:t>–0.2%</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June 30, 2014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680" w:type="dxa"/>
            <w:vAlign w:val="bottom"/>
            <w:gridSpan w:val="2"/>
          </w:tcPr>
          <w:p>
            <w:pPr>
              <w:ind w:left="1220"/>
              <w:spacing w:after="0"/>
              <w:rPr>
                <w:sz w:val="20"/>
                <w:szCs w:val="20"/>
                <w:color w:val="auto"/>
              </w:rPr>
            </w:pPr>
            <w:r>
              <w:rPr>
                <w:rFonts w:ascii="Arial" w:cs="Arial" w:eastAsia="Arial" w:hAnsi="Arial"/>
                <w:sz w:val="18"/>
                <w:szCs w:val="18"/>
                <w:color w:val="auto"/>
                <w:w w:val="86"/>
              </w:rPr>
              <w:t>–1.1%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16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86"/>
              </w:rPr>
              <w:t>–0.8%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Liquidity risk is defined as the risk associated with an organization's ability to meet current and future financial obligations of a short-term nature. Northeast uses its liquidity on a regular basis to fund existing and future loan commitments, to pay interest on deposits and on borrowings, to fund maturing certificates of deposit and borrowings, to fund other deposit withdrawals, to invest in other interest-earning assets, to make dividend payments to shareholders, and to meet operating expenses. The Company's primary sources of liquidity consist of deposit inflows, borrowed funds, and the amortization, prepayment and maturities of loans and securities. While scheduled payments from the amortization and maturities of loans and investment securities are relatively predictable sources of funds, deposit flows and loan and investment prepayments can be greatly influenced by general interest rates, economic conditions and competition. In addition to these regular sources of funds, the Company may choose to sell portfolio loans and investment securities to meet liquidity demands.</w:t>
      </w:r>
    </w:p>
    <w:p>
      <w:pPr>
        <w:spacing w:after="0" w:line="172" w:lineRule="exact"/>
        <w:rPr>
          <w:sz w:val="20"/>
          <w:szCs w:val="20"/>
          <w:color w:val="auto"/>
        </w:rPr>
      </w:pPr>
    </w:p>
    <w:p>
      <w:pPr>
        <w:jc w:val="both"/>
        <w:ind w:right="420" w:firstLine="348"/>
        <w:spacing w:after="0" w:line="306" w:lineRule="auto"/>
        <w:rPr>
          <w:sz w:val="20"/>
          <w:szCs w:val="20"/>
          <w:color w:val="auto"/>
        </w:rPr>
      </w:pPr>
      <w:r>
        <w:rPr>
          <w:rFonts w:ascii="Arial" w:cs="Arial" w:eastAsia="Arial" w:hAnsi="Arial"/>
          <w:sz w:val="16"/>
          <w:szCs w:val="16"/>
          <w:color w:val="auto"/>
        </w:rPr>
        <w:t>We monitor and forecast our liquidity position. There are several interdependent methods used by us for this purpose, including daily review of Federal Funds positions, monthly review of balance sheet changes, monthly review of liquidity ratios, quarterly review of liquidity forecasts and periodic review of contingent funding plans. Using these methods, the Company actively manages its liquidity position under the direction of the ALCO, which meets weekly.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is a summary of the unused borrowing capacity of the Company at June 30, 2015 available to meet our short-term funding needs (dollars 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$ 212,708</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45,691</w:t>
            </w:r>
          </w:p>
        </w:tc>
        <w:tc>
          <w:tcPr>
            <w:tcW w:w="4920" w:type="dxa"/>
            <w:vAlign w:val="bottom"/>
          </w:tcPr>
          <w:p>
            <w:pPr>
              <w:ind w:left="160"/>
              <w:spacing w:after="0"/>
              <w:rPr>
                <w:sz w:val="20"/>
                <w:szCs w:val="20"/>
                <w:color w:val="auto"/>
              </w:rPr>
            </w:pPr>
            <w:r>
              <w:rPr>
                <w:rFonts w:ascii="Arial" w:cs="Arial" w:eastAsia="Arial" w:hAnsi="Arial"/>
                <w:sz w:val="18"/>
                <w:szCs w:val="18"/>
                <w:color w:val="auto"/>
                <w:w w:val="88"/>
              </w:rPr>
              <w:t>Unused advance capacity subject to eligible and qualified collateral</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2"/>
              </w:rPr>
              <w:t>Federal Discount Window Borrower-in-Custody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Unused credit line subject to the pledge of loans</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available lines</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49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unused borrowing capacity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278,099</w:t>
            </w:r>
          </w:p>
        </w:tc>
        <w:tc>
          <w:tcPr>
            <w:tcW w:w="49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Retail deposits and other core deposit sources including deposit listing services are used by the Bank to manage its overall liquidity position. While we currently do not seek wholesale funding such as FHLB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 advance capacity, the purchase of additional capital stock in the Federal Home Loan Bank of Boston may be required. At June 30, 2015, the Bank had</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$350.0 million of immediately accessible liquidity, defined as cash that the Bank reasonably believes could be raised within 7 days through collateralized borrowings, brokered deposits or security sales. This position represented 41.1% of total assets. Further, at June 30, 2015, the Company had $89.9 million of cash and cash equivalents. This level of balance sheet liquidity is intended, in part, for future purchases of commercial real estate loans.</w:t>
      </w:r>
    </w:p>
    <w:p>
      <w:pPr>
        <w:spacing w:after="0" w:line="163"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a parent company only basis, commitments and debt service requirements at June 30, 2015 consisted of junior subordinated debentures issued to NBN Capital Trust II, NBN Capital Trust III and NBN Capital Trust IV with a principal balance of $16.5 million. See Note 18 of the Notes to the Consolidated Financial Statements for carrying values, maturity dates and the use of purchased interest rate caps and swaps to hedge the interest expense in periods of rising interest rates. Based on the interest rates at June 30, 2015, the annual aggregate payments to meet the debt service of the junior subordinated debentures is approximately $412 thousand. Including the impact of the interest rate swap associated with NBN Capital Trust IV subordinated debentures, annual payments are expected to total $595 thousand.</w:t>
      </w:r>
    </w:p>
    <w:p>
      <w:pPr>
        <w:spacing w:after="0" w:line="19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principal sources of funds for the Company to meet parent-only obligations are dividends from the Bank, which are subject to regulatory limitations, and borrowings from public and private sources. For information on the restrictions on the payment of dividends by Northeast Bank, see Note 10 of the Notes to the Company's Consolidated Financial Statements in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w:t>
      </w:r>
    </w:p>
    <w:p>
      <w:pPr>
        <w:spacing w:after="0" w:line="225"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Operational risk, which we define as the risk of loss from failed internal processes, people and systems, and external events, is inherent in all of our business activities. The principal ways in which we manage operational risk include the establishment of departmental and business-specific policies and procedures, internal controls and monitoring requirements. Some specific examples include our information security program, business continuity planning and testing, our vendor management program, reconciliation processes, our enterprise risk assessment process, and new product and/or system introduction processes. Periodic internal audits provide an important independent check on adherence to policies, procedures and controls designed to mitigate risk exposure.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3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67"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unused lines of credit and standby letters of credit is represented by the contractual amount of those instruments. 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committed amounts do not necessarily represent future cash requirements. To control the credit risk associated with entering into commitments and issuing letters of credit, the Company uses the same credit quality, collateral policies, and monitoring controls in making commitments and letters of credit as it does with its lending activities.</w:t>
      </w:r>
    </w:p>
    <w:p>
      <w:pPr>
        <w:spacing w:after="0" w:line="20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The credit risk involved in issuing letters of credit is essentially the same as that involved in extending loans to customers.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Unused lines of credit and commitments to extend credit typically result in loans with a market interest 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summary of the amounts of the Company's contractual obligations, and other commitments with off-balance sheet risk, both at June 30, 2015,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376"/>
              <w:spacing w:after="0"/>
              <w:rPr>
                <w:sz w:val="20"/>
                <w:szCs w:val="20"/>
                <w:color w:val="auto"/>
              </w:rPr>
            </w:pPr>
            <w:r>
              <w:rPr>
                <w:rFonts w:ascii="Arial" w:cs="Arial" w:eastAsia="Arial" w:hAnsi="Arial"/>
                <w:sz w:val="14"/>
                <w:szCs w:val="14"/>
                <w:b w:val="1"/>
                <w:bCs w:val="1"/>
                <w:color w:val="auto"/>
              </w:rPr>
              <w:t>Payments Due-By Period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1 - 3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w w:val="99"/>
              </w:rPr>
              <w:t>3 - 5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6"/>
              </w:rPr>
              <w:t>More than</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5 Years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FHLB advances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Wholesale repurchase agreements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debt obligations</w:t>
            </w:r>
          </w:p>
        </w:tc>
        <w:tc>
          <w:tcPr>
            <w:tcW w:w="1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59,417</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26,543</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15,459</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Operating lease obligations</w:t>
            </w:r>
          </w:p>
        </w:tc>
        <w:tc>
          <w:tcPr>
            <w:tcW w:w="1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contractual obligations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68,755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17,634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w w:val="88"/>
              </w:rPr>
              <w:t>Amount of Commitment Expiring-By Period</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1"/>
              <w:spacing w:after="0" w:line="12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rPr>
              <w:t>1 - 3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w w:val="92"/>
              </w:rPr>
              <w:t>3 - 5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6"/>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78"/>
              </w:rPr>
              <w:t>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Commitments with off-balance sheet risk:</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Commitments to grant loans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24,966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Unused commitments under lines of credit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39,414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Standby letters of credit</w:t>
            </w:r>
          </w:p>
        </w:tc>
        <w:tc>
          <w:tcPr>
            <w:tcW w:w="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commitments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64,440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Stockholders' equity was $112.8 million at June 30, 2015, an increase of $773 thousand from June 30, 2014. The increase due principally to earnings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$7.1 million, as well as $705 thousand of scheduled amortization of stock-based compensation, offset by $6.7 million in share repurchases (representing 710,662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shares), a decrease in accumulated other comprehensive income of $5 thousand and $402 thousand in dividends paid on common stock.</w:t>
      </w:r>
    </w:p>
    <w:p>
      <w:pPr>
        <w:spacing w:after="0" w:line="219"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See Note 10 of the Notes to the Consolidated Financial Statements for information on the Company's capital ratios. Regulatory capital ratios for the Company and the Bank currently exceed all applicable requirements, including the commitments made to the Federal Reserve and the Bureau in connection with the Merger to maintain minimum Tier 1 leverage and total risk-based capital ratios of 10% and 15%,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consolidated financial statements and related notes have been presented in terms of historic dollars without considering changes in the relative purchasing power of money over time due to inflation. Unlike industrial companies, nearly all of the assets and virtually all of the liabilities of the Company are monetary in nature. As a result, interest rates have a more significant impact on the Company's performance than the general level of inflation. Over short periods of time, interest rates may not necessarily move in the same direction or in the same magnitude as inflation.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Note 1 of the Notes to the Consolidated Financial Statement includes the FASB and the SEC issued statements and interpretations affecting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Critical accounting policies are those that involve significant judgments and assessments by management, and that could potentially result in materially different results under different assumptions and conditions. Northeast considers the following to be its critical accounting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67"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97"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70"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Continued weakness in national or regional economic conditions, and a corresponding weakness in consumer or business spending, will have an adverse effect on the credit quality of this segment.</w:t>
      </w:r>
    </w:p>
    <w:p>
      <w:pPr>
        <w:spacing w:after="0" w:line="194" w:lineRule="exact"/>
        <w:rPr>
          <w:sz w:val="20"/>
          <w:szCs w:val="20"/>
          <w:color w:val="auto"/>
        </w:rPr>
      </w:pPr>
    </w:p>
    <w:p>
      <w:pPr>
        <w:ind w:left="540" w:right="380"/>
        <w:spacing w:after="0" w:line="33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39"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w:t>
      </w:r>
    </w:p>
    <w:p>
      <w:pPr>
        <w:spacing w:after="0" w:line="174"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20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38"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years ended June 30, 2015 or 2014.</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TDRs are individually reviewed for impairment.</w:t>
      </w:r>
    </w:p>
    <w:p>
      <w:pPr>
        <w:spacing w:after="0" w:line="201"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5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See Item 7, "Management's Discussion and Analysis of Financial Condition and Results of Operations—Risk Management" and accompanying table set forth therein for quantitative and qualitative disclosures about market risk.</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960755" cy="11061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6075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Northeast Bancorp</w:t>
      </w:r>
    </w:p>
    <w:p>
      <w:pPr>
        <w:spacing w:after="0" w:line="219"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We have audited the accompanying consolidated balance sheets of Northeast Bancorp and subsidiary as of June 30, 2015 and 2014, and the related consolidated statements of income, comprehensive income, changes in stockholders' equity and cash flows for the years then ended. These financial statements are the responsibility of the Company's management. Our responsibility is to express an opinion on these financial statements based on our audits.</w:t>
      </w:r>
    </w:p>
    <w:p>
      <w:pPr>
        <w:spacing w:after="0" w:line="14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Northeast Bancorp and subsidiary at June 30, 2015 and 2014, and the consolidated results of their operations and their cash flows for the years then ended, in conformity with U.S. generally accepted accounting principles.</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2015</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NORTHEAST BANCORP AND SUBSIDIARY</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36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3,372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89,850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82,259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 at fair value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101,908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113,881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612,137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516,416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610,211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515,049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Federal Home Loan Bank stock, at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850,830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761,931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shd w:val="clear" w:color="auto" w:fill="CCEEFF"/>
          </w:tcPr>
          <w:p>
            <w:pPr>
              <w:ind w:left="2340"/>
              <w:spacing w:after="0" w:line="196" w:lineRule="exact"/>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Demand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60,383</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50,140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Savings and interest checking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100,134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168,527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345,715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341,948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Total deposits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674,759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574,329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8,440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737,991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649,865</w:t>
            </w:r>
          </w:p>
        </w:tc>
        <w:tc>
          <w:tcPr>
            <w:tcW w:w="160" w:type="dxa"/>
            <w:vAlign w:val="bottom"/>
            <w:shd w:val="clear" w:color="auto" w:fill="CCEEFF"/>
          </w:tcPr>
          <w:p>
            <w:pPr>
              <w:spacing w:after="0"/>
              <w:rPr>
                <w:sz w:val="18"/>
                <w:szCs w:val="18"/>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w w:val="88"/>
              </w:rPr>
              <w:t>Preferred stock, $1.00 par value, 1,000,000 shares authorized; no shares issued and outstanding at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June 30, 2015 and June 30, 2014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89"/>
              </w:rPr>
              <w:t>Voting common stock, $1.00 par value, 25,000,000 authorized; 8,575,144 and 9,260,331 issued and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June 30, 2015 and 2014, respectively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2"/>
              </w:rPr>
              <w:t>Non-voting common stock, $1.00 par value, 3,000,000 authorized; 1,012,739 and 880,963 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issued and outstanding at June 30, 2015 and June 30, 2014, respectively</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881</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12,294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10"/>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112,839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112,066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850,830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761,931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NORTHEAST BANCORP AND SUBSIDIARY</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Year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Interest and dividend 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Interest and fees on loans</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43,383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on available-for-sale securities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Other interest and dividend income</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interest and dividend income</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44,588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gridSpan w:val="2"/>
          </w:tcPr>
          <w:p>
            <w:pPr>
              <w:spacing w:after="0" w:line="142"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Deposits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Federal Home Loan Bank advances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Wholesale repurchase agreements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Short-term borrowings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Junior subordinated debentures issued to affiliated trusts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Obligation under capital lease agreement</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interest expense</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7,220</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ind w:left="220"/>
              <w:spacing w:after="0" w:line="142" w:lineRule="exact"/>
              <w:rPr>
                <w:sz w:val="20"/>
                <w:szCs w:val="20"/>
                <w:color w:val="auto"/>
              </w:rPr>
            </w:pPr>
            <w:r>
              <w:rPr>
                <w:rFonts w:ascii="Arial" w:cs="Arial" w:eastAsia="Arial" w:hAnsi="Arial"/>
                <w:sz w:val="14"/>
                <w:szCs w:val="14"/>
                <w:color w:val="auto"/>
              </w:rPr>
              <w:t>Net interest and dividend income before provision for loan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37,368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31,718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loan losses</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ind w:left="220"/>
              <w:spacing w:after="0" w:line="142" w:lineRule="exact"/>
              <w:rPr>
                <w:sz w:val="20"/>
                <w:szCs w:val="20"/>
                <w:color w:val="auto"/>
              </w:rPr>
            </w:pPr>
            <w:r>
              <w:rPr>
                <w:rFonts w:ascii="Arial" w:cs="Arial" w:eastAsia="Arial" w:hAnsi="Arial"/>
                <w:sz w:val="14"/>
                <w:szCs w:val="14"/>
                <w:color w:val="auto"/>
              </w:rPr>
              <w:t>Net interest and dividend income after provision for loan losses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36,651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31,187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Noninterest 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Fees for other services to customers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sales of loans held for sale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Gain on sales of portfolio loans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recognized on real estate owned and other repossessed collateral,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Bank-owned life insurance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noninterest income</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ind w:left="220"/>
              <w:spacing w:after="0" w:line="142" w:lineRule="exact"/>
              <w:rPr>
                <w:sz w:val="20"/>
                <w:szCs w:val="20"/>
                <w:color w:val="auto"/>
              </w:rPr>
            </w:pPr>
            <w:r>
              <w:rPr>
                <w:rFonts w:ascii="Arial" w:cs="Arial" w:eastAsia="Arial" w:hAnsi="Arial"/>
                <w:sz w:val="14"/>
                <w:szCs w:val="14"/>
                <w:color w:val="auto"/>
              </w:rPr>
              <w:t>Total noninterest income</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7,089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Noninterest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Salaries and employee benefits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18,817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17,786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Occupancy and equipment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Professional fees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1,285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Data processing fees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Marketing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 acquisition and collection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FDIC insurance premiums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Intangible asset amortization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Legal settlement recovery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noninterest expense</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3,040</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ind w:left="220"/>
              <w:spacing w:after="0" w:line="142" w:lineRule="exact"/>
              <w:rPr>
                <w:sz w:val="20"/>
                <w:szCs w:val="20"/>
                <w:color w:val="auto"/>
              </w:rPr>
            </w:pPr>
            <w:r>
              <w:rPr>
                <w:rFonts w:ascii="Arial" w:cs="Arial" w:eastAsia="Arial" w:hAnsi="Arial"/>
                <w:sz w:val="14"/>
                <w:szCs w:val="14"/>
                <w:color w:val="auto"/>
              </w:rPr>
              <w:t>Total noninterest expense</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32,604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31,777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Income from continuing operations before income tax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11,136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Income tax expense</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Net income from continuing operations</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7,141</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ind w:left="100"/>
              <w:spacing w:after="0" w:line="142" w:lineRule="exact"/>
              <w:rPr>
                <w:sz w:val="20"/>
                <w:szCs w:val="20"/>
                <w:color w:val="auto"/>
              </w:rPr>
            </w:pPr>
            <w:r>
              <w:rPr>
                <w:rFonts w:ascii="Arial" w:cs="Arial" w:eastAsia="Arial" w:hAnsi="Arial"/>
                <w:sz w:val="14"/>
                <w:szCs w:val="14"/>
                <w:color w:val="auto"/>
              </w:rPr>
              <w:t>Loss from discontinued operations</w:t>
            </w: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 benefit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ind w:left="100"/>
              <w:spacing w:after="0" w:line="142" w:lineRule="exact"/>
              <w:rPr>
                <w:sz w:val="20"/>
                <w:szCs w:val="20"/>
                <w:color w:val="auto"/>
              </w:rPr>
            </w:pPr>
            <w:r>
              <w:rPr>
                <w:rFonts w:ascii="Arial" w:cs="Arial" w:eastAsia="Arial" w:hAnsi="Arial"/>
                <w:sz w:val="14"/>
                <w:szCs w:val="14"/>
                <w:color w:val="auto"/>
              </w:rPr>
              <w:t>Net loss from discontinued operations</w:t>
            </w: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Net income</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7,141</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4"/>
                <w:szCs w:val="14"/>
                <w:color w:val="auto"/>
              </w:rPr>
              <w:t>Weighted-average shares outstanding:</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Basic</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9,980,733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10,404,784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9,980,733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10,404,784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per common share: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00"/>
              <w:spacing w:after="0" w:line="149" w:lineRule="exact"/>
              <w:rPr>
                <w:sz w:val="20"/>
                <w:szCs w:val="20"/>
                <w:color w:val="auto"/>
              </w:rPr>
            </w:pPr>
            <w:r>
              <w:rPr>
                <w:rFonts w:ascii="Arial" w:cs="Arial" w:eastAsia="Arial" w:hAnsi="Arial"/>
                <w:sz w:val="14"/>
                <w:szCs w:val="14"/>
                <w:color w:val="auto"/>
              </w:rPr>
              <w:t>Basic:</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from continuing operations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220"/>
              <w:spacing w:after="0" w:line="149" w:lineRule="exact"/>
              <w:rPr>
                <w:sz w:val="20"/>
                <w:szCs w:val="20"/>
                <w:color w:val="auto"/>
              </w:rPr>
            </w:pPr>
            <w:r>
              <w:rPr>
                <w:rFonts w:ascii="Arial" w:cs="Arial" w:eastAsia="Arial" w:hAnsi="Arial"/>
                <w:sz w:val="14"/>
                <w:szCs w:val="14"/>
                <w:color w:val="auto"/>
              </w:rPr>
              <w:t>Income from discontinued operations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Net income</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0.72</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100"/>
              <w:spacing w:after="0"/>
              <w:rPr>
                <w:sz w:val="20"/>
                <w:szCs w:val="20"/>
                <w:color w:val="auto"/>
              </w:rPr>
            </w:pPr>
            <w:r>
              <w:rPr>
                <w:rFonts w:ascii="Arial" w:cs="Arial" w:eastAsia="Arial" w:hAnsi="Arial"/>
                <w:sz w:val="14"/>
                <w:szCs w:val="14"/>
                <w:color w:val="auto"/>
              </w:rPr>
              <w:t>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3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from continuing operations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220"/>
              <w:spacing w:after="0" w:line="149" w:lineRule="exact"/>
              <w:rPr>
                <w:sz w:val="20"/>
                <w:szCs w:val="20"/>
                <w:color w:val="auto"/>
              </w:rPr>
            </w:pPr>
            <w:r>
              <w:rPr>
                <w:rFonts w:ascii="Arial" w:cs="Arial" w:eastAsia="Arial" w:hAnsi="Arial"/>
                <w:sz w:val="14"/>
                <w:szCs w:val="14"/>
                <w:color w:val="auto"/>
              </w:rPr>
              <w:t>Income from discontinued operations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Net income</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0.72</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4"/>
                <w:szCs w:val="14"/>
                <w:color w:val="auto"/>
              </w:rPr>
              <w:t>Cash dividends declared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80" w:type="dxa"/>
            <w:vAlign w:val="bottom"/>
            <w:gridSpan w:val="2"/>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0.04</w:t>
            </w:r>
          </w:p>
        </w:tc>
        <w:tc>
          <w:tcPr>
            <w:tcW w:w="1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NORTHEAST BANCORP AND SUBSIDIARY</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2,692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Change in net unrealized gain or loss on available-for-sale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1,358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758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1,358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Derivatives and hedging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Change in accumulated loss on effective cash flow hedges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Reclassification adjustments for net gains included in 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0"/>
        </w:trPr>
        <w:tc>
          <w:tcPr>
            <w:tcW w:w="7580" w:type="dxa"/>
            <w:vAlign w:val="bottom"/>
            <w:gridSpan w:val="2"/>
          </w:tcPr>
          <w:p>
            <w:pPr>
              <w:spacing w:after="0"/>
              <w:rPr>
                <w:sz w:val="20"/>
                <w:szCs w:val="20"/>
                <w:color w:val="auto"/>
              </w:rPr>
            </w:pPr>
            <w:r>
              <w:rPr>
                <w:rFonts w:ascii="Arial" w:cs="Arial" w:eastAsia="Arial" w:hAnsi="Arial"/>
                <w:sz w:val="18"/>
                <w:szCs w:val="18"/>
                <w:color w:val="auto"/>
              </w:rPr>
              <w:t>Total derivatives and hedging activities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 (loss), before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Income tax expense (benefit) related to other comprehensive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3,323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NORTHEAST BANCORP AND SUBSIDIARY</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rPr>
              <w:t>Voting</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Non-voting</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Preferred Stock</w:t>
            </w:r>
          </w:p>
        </w:tc>
        <w:tc>
          <w:tcPr>
            <w:tcW w:w="142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4"/>
            <w:vMerge w:val="restart"/>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20" w:type="dxa"/>
            <w:vAlign w:val="bottom"/>
            <w:gridSpan w:val="5"/>
            <w:vMerge w:val="continue"/>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0" w:type="dxa"/>
            <w:vAlign w:val="bottom"/>
          </w:tcPr>
          <w:p>
            <w:pPr>
              <w:spacing w:after="0"/>
              <w:rPr>
                <w:sz w:val="5"/>
                <w:szCs w:val="5"/>
                <w:color w:val="auto"/>
              </w:rPr>
            </w:pPr>
          </w:p>
        </w:tc>
        <w:tc>
          <w:tcPr>
            <w:tcW w:w="108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rPr>
              <w:t>Shares   Amount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Paid-in Capital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60" w:type="dxa"/>
            <w:vAlign w:val="bottom"/>
            <w:shd w:val="clear" w:color="auto" w:fill="CCEEFF"/>
          </w:tcPr>
          <w:p>
            <w:pPr>
              <w:jc w:val="right"/>
              <w:ind w:right="52"/>
              <w:spacing w:after="0" w:line="131" w:lineRule="exact"/>
              <w:rPr>
                <w:sz w:val="20"/>
                <w:szCs w:val="20"/>
                <w:color w:val="auto"/>
              </w:rPr>
            </w:pPr>
            <w:r>
              <w:rPr>
                <w:rFonts w:ascii="Arial" w:cs="Arial" w:eastAsia="Arial" w:hAnsi="Arial"/>
                <w:sz w:val="14"/>
                <w:szCs w:val="14"/>
                <w:color w:val="auto"/>
                <w:w w:val="82"/>
              </w:rPr>
              <w:t>Balance at June 30,</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2013</w:t>
            </w:r>
          </w:p>
        </w:tc>
        <w:tc>
          <w:tcPr>
            <w:tcW w:w="800" w:type="dxa"/>
            <w:vAlign w:val="bottom"/>
            <w:gridSpan w:val="3"/>
            <w:shd w:val="clear" w:color="auto" w:fill="CCEEFF"/>
          </w:tcPr>
          <w:p>
            <w:pPr>
              <w:ind w:left="340"/>
              <w:spacing w:after="0" w:line="159" w:lineRule="exact"/>
              <w:rPr>
                <w:sz w:val="20"/>
                <w:szCs w:val="20"/>
                <w:color w:val="auto"/>
              </w:rPr>
            </w:pPr>
            <w:r>
              <w:rPr>
                <w:rFonts w:ascii="Arial" w:cs="Arial" w:eastAsia="Arial" w:hAnsi="Arial"/>
                <w:sz w:val="14"/>
                <w:szCs w:val="14"/>
                <w:color w:val="auto"/>
              </w:rPr>
              <w:t>— $</w:t>
            </w: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9,565,680</w:t>
            </w:r>
          </w:p>
        </w:tc>
        <w:tc>
          <w:tcPr>
            <w:tcW w:w="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9,566</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880,963</w:t>
            </w:r>
          </w:p>
        </w:tc>
        <w:tc>
          <w:tcPr>
            <w:tcW w:w="34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881</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92,745</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12,524</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(1,914)</w:t>
            </w:r>
          </w:p>
        </w:tc>
        <w:tc>
          <w:tcPr>
            <w:tcW w:w="18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113,802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2,692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Other</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0"/>
              </w:rPr>
              <w:t>comprehensive</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7"/>
              </w:rPr>
              <w:t>income, net of</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tax</w:t>
            </w:r>
          </w:p>
        </w:tc>
        <w:tc>
          <w:tcPr>
            <w:tcW w:w="800" w:type="dxa"/>
            <w:vAlign w:val="bottom"/>
            <w:gridSpan w:val="3"/>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rPr>
              <w:t>repurchased</w:t>
            </w:r>
          </w:p>
        </w:tc>
        <w:tc>
          <w:tcPr>
            <w:tcW w:w="800" w:type="dxa"/>
            <w:vAlign w:val="bottom"/>
            <w:gridSpan w:val="3"/>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(291,200)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(292)</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(2,531)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(2,823)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Dividends 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5"/>
              </w:rPr>
              <w:t>common stock</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at $0.28 per</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share</w:t>
            </w:r>
          </w:p>
        </w:tc>
        <w:tc>
          <w:tcPr>
            <w:tcW w:w="800" w:type="dxa"/>
            <w:vAlign w:val="bottom"/>
            <w:gridSpan w:val="3"/>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(2,922)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(2,922)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Stock-based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w w:val="98"/>
              </w:rPr>
              <w:t>compensation</w:t>
            </w:r>
          </w:p>
        </w:tc>
        <w:tc>
          <w:tcPr>
            <w:tcW w:w="800" w:type="dxa"/>
            <w:vAlign w:val="bottom"/>
            <w:gridSpan w:val="3"/>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Forfeiture of</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restricted</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95"/>
              </w:rPr>
              <w:t>common stock</w:t>
            </w:r>
          </w:p>
        </w:tc>
        <w:tc>
          <w:tcPr>
            <w:tcW w:w="800" w:type="dxa"/>
            <w:vAlign w:val="bottom"/>
            <w:gridSpan w:val="3"/>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(14,149)</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1180" w:type="dxa"/>
            <w:vAlign w:val="bottom"/>
            <w:gridSpan w:val="2"/>
          </w:tcPr>
          <w:p>
            <w:pPr>
              <w:jc w:val="right"/>
              <w:ind w:right="52"/>
              <w:spacing w:after="0" w:line="131" w:lineRule="exact"/>
              <w:rPr>
                <w:sz w:val="20"/>
                <w:szCs w:val="20"/>
                <w:color w:val="auto"/>
              </w:rPr>
            </w:pPr>
            <w:r>
              <w:rPr>
                <w:rFonts w:ascii="Arial" w:cs="Arial" w:eastAsia="Arial" w:hAnsi="Arial"/>
                <w:sz w:val="14"/>
                <w:szCs w:val="14"/>
                <w:color w:val="auto"/>
                <w:w w:val="84"/>
              </w:rPr>
              <w:t>Balance at June 30,</w:t>
            </w: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2014</w:t>
            </w:r>
          </w:p>
        </w:tc>
        <w:tc>
          <w:tcPr>
            <w:tcW w:w="800" w:type="dxa"/>
            <w:vAlign w:val="bottom"/>
            <w:gridSpan w:val="3"/>
          </w:tcPr>
          <w:p>
            <w:pPr>
              <w:ind w:left="340"/>
              <w:spacing w:after="0" w:line="159" w:lineRule="exact"/>
              <w:rPr>
                <w:sz w:val="20"/>
                <w:szCs w:val="20"/>
                <w:color w:val="auto"/>
              </w:rPr>
            </w:pPr>
            <w:r>
              <w:rPr>
                <w:rFonts w:ascii="Arial" w:cs="Arial" w:eastAsia="Arial" w:hAnsi="Arial"/>
                <w:sz w:val="14"/>
                <w:szCs w:val="14"/>
                <w:color w:val="auto"/>
              </w:rPr>
              <w:t>— $</w:t>
            </w:r>
          </w:p>
        </w:tc>
        <w:tc>
          <w:tcPr>
            <w:tcW w:w="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9,260,331</w:t>
            </w:r>
          </w:p>
        </w:tc>
        <w:tc>
          <w:tcPr>
            <w:tcW w:w="60" w:type="dxa"/>
            <w:vAlign w:val="bottom"/>
          </w:tcPr>
          <w:p>
            <w:pPr>
              <w:spacing w:after="0"/>
              <w:rPr>
                <w:sz w:val="13"/>
                <w:szCs w:val="13"/>
                <w:color w:val="auto"/>
              </w:rPr>
            </w:pPr>
          </w:p>
        </w:tc>
        <w:tc>
          <w:tcPr>
            <w:tcW w:w="22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9,260</w:t>
            </w: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880,963</w:t>
            </w:r>
          </w:p>
        </w:tc>
        <w:tc>
          <w:tcPr>
            <w:tcW w:w="34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881</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90,914</w:t>
            </w:r>
          </w:p>
        </w:tc>
        <w:tc>
          <w:tcPr>
            <w:tcW w:w="60" w:type="dxa"/>
            <w:vAlign w:val="bottom"/>
          </w:tcPr>
          <w:p>
            <w:pPr>
              <w:spacing w:after="0"/>
              <w:rPr>
                <w:sz w:val="13"/>
                <w:szCs w:val="13"/>
                <w:color w:val="auto"/>
              </w:rPr>
            </w:pPr>
          </w:p>
        </w:tc>
        <w:tc>
          <w:tcPr>
            <w:tcW w:w="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12,294</w:t>
            </w:r>
          </w:p>
        </w:tc>
        <w:tc>
          <w:tcPr>
            <w:tcW w:w="60" w:type="dxa"/>
            <w:vAlign w:val="bottom"/>
          </w:tcPr>
          <w:p>
            <w:pPr>
              <w:spacing w:after="0"/>
              <w:rPr>
                <w:sz w:val="13"/>
                <w:szCs w:val="13"/>
                <w:color w:val="auto"/>
              </w:rPr>
            </w:pPr>
          </w:p>
        </w:tc>
        <w:tc>
          <w:tcPr>
            <w:tcW w:w="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(1,283)</w:t>
            </w:r>
          </w:p>
        </w:tc>
        <w:tc>
          <w:tcPr>
            <w:tcW w:w="18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112,066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Net income</w:t>
            </w:r>
          </w:p>
        </w:tc>
        <w:tc>
          <w:tcPr>
            <w:tcW w:w="800" w:type="dxa"/>
            <w:vAlign w:val="bottom"/>
            <w:gridSpan w:val="3"/>
            <w:shd w:val="clear" w:color="auto" w:fill="CCEEFF"/>
          </w:tcPr>
          <w:p>
            <w:pPr>
              <w:ind w:left="340"/>
              <w:spacing w:after="0" w:line="12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00"/>
              <w:spacing w:after="0" w:line="12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7,141</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7,141</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Other</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w w:val="90"/>
              </w:rPr>
              <w:t>comprehensive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w w:val="97"/>
              </w:rPr>
              <w:t>income, net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rPr>
              <w:t>tax</w:t>
            </w:r>
          </w:p>
        </w:tc>
        <w:tc>
          <w:tcPr>
            <w:tcW w:w="800" w:type="dxa"/>
            <w:vAlign w:val="bottom"/>
            <w:gridSpan w:val="3"/>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Common stock</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repurchased</w:t>
            </w:r>
          </w:p>
        </w:tc>
        <w:tc>
          <w:tcPr>
            <w:tcW w:w="800" w:type="dxa"/>
            <w:vAlign w:val="bottom"/>
            <w:gridSpan w:val="3"/>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(710,662)</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(711)</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(5,955)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(6,666)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Conversion of</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rPr>
              <w:t>voting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w w:val="95"/>
              </w:rPr>
              <w:t>common stock</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rPr>
              <w:t>to non-voting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w w:val="95"/>
              </w:rPr>
              <w:t>common stock</w:t>
            </w:r>
          </w:p>
        </w:tc>
        <w:tc>
          <w:tcPr>
            <w:tcW w:w="800" w:type="dxa"/>
            <w:vAlign w:val="bottom"/>
            <w:gridSpan w:val="3"/>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(131,776)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(132)</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131,776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132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Dividends 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5"/>
              </w:rPr>
              <w:t>common stock</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at $0.04 per</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share</w:t>
            </w:r>
          </w:p>
        </w:tc>
        <w:tc>
          <w:tcPr>
            <w:tcW w:w="800" w:type="dxa"/>
            <w:vAlign w:val="bottom"/>
            <w:gridSpan w:val="3"/>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(402)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Stock-based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w w:val="98"/>
              </w:rPr>
              <w:t>compensation</w:t>
            </w:r>
          </w:p>
        </w:tc>
        <w:tc>
          <w:tcPr>
            <w:tcW w:w="800" w:type="dxa"/>
            <w:vAlign w:val="bottom"/>
            <w:gridSpan w:val="3"/>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705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705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Issuance of</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restricted</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95"/>
              </w:rPr>
              <w:t>common stock</w:t>
            </w:r>
          </w:p>
        </w:tc>
        <w:tc>
          <w:tcPr>
            <w:tcW w:w="800" w:type="dxa"/>
            <w:vAlign w:val="bottom"/>
            <w:gridSpan w:val="3"/>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174,000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(174)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ind w:left="140"/>
              <w:spacing w:after="0" w:line="138" w:lineRule="exact"/>
              <w:rPr>
                <w:sz w:val="20"/>
                <w:szCs w:val="20"/>
                <w:color w:val="auto"/>
              </w:rPr>
            </w:pPr>
            <w:r>
              <w:rPr>
                <w:rFonts w:ascii="Arial" w:cs="Arial" w:eastAsia="Arial" w:hAnsi="Arial"/>
                <w:sz w:val="14"/>
                <w:szCs w:val="14"/>
                <w:color w:val="auto"/>
              </w:rPr>
              <w:t>Forfeiture of</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Arial" w:cs="Arial" w:eastAsia="Arial" w:hAnsi="Arial"/>
                <w:sz w:val="14"/>
                <w:szCs w:val="14"/>
                <w:color w:val="auto"/>
              </w:rPr>
              <w:t>restricted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280"/>
              <w:spacing w:after="0" w:line="159" w:lineRule="exact"/>
              <w:rPr>
                <w:sz w:val="20"/>
                <w:szCs w:val="20"/>
                <w:color w:val="auto"/>
              </w:rPr>
            </w:pPr>
            <w:r>
              <w:rPr>
                <w:rFonts w:ascii="Arial" w:cs="Arial" w:eastAsia="Arial" w:hAnsi="Arial"/>
                <w:sz w:val="14"/>
                <w:szCs w:val="14"/>
                <w:color w:val="auto"/>
                <w:w w:val="95"/>
              </w:rPr>
              <w:t>common stock</w:t>
            </w:r>
          </w:p>
        </w:tc>
        <w:tc>
          <w:tcPr>
            <w:tcW w:w="800" w:type="dxa"/>
            <w:vAlign w:val="bottom"/>
            <w:gridSpan w:val="3"/>
          </w:tcPr>
          <w:p>
            <w:pPr>
              <w:ind w:left="3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(16,749)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(16)</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60" w:type="dxa"/>
            <w:vAlign w:val="bottom"/>
            <w:shd w:val="clear" w:color="auto" w:fill="CCEEFF"/>
          </w:tcPr>
          <w:p>
            <w:pPr>
              <w:jc w:val="right"/>
              <w:ind w:right="52"/>
              <w:spacing w:after="0" w:line="131" w:lineRule="exact"/>
              <w:rPr>
                <w:sz w:val="20"/>
                <w:szCs w:val="20"/>
                <w:color w:val="auto"/>
              </w:rPr>
            </w:pPr>
            <w:r>
              <w:rPr>
                <w:rFonts w:ascii="Arial" w:cs="Arial" w:eastAsia="Arial" w:hAnsi="Arial"/>
                <w:sz w:val="14"/>
                <w:szCs w:val="14"/>
                <w:color w:val="auto"/>
                <w:w w:val="82"/>
              </w:rPr>
              <w:t>Balance at June 30,</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2015</w:t>
            </w:r>
          </w:p>
        </w:tc>
        <w:tc>
          <w:tcPr>
            <w:tcW w:w="800" w:type="dxa"/>
            <w:vAlign w:val="bottom"/>
            <w:gridSpan w:val="3"/>
            <w:shd w:val="clear" w:color="auto" w:fill="CCEEFF"/>
          </w:tcPr>
          <w:p>
            <w:pPr>
              <w:ind w:left="340"/>
              <w:spacing w:after="0" w:line="159" w:lineRule="exact"/>
              <w:rPr>
                <w:sz w:val="20"/>
                <w:szCs w:val="20"/>
                <w:color w:val="auto"/>
              </w:rPr>
            </w:pPr>
            <w:r>
              <w:rPr>
                <w:rFonts w:ascii="Arial" w:cs="Arial" w:eastAsia="Arial" w:hAnsi="Arial"/>
                <w:sz w:val="14"/>
                <w:szCs w:val="14"/>
                <w:color w:val="auto"/>
              </w:rPr>
              <w:t>— $</w:t>
            </w: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8,575,144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8,575</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1,012,739</w:t>
            </w:r>
          </w:p>
        </w:tc>
        <w:tc>
          <w:tcPr>
            <w:tcW w:w="34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1,013</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85,506</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19,033</w:t>
            </w:r>
          </w:p>
        </w:tc>
        <w:tc>
          <w:tcPr>
            <w:tcW w:w="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(1,288)</w:t>
            </w:r>
          </w:p>
        </w:tc>
        <w:tc>
          <w:tcPr>
            <w:tcW w:w="18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112,839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NORTHEAST BANCORP AND SUBSIDIARY</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16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7,141</w:t>
            </w:r>
          </w:p>
        </w:tc>
        <w:tc>
          <w:tcPr>
            <w:tcW w:w="80" w:type="dxa"/>
            <w:vAlign w:val="bottom"/>
          </w:tcPr>
          <w:p>
            <w:pPr>
              <w:spacing w:after="0"/>
              <w:rPr>
                <w:sz w:val="12"/>
                <w:szCs w:val="12"/>
                <w:color w:val="auto"/>
              </w:rPr>
            </w:pPr>
          </w:p>
        </w:tc>
        <w:tc>
          <w:tcPr>
            <w:tcW w:w="24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2,692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Adjustments to reconcile net income to net cash used in operating activities: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260"/>
              <w:spacing w:after="0" w:line="149" w:lineRule="exact"/>
              <w:rPr>
                <w:sz w:val="20"/>
                <w:szCs w:val="20"/>
                <w:color w:val="auto"/>
              </w:rPr>
            </w:pPr>
            <w:r>
              <w:rPr>
                <w:rFonts w:ascii="Arial" w:cs="Arial" w:eastAsia="Arial" w:hAnsi="Arial"/>
                <w:sz w:val="14"/>
                <w:szCs w:val="14"/>
                <w:color w:val="auto"/>
              </w:rPr>
              <w:t>Provision for loan losses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Gain recognized on real estate owned and other repossessed collateral, net</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w:t>
            </w:r>
          </w:p>
        </w:tc>
      </w:tr>
      <w:tr>
        <w:trPr>
          <w:trHeight w:val="149"/>
        </w:trPr>
        <w:tc>
          <w:tcPr>
            <w:tcW w:w="20" w:type="dxa"/>
            <w:vAlign w:val="bottom"/>
          </w:tcPr>
          <w:p>
            <w:pPr>
              <w:spacing w:after="0"/>
              <w:rPr>
                <w:sz w:val="12"/>
                <w:szCs w:val="12"/>
                <w:color w:val="auto"/>
              </w:rPr>
            </w:pPr>
          </w:p>
        </w:tc>
        <w:tc>
          <w:tcPr>
            <w:tcW w:w="5980" w:type="dxa"/>
            <w:vAlign w:val="bottom"/>
          </w:tcPr>
          <w:p>
            <w:pPr>
              <w:ind w:left="260"/>
              <w:spacing w:after="0" w:line="149" w:lineRule="exact"/>
              <w:rPr>
                <w:sz w:val="20"/>
                <w:szCs w:val="20"/>
                <w:color w:val="auto"/>
              </w:rPr>
            </w:pPr>
            <w:r>
              <w:rPr>
                <w:rFonts w:ascii="Arial" w:cs="Arial" w:eastAsia="Arial" w:hAnsi="Arial"/>
                <w:sz w:val="14"/>
                <w:szCs w:val="14"/>
                <w:color w:val="auto"/>
              </w:rPr>
              <w:t>Accretion of fair value adjustments on loans, net</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(11,899)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(7,120)</w:t>
            </w: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Accretion of fair value adjustments on deposits, net</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(560)</w:t>
            </w:r>
          </w:p>
        </w:tc>
      </w:tr>
      <w:tr>
        <w:trPr>
          <w:trHeight w:val="149"/>
        </w:trPr>
        <w:tc>
          <w:tcPr>
            <w:tcW w:w="20" w:type="dxa"/>
            <w:vAlign w:val="bottom"/>
          </w:tcPr>
          <w:p>
            <w:pPr>
              <w:spacing w:after="0"/>
              <w:rPr>
                <w:sz w:val="12"/>
                <w:szCs w:val="12"/>
                <w:color w:val="auto"/>
              </w:rPr>
            </w:pPr>
          </w:p>
        </w:tc>
        <w:tc>
          <w:tcPr>
            <w:tcW w:w="5980" w:type="dxa"/>
            <w:vAlign w:val="bottom"/>
          </w:tcPr>
          <w:p>
            <w:pPr>
              <w:ind w:left="260"/>
              <w:spacing w:after="0" w:line="149" w:lineRule="exact"/>
              <w:rPr>
                <w:sz w:val="20"/>
                <w:szCs w:val="20"/>
                <w:color w:val="auto"/>
              </w:rPr>
            </w:pPr>
            <w:r>
              <w:rPr>
                <w:rFonts w:ascii="Arial" w:cs="Arial" w:eastAsia="Arial" w:hAnsi="Arial"/>
                <w:sz w:val="14"/>
                <w:szCs w:val="14"/>
                <w:color w:val="auto"/>
              </w:rPr>
              <w:t>Accretion of fair value adjustments on borrowings, net</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w:t>
            </w: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Originations of loans held for sale</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(98,383)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(91,366)</w:t>
            </w:r>
          </w:p>
        </w:tc>
      </w:tr>
      <w:tr>
        <w:trPr>
          <w:trHeight w:val="149"/>
        </w:trPr>
        <w:tc>
          <w:tcPr>
            <w:tcW w:w="20" w:type="dxa"/>
            <w:vAlign w:val="bottom"/>
          </w:tcPr>
          <w:p>
            <w:pPr>
              <w:spacing w:after="0"/>
              <w:rPr>
                <w:sz w:val="12"/>
                <w:szCs w:val="12"/>
                <w:color w:val="auto"/>
              </w:rPr>
            </w:pPr>
          </w:p>
        </w:tc>
        <w:tc>
          <w:tcPr>
            <w:tcW w:w="5980" w:type="dxa"/>
            <w:vAlign w:val="bottom"/>
          </w:tcPr>
          <w:p>
            <w:pPr>
              <w:ind w:left="260"/>
              <w:spacing w:after="0" w:line="149" w:lineRule="exact"/>
              <w:rPr>
                <w:sz w:val="20"/>
                <w:szCs w:val="20"/>
                <w:color w:val="auto"/>
              </w:rPr>
            </w:pPr>
            <w:r>
              <w:rPr>
                <w:rFonts w:ascii="Arial" w:cs="Arial" w:eastAsia="Arial" w:hAnsi="Arial"/>
                <w:sz w:val="14"/>
                <w:szCs w:val="14"/>
                <w:color w:val="auto"/>
              </w:rPr>
              <w:t>Net proceeds from sales of loans held for sale</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103,170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89,665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Gain on sales of loans held for sale, net</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(1,650)</w:t>
            </w:r>
          </w:p>
        </w:tc>
      </w:tr>
      <w:tr>
        <w:trPr>
          <w:trHeight w:val="149"/>
        </w:trPr>
        <w:tc>
          <w:tcPr>
            <w:tcW w:w="20" w:type="dxa"/>
            <w:vAlign w:val="bottom"/>
          </w:tcPr>
          <w:p>
            <w:pPr>
              <w:spacing w:after="0"/>
              <w:rPr>
                <w:sz w:val="12"/>
                <w:szCs w:val="12"/>
                <w:color w:val="auto"/>
              </w:rPr>
            </w:pPr>
          </w:p>
        </w:tc>
        <w:tc>
          <w:tcPr>
            <w:tcW w:w="5980" w:type="dxa"/>
            <w:vAlign w:val="bottom"/>
          </w:tcPr>
          <w:p>
            <w:pPr>
              <w:ind w:left="260"/>
              <w:spacing w:after="0" w:line="149" w:lineRule="exact"/>
              <w:rPr>
                <w:sz w:val="20"/>
                <w:szCs w:val="20"/>
                <w:color w:val="auto"/>
              </w:rPr>
            </w:pPr>
            <w:r>
              <w:rPr>
                <w:rFonts w:ascii="Arial" w:cs="Arial" w:eastAsia="Arial" w:hAnsi="Arial"/>
                <w:sz w:val="14"/>
                <w:szCs w:val="14"/>
                <w:color w:val="auto"/>
              </w:rPr>
              <w:t>Gain on sales of portfolio loans, net</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(1,006)</w:t>
            </w: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Amortization of intangible assets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260"/>
              <w:spacing w:after="0" w:line="149" w:lineRule="exact"/>
              <w:rPr>
                <w:sz w:val="20"/>
                <w:szCs w:val="20"/>
                <w:color w:val="auto"/>
              </w:rPr>
            </w:pPr>
            <w:r>
              <w:rPr>
                <w:rFonts w:ascii="Arial" w:cs="Arial" w:eastAsia="Arial" w:hAnsi="Arial"/>
                <w:sz w:val="14"/>
                <w:szCs w:val="14"/>
                <w:color w:val="auto"/>
              </w:rPr>
              <w:t>Bank-owned life insurance income, net</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(451)</w:t>
            </w: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Depreciation of premises and equipment</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260"/>
              <w:spacing w:after="0" w:line="149" w:lineRule="exact"/>
              <w:rPr>
                <w:sz w:val="20"/>
                <w:szCs w:val="20"/>
                <w:color w:val="auto"/>
              </w:rPr>
            </w:pPr>
            <w:r>
              <w:rPr>
                <w:rFonts w:ascii="Arial" w:cs="Arial" w:eastAsia="Arial" w:hAnsi="Arial"/>
                <w:sz w:val="14"/>
                <w:szCs w:val="14"/>
                <w:color w:val="auto"/>
              </w:rPr>
              <w:t>Loss on sale of premises and equipment</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Deferred income tax benefit</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(2,672)</w:t>
            </w:r>
          </w:p>
        </w:tc>
      </w:tr>
      <w:tr>
        <w:trPr>
          <w:trHeight w:val="149"/>
        </w:trPr>
        <w:tc>
          <w:tcPr>
            <w:tcW w:w="20" w:type="dxa"/>
            <w:vAlign w:val="bottom"/>
          </w:tcPr>
          <w:p>
            <w:pPr>
              <w:spacing w:after="0"/>
              <w:rPr>
                <w:sz w:val="12"/>
                <w:szCs w:val="12"/>
                <w:color w:val="auto"/>
              </w:rPr>
            </w:pPr>
          </w:p>
        </w:tc>
        <w:tc>
          <w:tcPr>
            <w:tcW w:w="5980" w:type="dxa"/>
            <w:vAlign w:val="bottom"/>
          </w:tcPr>
          <w:p>
            <w:pPr>
              <w:ind w:left="260"/>
              <w:spacing w:after="0" w:line="149" w:lineRule="exact"/>
              <w:rPr>
                <w:sz w:val="20"/>
                <w:szCs w:val="20"/>
                <w:color w:val="auto"/>
              </w:rPr>
            </w:pPr>
            <w:r>
              <w:rPr>
                <w:rFonts w:ascii="Arial" w:cs="Arial" w:eastAsia="Arial" w:hAnsi="Arial"/>
                <w:sz w:val="14"/>
                <w:szCs w:val="14"/>
                <w:color w:val="auto"/>
              </w:rPr>
              <w:t>Stock-based compensation</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Amortization of securities, net</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1,237</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260"/>
              <w:spacing w:after="0" w:line="149" w:lineRule="exact"/>
              <w:rPr>
                <w:sz w:val="20"/>
                <w:szCs w:val="20"/>
                <w:color w:val="auto"/>
              </w:rPr>
            </w:pPr>
            <w:r>
              <w:rPr>
                <w:rFonts w:ascii="Arial" w:cs="Arial" w:eastAsia="Arial" w:hAnsi="Arial"/>
                <w:sz w:val="14"/>
                <w:szCs w:val="14"/>
                <w:color w:val="auto"/>
              </w:rPr>
              <w:t>Changes in other assets and liabilities: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Other assets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00"/>
              <w:spacing w:after="0" w:line="149" w:lineRule="exact"/>
              <w:rPr>
                <w:sz w:val="20"/>
                <w:szCs w:val="20"/>
                <w:color w:val="auto"/>
              </w:rPr>
            </w:pPr>
            <w:r>
              <w:rPr>
                <w:rFonts w:ascii="Arial" w:cs="Arial" w:eastAsia="Arial" w:hAnsi="Arial"/>
                <w:sz w:val="14"/>
                <w:szCs w:val="14"/>
                <w:color w:val="auto"/>
              </w:rPr>
              <w:t>Other liabilities</w:t>
            </w:r>
          </w:p>
        </w:tc>
        <w:tc>
          <w:tcPr>
            <w:tcW w:w="1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cash used in operating activities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(1,740)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(5,539)</w:t>
            </w:r>
          </w:p>
        </w:tc>
      </w:tr>
      <w:tr>
        <w:trPr>
          <w:trHeight w:val="142"/>
        </w:trPr>
        <w:tc>
          <w:tcPr>
            <w:tcW w:w="6000" w:type="dxa"/>
            <w:vAlign w:val="bottom"/>
            <w:gridSpan w:val="2"/>
          </w:tcPr>
          <w:p>
            <w:pPr>
              <w:spacing w:after="0" w:line="142" w:lineRule="exact"/>
              <w:rPr>
                <w:sz w:val="20"/>
                <w:szCs w:val="20"/>
                <w:color w:val="auto"/>
              </w:rPr>
            </w:pPr>
            <w:r>
              <w:rPr>
                <w:rFonts w:ascii="Arial" w:cs="Arial" w:eastAsia="Arial" w:hAnsi="Arial"/>
                <w:sz w:val="14"/>
                <w:szCs w:val="14"/>
                <w:color w:val="auto"/>
              </w:rPr>
              <w:t>Investing activities:</w:t>
            </w:r>
          </w:p>
        </w:tc>
        <w:tc>
          <w:tcPr>
            <w:tcW w:w="1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Purchases of available-for-sale securities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(48,481)</w:t>
            </w:r>
          </w:p>
        </w:tc>
      </w:tr>
      <w:tr>
        <w:trPr>
          <w:trHeight w:val="149"/>
        </w:trPr>
        <w:tc>
          <w:tcPr>
            <w:tcW w:w="20" w:type="dxa"/>
            <w:vAlign w:val="bottom"/>
          </w:tcPr>
          <w:p>
            <w:pPr>
              <w:spacing w:after="0"/>
              <w:rPr>
                <w:sz w:val="12"/>
                <w:szCs w:val="12"/>
                <w:color w:val="auto"/>
              </w:rPr>
            </w:pPr>
          </w:p>
        </w:tc>
        <w:tc>
          <w:tcPr>
            <w:tcW w:w="59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maturities and principal payments on available-for-sale securities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11,414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56,318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 purchases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(82,654)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(79,823)</w:t>
            </w:r>
          </w:p>
        </w:tc>
      </w:tr>
      <w:tr>
        <w:trPr>
          <w:trHeight w:val="149"/>
        </w:trPr>
        <w:tc>
          <w:tcPr>
            <w:tcW w:w="20" w:type="dxa"/>
            <w:vAlign w:val="bottom"/>
          </w:tcPr>
          <w:p>
            <w:pPr>
              <w:spacing w:after="0"/>
              <w:rPr>
                <w:sz w:val="12"/>
                <w:szCs w:val="12"/>
                <w:color w:val="auto"/>
              </w:rPr>
            </w:pPr>
          </w:p>
        </w:tc>
        <w:tc>
          <w:tcPr>
            <w:tcW w:w="59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sales of portfolio loans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23,260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9,305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 originations, principal collections, and purchased loan paydowns, net</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(24,585)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(4,372)</w:t>
            </w:r>
          </w:p>
        </w:tc>
      </w:tr>
      <w:tr>
        <w:trPr>
          <w:trHeight w:val="149"/>
        </w:trPr>
        <w:tc>
          <w:tcPr>
            <w:tcW w:w="20" w:type="dxa"/>
            <w:vAlign w:val="bottom"/>
          </w:tcPr>
          <w:p>
            <w:pPr>
              <w:spacing w:after="0"/>
              <w:rPr>
                <w:sz w:val="12"/>
                <w:szCs w:val="12"/>
                <w:color w:val="auto"/>
              </w:rPr>
            </w:pPr>
          </w:p>
        </w:tc>
        <w:tc>
          <w:tcPr>
            <w:tcW w:w="5980" w:type="dxa"/>
            <w:vAlign w:val="bottom"/>
          </w:tcPr>
          <w:p>
            <w:pPr>
              <w:ind w:left="120"/>
              <w:spacing w:after="0" w:line="149" w:lineRule="exact"/>
              <w:rPr>
                <w:sz w:val="20"/>
                <w:szCs w:val="20"/>
                <w:color w:val="auto"/>
              </w:rPr>
            </w:pPr>
            <w:r>
              <w:rPr>
                <w:rFonts w:ascii="Arial" w:cs="Arial" w:eastAsia="Arial" w:hAnsi="Arial"/>
                <w:sz w:val="14"/>
                <w:szCs w:val="14"/>
                <w:color w:val="auto"/>
              </w:rPr>
              <w:t>Purchases of premises and equipment</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(1,086)</w:t>
            </w: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sales of premises and equipment</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sales of real estate owned and other repossessed collateral</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1,674</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Redemption of regulatory stock, net</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w:t>
            </w:r>
          </w:p>
        </w:tc>
        <w:tc>
          <w:tcPr>
            <w:tcW w:w="1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80" w:type="dxa"/>
            <w:vAlign w:val="bottom"/>
          </w:tcPr>
          <w:p>
            <w:pPr>
              <w:ind w:left="120"/>
              <w:spacing w:after="0" w:line="142" w:lineRule="exact"/>
              <w:rPr>
                <w:sz w:val="20"/>
                <w:szCs w:val="20"/>
                <w:color w:val="auto"/>
              </w:rPr>
            </w:pPr>
            <w:r>
              <w:rPr>
                <w:rFonts w:ascii="Arial" w:cs="Arial" w:eastAsia="Arial" w:hAnsi="Arial"/>
                <w:sz w:val="14"/>
                <w:szCs w:val="14"/>
                <w:color w:val="auto"/>
              </w:rPr>
              <w:t>Net cash used in investing activities</w:t>
            </w:r>
          </w:p>
        </w:tc>
        <w:tc>
          <w:tcPr>
            <w:tcW w:w="1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(70,877)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(64,835)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Financing activities: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120"/>
              <w:spacing w:after="0" w:line="149" w:lineRule="exact"/>
              <w:rPr>
                <w:sz w:val="20"/>
                <w:szCs w:val="20"/>
                <w:color w:val="auto"/>
              </w:rPr>
            </w:pPr>
            <w:r>
              <w:rPr>
                <w:rFonts w:ascii="Arial" w:cs="Arial" w:eastAsia="Arial" w:hAnsi="Arial"/>
                <w:sz w:val="14"/>
                <w:szCs w:val="14"/>
                <w:color w:val="auto"/>
              </w:rPr>
              <w:t>Net increase in deposits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100,601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90,266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(decrease) increase in short-term borrowings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120"/>
              <w:spacing w:after="0" w:line="149" w:lineRule="exact"/>
              <w:rPr>
                <w:sz w:val="20"/>
                <w:szCs w:val="20"/>
                <w:color w:val="auto"/>
              </w:rPr>
            </w:pPr>
            <w:r>
              <w:rPr>
                <w:rFonts w:ascii="Arial" w:cs="Arial" w:eastAsia="Arial" w:hAnsi="Arial"/>
                <w:sz w:val="14"/>
                <w:szCs w:val="14"/>
                <w:color w:val="auto"/>
              </w:rPr>
              <w:t>Dividends paid on common stock</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(2,922)</w:t>
            </w: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common stock</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(6,666)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(2,823)</w:t>
            </w:r>
          </w:p>
        </w:tc>
      </w:tr>
      <w:tr>
        <w:trPr>
          <w:trHeight w:val="149"/>
        </w:trPr>
        <w:tc>
          <w:tcPr>
            <w:tcW w:w="20" w:type="dxa"/>
            <w:vAlign w:val="bottom"/>
          </w:tcPr>
          <w:p>
            <w:pPr>
              <w:spacing w:after="0"/>
              <w:rPr>
                <w:sz w:val="12"/>
                <w:szCs w:val="12"/>
                <w:color w:val="auto"/>
              </w:rPr>
            </w:pPr>
          </w:p>
        </w:tc>
        <w:tc>
          <w:tcPr>
            <w:tcW w:w="5980" w:type="dxa"/>
            <w:vAlign w:val="bottom"/>
          </w:tcPr>
          <w:p>
            <w:pPr>
              <w:ind w:left="120"/>
              <w:spacing w:after="0" w:line="149" w:lineRule="exact"/>
              <w:rPr>
                <w:sz w:val="20"/>
                <w:szCs w:val="20"/>
                <w:color w:val="auto"/>
              </w:rPr>
            </w:pPr>
            <w:r>
              <w:rPr>
                <w:rFonts w:ascii="Arial" w:cs="Arial" w:eastAsia="Arial" w:hAnsi="Arial"/>
                <w:sz w:val="14"/>
                <w:szCs w:val="14"/>
                <w:color w:val="auto"/>
              </w:rPr>
              <w:t>Repayment of FHLB borrowings and wholesale repurchase agreements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(15,000)</w:t>
            </w: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FHLB borrowings</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120"/>
              <w:spacing w:after="0" w:line="149" w:lineRule="exact"/>
              <w:rPr>
                <w:sz w:val="20"/>
                <w:szCs w:val="20"/>
                <w:color w:val="auto"/>
              </w:rPr>
            </w:pPr>
            <w:r>
              <w:rPr>
                <w:rFonts w:ascii="Arial" w:cs="Arial" w:eastAsia="Arial" w:hAnsi="Arial"/>
                <w:sz w:val="14"/>
                <w:szCs w:val="14"/>
                <w:color w:val="auto"/>
              </w:rPr>
              <w:t>Repayment of capital lease obligation</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w:t>
            </w: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5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80,208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86,699</w:t>
            </w:r>
          </w:p>
        </w:tc>
        <w:tc>
          <w:tcPr>
            <w:tcW w:w="160" w:type="dxa"/>
            <w:vAlign w:val="bottom"/>
            <w:shd w:val="clear" w:color="auto" w:fill="CCEEFF"/>
          </w:tcPr>
          <w:p>
            <w:pPr>
              <w:spacing w:after="0"/>
              <w:rPr>
                <w:sz w:val="12"/>
                <w:szCs w:val="12"/>
                <w:color w:val="auto"/>
              </w:rPr>
            </w:pPr>
          </w:p>
        </w:tc>
      </w:tr>
      <w:tr>
        <w:trPr>
          <w:trHeight w:val="142"/>
        </w:trPr>
        <w:tc>
          <w:tcPr>
            <w:tcW w:w="6000" w:type="dxa"/>
            <w:vAlign w:val="bottom"/>
            <w:gridSpan w:val="2"/>
          </w:tcPr>
          <w:p>
            <w:pPr>
              <w:spacing w:after="0" w:line="142" w:lineRule="exact"/>
              <w:rPr>
                <w:sz w:val="20"/>
                <w:szCs w:val="20"/>
                <w:color w:val="auto"/>
              </w:rPr>
            </w:pPr>
            <w:r>
              <w:rPr>
                <w:rFonts w:ascii="Arial" w:cs="Arial" w:eastAsia="Arial" w:hAnsi="Arial"/>
                <w:sz w:val="14"/>
                <w:szCs w:val="14"/>
                <w:color w:val="auto"/>
              </w:rPr>
              <w:t>Net increase in cash and cash equivalents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7,591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16,325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5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82,259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65,934</w:t>
            </w:r>
          </w:p>
        </w:tc>
        <w:tc>
          <w:tcPr>
            <w:tcW w:w="160" w:type="dxa"/>
            <w:vAlign w:val="bottom"/>
            <w:shd w:val="clear" w:color="auto" w:fill="CCEEFF"/>
          </w:tcPr>
          <w:p>
            <w:pPr>
              <w:spacing w:after="0"/>
              <w:rPr>
                <w:sz w:val="12"/>
                <w:szCs w:val="12"/>
                <w:color w:val="auto"/>
              </w:rPr>
            </w:pPr>
          </w:p>
        </w:tc>
      </w:tr>
      <w:tr>
        <w:trPr>
          <w:trHeight w:val="142"/>
        </w:trPr>
        <w:tc>
          <w:tcPr>
            <w:tcW w:w="600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year</w:t>
            </w:r>
          </w:p>
        </w:tc>
        <w:tc>
          <w:tcPr>
            <w:tcW w:w="15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89,850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82,259</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Supplemental schedule of cash flow information:</w:t>
            </w: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120"/>
              <w:spacing w:after="0" w:line="149" w:lineRule="exact"/>
              <w:rPr>
                <w:sz w:val="20"/>
                <w:szCs w:val="20"/>
                <w:color w:val="auto"/>
              </w:rPr>
            </w:pPr>
            <w:r>
              <w:rPr>
                <w:rFonts w:ascii="Arial" w:cs="Arial" w:eastAsia="Arial" w:hAnsi="Arial"/>
                <w:sz w:val="14"/>
                <w:szCs w:val="14"/>
                <w:color w:val="auto"/>
              </w:rPr>
              <w:t>Interest paid</w:t>
            </w:r>
          </w:p>
        </w:tc>
        <w:tc>
          <w:tcPr>
            <w:tcW w:w="16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7,487</w:t>
            </w:r>
          </w:p>
        </w:tc>
        <w:tc>
          <w:tcPr>
            <w:tcW w:w="80" w:type="dxa"/>
            <w:vAlign w:val="bottom"/>
          </w:tcPr>
          <w:p>
            <w:pPr>
              <w:spacing w:after="0"/>
              <w:rPr>
                <w:sz w:val="12"/>
                <w:szCs w:val="12"/>
                <w:color w:val="auto"/>
              </w:rPr>
            </w:pPr>
          </w:p>
        </w:tc>
        <w:tc>
          <w:tcPr>
            <w:tcW w:w="24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7,496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 paid, net of refunds received</w:t>
            </w: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Supplemental schedule of noncash investing and financing activities: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Transfers from loans to real estate owned and other repossessed collateral, net</w:t>
            </w:r>
          </w:p>
        </w:tc>
        <w:tc>
          <w:tcPr>
            <w:tcW w:w="16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1,764</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1,531</w:t>
            </w:r>
          </w:p>
        </w:tc>
        <w:tc>
          <w:tcPr>
            <w:tcW w:w="16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accounting and reporting policies of Northeast Bancorp and Subsidiary ("Company" or "Northeast") conform to accounting principles generally accepted in the United States of America ("GAAP") and conform to practices within the financial services industry.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Company is a Maine corporation and a bank holding company registered with the Federal Reserve Bank of Boston ("FRB") under the Bank Holding Company Act of 1956. As a bank holding company, the Company is subject to the regulation and supervision of the FRB. The Company provides a full range of banking services to individual and corporate customers throughout south-central and western Maine and conducts loan purchasing and origination activities nationwide through its wholly-owned subsidiary, Northeast Bank (the "Bank"), a Maine state-chartered universal bank. The Bank is subject to supervision and regulation by applicable state and federal banking agencies, including the State of Maine Bureau of Financial Institutions, the Federal Deposit Insurance Corporation ("FDIC"), and the FRB. The Bank faces competition from banks and other financial institutions.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 Accounting</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December 29, 2010, the Company merged with FHB Formation LLC (the "Merger"). The Company applied the acquisition method of accounting to this business combination, which represented an acquisition by FHB Formation LLC ("FHB") of Northeast, with Northeast as the surviving company. Under the acquisition method, the acquiring entity in a business combination recognizes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In the Merger, amounts allocated to assets acquired and liabilities assumed were greater than the purchase price, which resulted in the recognition of a bargain purchase gain. Acquisition-related costs were expensed as incurred.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accompanying consolidated financial statements include the accounts of Northeast Bancorp, and its wholly-owned subsidiary, Northeast Bank (including the Bank's wholly-owned subsidiaries). All significant intercompany transactions and balances have been eliminated in consolidation.</w:t>
      </w:r>
    </w:p>
    <w:p>
      <w:pPr>
        <w:spacing w:after="0" w:line="139"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 xml:space="preserve">NBN Capital Trust II, NBN Capital Trust III and NBN Capital Trust IV are considered affiliates and are deconsolidated pursuant to criteria established by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investments in these affiliates were $496 thousand in aggregate and are included in other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previously reported amounts have been reclassified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financial statements have been prepared in conformity with GAAP. In preparing the financial statements, management is required to make estimates and assumptions that affect the reported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amounts of assets and liabilities and the disclosure of contingent assets and liabilities as of the date of the statement of financial condition and income and expenses for the period. Actual results could differ significantly from those estimates.</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Material estimates that are particularly susceptible to significant change relate to the determination of the allowance for loan losses, the determination of fair values in conjunction with the application of acquisition accounting, and the on-going evaluation of assets for potential impairment.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 of Credit Risk</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Most of the Community Bank's business activity is with customers located within the State of Maine. However, the LASG purchase and origination, as well as the SBA National origination activities are diversified across the country. In all regions, the Company has emphasized the origination and purchase of commercial real estate loans. Repayment of loans is expected to come from cash flows of the borrower. Losses on secured loans are limited by the value of the collateral upon default of the borrowers. The Company does not have any significant concentrations to any one industry or customer.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For purposes of presentation in the consolidated statements of cash flows, cash and cash equivalents consist of cash and due from banks and short-term investments. The Company is required to maintain a certain reserve balance in the form of cash or deposits with other financial institutions. At June 30, 2015 and 2014, such reserve balances totaled $4.4 million and $2.4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Securities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Securities for which the Company has the positive intent and ability to hold to maturity are classified as held to maturity and carried at amortized cost. Those securities held for indefinite periods of time but not necessarily to maturity are classified as available for sale. Securities held for indefinite periods of time include securities that management intends to use as part of its asset/liability, liquidity, or capital management strategies and may be sold in response to changes in interest rates, maturities, asset/liability mix, liquidity needs, regulatory capital needs or other business factors. Securities available for sale are carried at estimated fair value with unrealized gains and losses reported on an after-tax basis in stockholders' equity as accumulated other comprehensive income or loss.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Interest and dividends on securities are recorded on the accrual method. Premiums and discounts on securities are amortized or accreted into interest income by the level-yield method over the remaining period to contractual maturity, adjusted for the effect of actual prepayments in the case of mortgage-backed securities. These estimates of prepayment assumptions are made based upon the actual performance of the underlying security, current interest rates, the general market consensus regarding changes in mortgage interest rates, the contractual repayment terms of the underlying loans, the priority rights of the investors to the cash flows from the mortgage securities and other economic conditions. When differences arise between anticipated prepayments and actual prepayments, the effective yield is recalculated to reflect actual payments to date and anticipated future payments. Unamortized premium or discount is adjusted to the amount that would have existed had the new effective yield been applied since purchase, with a corresponding charge or credit to interest income.</w:t>
      </w:r>
    </w:p>
    <w:p>
      <w:pPr>
        <w:spacing w:after="0" w:line="172"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Security transactions are recorded on the trade date. Realized gains and losses are determined using the specific identification method and are recorded in non-interest income.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Management evaluates securities for other-than-temporary impairment on a periodic basis. Factors considered in determining whether an impairment is other-than-temporary include: (1) the length of time and the extent to which the fair value has been less than cost, (2) the financial condition and near-term prospects of the issuer and (3) the intent and ability of the Company to hold the investment for a period of time sufficient to allow for any anticipated recovery in fair value. If the Company intends to sell an impaired security, the Company records an other-than-temporary loss in an amount equal to the entire difference between the fair value and amortized cost. If a security is determined to be other-than-temporarily impaired but the Company does not intend to sell the security, only the credit portion of the estimated loss is recognized in earnings, with the other portion of the loss recognized in other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Home Loan Bank Stock</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During the periods presented, the Company has owned investments in the stock of the Federal Home Loan Bank of Boston ("FHLBB"). No ready market exists for these stocks, and they have no quoted market values. The Bank, as a member of the FHLBB, is required to maintain investments in the capital stock of the FHLBB equal to their membership base investments plus an activity-based investment determined according to the Bank's level of outstanding FHLBB advances. The Company reviews its investments in FHLB stock periodically to determine if other-than-temporary impairment exists. The Company reviews recent public filings, rating agency analysis and other factors, when making the determination.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 Held for Sale and Loan Servicing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Residential real estate mortgage loans are designated as held for sale based on intent, which is determined when loans are underwritten. Loans originated and held for sale in the secondary market are carried at the lower of cost or fair value. The SBA National loans are designated as held for sale based on intent to sell, which is determined on a monthly basis. The guaranteed portions of the loans are transferred to held for sale and are carried at the lower of cost or fair value. Realized gains and losses on sales of loans are determined using the specific identification method. Direct loan originations costs and fees related to loans held for sale are deferred upon origination and are recognized on the date of sale.</w:t>
      </w:r>
    </w:p>
    <w:p>
      <w:pPr>
        <w:spacing w:after="0" w:line="170"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its mortgage banking activities, the Company sells loans both on a servicing released and servicing retained basis. The Company recognizes as separate assets the rights to service mortgage loans for others, which is included in other assets on the consolidated balance sheet. The Company capitalizes mortgage servicing rights at their allocated cost (based on the relative fair values of the rights and the related loans) upon the sale of the related loans. The Company uses the amortization method to subsequently measure servicing assets. Mortgage servicing rights are amortized over the estimated weighted average life of the loans. The Company's assumptions with respect to prepayments, which affect the estimated average life of the loans, are adjusted quarterly and as necessary to reflect current circumstances. The Company evaluates the estimated life and fair value of its servicing portfolio based on data that is disaggregated to reflect note rate, type, and term on the underlying loans. The Company performs an assessment of capitalized mortgage servicing rights for impairment based on the current fair value of those rights. Fair value of the mortgage servicing rights is based on a valuation model that calculates the present value of estimated future net servicing income. The valuation model incorporates assumptions that market participants would use in estimating future net servicing income, such as the cost to service, the discount rate, prepayment speeds and default rates and losses.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Impairment is recognized through a valuation allowance to the extent that fair value is less than the capitalized amount. If the Company later determines that all or a portion of the impairment no longer exists, a reduction of the allowance may be recorded as an increase to income.</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its SBA national activity, the Company recognizes the SBA servicing rights as separate assets, which is included in other assets on the consolidated balance sheet. The Company capitalizes SBA servicing rights at the net present value of the fee income and fee cost spread upon the sale of the related loans. The Company uses the amortization method to subsequently measure servicing assets. The SBA servicing rights are amortized over the estimated weighted average life of the loans. The Company's assumptions with respect to prepayments, which affect the estimated average life of the loans, are adjusted quarterly and as necessary to reflect current circumstances. The Company evaluates the estimated life and fair value of its servicing portfolio based on data that is disaggregated to reflect note rate, type, and term on the underlying loans. The Company performs an assessment of capitalized SBA servicing rights for impairment based on the current fair value of those rights. Fair value of the mortgage servicing rights is based on a valuation model that calculates the present value of estimated future net servicing income. The valuation model incorporates assumptions that market participants would use in estimating future net servicing income, such as the cost to service, the discount rate, prepayment speeds and default rates and losses. Impairment is recognized through a valuation allowance to the extent that fair value is less than the capitalized amount. If the Company later determines that all or a portion of the impairment no longer exists, a reduction of the allowance may be recorded as an increase to income.</w:t>
      </w:r>
    </w:p>
    <w:p>
      <w:pPr>
        <w:spacing w:after="0" w:line="18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the mortgage loans to be held for sale, the Company often offers interest rate lock commitments to prospective borrowers. The Company manages this interest rate risk by entering into offsetting forward sale agreements with third party investors for certain funded loans and loan commitments. The Company uses "best efforts" forward loan sale commitments to mitigate the risk of potential decreases in the values of loans that would result from the exercise of the derivative loan commitments. The net effect of the derivative loan commitments and forward sale agreements is nominal at each date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Loans purchased by the Company are accounted for under ASC 310-30, Receivables—Loans and Debt Securities Acquired with Deteriorated Credit Quality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business,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consumer, residential real estate, and purchased loans. Risk characteristics relevant to each portfolio segment are as follows:</w:t>
      </w:r>
    </w:p>
    <w:p>
      <w:pPr>
        <w:spacing w:after="0" w:line="225" w:lineRule="exact"/>
        <w:rPr>
          <w:sz w:val="20"/>
          <w:szCs w:val="20"/>
          <w:color w:val="auto"/>
        </w:rPr>
      </w:pPr>
    </w:p>
    <w:p>
      <w:pPr>
        <w:ind w:left="540" w:right="60" w:firstLine="351"/>
        <w:spacing w:after="0" w:line="256"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97" w:lineRule="exact"/>
        <w:rPr>
          <w:sz w:val="20"/>
          <w:szCs w:val="20"/>
          <w:color w:val="auto"/>
        </w:rPr>
      </w:pPr>
    </w:p>
    <w:p>
      <w:pPr>
        <w:ind w:left="540" w:firstLine="351"/>
        <w:spacing w:after="0" w:line="294"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70" w:lineRule="exact"/>
        <w:rPr>
          <w:sz w:val="20"/>
          <w:szCs w:val="20"/>
          <w:color w:val="auto"/>
        </w:rPr>
      </w:pPr>
    </w:p>
    <w:p>
      <w:pPr>
        <w:ind w:left="540" w:right="80" w:firstLine="351"/>
        <w:spacing w:after="0" w:line="259"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Continued weakness in national or regional economic conditions, and a corresponding weakness in consumer or business spending, will have an adverse effect on the credit quality of this segment.</w:t>
      </w:r>
    </w:p>
    <w:p>
      <w:pPr>
        <w:spacing w:after="0" w:line="194" w:lineRule="exact"/>
        <w:rPr>
          <w:sz w:val="20"/>
          <w:szCs w:val="20"/>
          <w:color w:val="auto"/>
        </w:rPr>
      </w:pPr>
    </w:p>
    <w:p>
      <w:pPr>
        <w:ind w:left="540" w:right="80" w:firstLine="351"/>
        <w:spacing w:after="0" w:line="33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39" w:lineRule="exact"/>
        <w:rPr>
          <w:sz w:val="20"/>
          <w:szCs w:val="20"/>
          <w:color w:val="auto"/>
        </w:rPr>
      </w:pPr>
    </w:p>
    <w:p>
      <w:pPr>
        <w:ind w:left="540" w:right="20" w:firstLine="351"/>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w:t>
      </w:r>
    </w:p>
    <w:p>
      <w:pPr>
        <w:spacing w:after="0" w:line="174"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20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4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years ended June 30, 2015 or 2014.</w:t>
      </w:r>
    </w:p>
    <w:p>
      <w:pPr>
        <w:spacing w:after="0" w:line="186"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TDRs are individually reviewed for impairment.</w:t>
      </w:r>
    </w:p>
    <w:p>
      <w:pPr>
        <w:spacing w:after="0" w:line="201" w:lineRule="exact"/>
        <w:rPr>
          <w:sz w:val="20"/>
          <w:szCs w:val="20"/>
          <w:color w:val="auto"/>
        </w:rPr>
      </w:pPr>
    </w:p>
    <w:p>
      <w:pPr>
        <w:ind w:right="60" w:firstLine="351"/>
        <w:spacing w:after="0" w:line="308" w:lineRule="auto"/>
        <w:rPr>
          <w:sz w:val="20"/>
          <w:szCs w:val="20"/>
          <w:color w:val="auto"/>
        </w:rPr>
      </w:pPr>
      <w:r>
        <w:rPr>
          <w:rFonts w:ascii="Arial" w:cs="Arial" w:eastAsia="Arial" w:hAnsi="Arial"/>
          <w:sz w:val="15"/>
          <w:szCs w:val="15"/>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Premises and Equipment</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Premises and equipment are stated at cost less accumulated depreciation. Depreciation is computed by the straight-line method over the estimated useful lives of the assets. Premises and equipment under capital leases are amortized over the estimated useful lives of the assets or the respective lease terms, whichever is shorter. Maintenance and repairs are charged to expense as incurred and the cost of major renewals and betterments are capitalized.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Identifiable intangible assets subject to amortization are amortized over the estimated lives of the intangibles using a method that approximates the amount of economic benefits that are realized by the Company. Identifiable intangible assets are reviewed for impairment whenever events or changes in circumstances indicate that the carrying amount of the assets may not be recoverable.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Owned and Other Repossessed Collateral</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Assets in control of the Company or acquired through foreclosure or repossession are held for sale and are initially recorded at fair value less cost to sell at the date control is established, resulting in a new cost basis. The amount by which the recorded investment in the loan exceeds the fair value (net of estimated cost to sell) of the foreclosed asset is charged to the allowance for loan losses. Subsequent declines in the fair value of the foreclosed asset below the new cost basis are recorded through the use of a valuation allowance or through a direct write-off. Subsequent increases in the fair value may only be recorded to the extent of any previously recognized valuation allowance. Rental revenue received and gains and losses recognized on foreclosed assets is included in other noninterest income, whereas operating expenses and changes in the valuation allowance relating to foreclosed assets are included in other noninterest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Company reviews long-lived assets, including premises and equipment, for impairment whenever events or changes in business circumstances indicate that the remaining useful life may warrant revision or that the carrying amount of the long-lived asset may not be fully recoverable. The Company performs undiscounted cash flow analyses to determine if impairment exists. If impairment is determined to exist, any related impairment loss is calculated based on fair value. Impairment losses on assets to be disposed of, if any, are based on the estimated proceeds to be received, less costs of disposal.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Bank Owned Life Insurance</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Increases in the cash surrender value of life insurance policies, as well as death benefits received net of any cash surrender value, are recorded in other noninterest income, and are not subject to income taxes. The cash surrender value of the policies not previously endorsed to participants are recorded as assets of the Company. Any amounts owed to participants relating to these policies are recorded as liabilities of the Company. The Company reviews the financial strength of the insurance carriers prior to the purchase of life insurance policies and no less than annually thereafter.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Company's policy is to recognize interest and penalties assessed on uncertain tax positions in income tax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480" w:firstLine="348"/>
        <w:spacing w:after="0" w:line="256" w:lineRule="auto"/>
        <w:rPr>
          <w:sz w:val="20"/>
          <w:szCs w:val="20"/>
          <w:color w:val="auto"/>
        </w:rPr>
      </w:pPr>
      <w:r>
        <w:rPr>
          <w:rFonts w:ascii="Arial" w:cs="Arial" w:eastAsia="Arial" w:hAnsi="Arial"/>
          <w:sz w:val="18"/>
          <w:szCs w:val="18"/>
          <w:color w:val="auto"/>
        </w:rPr>
        <w:t>The Company's stock-based compensation plans provide for awards of stock options, restricted stock and other stock-based compensation to directors, officers and employees. The cost of employee services received in exchange for awards of equity instruments is based on the grant-date fair value of those awards. Compensation cost is recognized over the requisite service period as a component of compensation expense. For awards with graded-vesting, compensation cost is recognized on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straight-line basis over the requisite service period for the entire award. The Company uses the Black-Scholes model to estimate the fair value of stock options, while the market price of the Company's common stock at the date of grant is used for restricted stock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During the first quarter of fiscal 2014, the Company ceased all investment brokerage operations. The results of such operations are classified as discontinued operations in the statements of income for each period presented. The Company has eliminated all intercompany transactions related to discontinued operations for each period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Comprehensive Income</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unrealized gains and losses on securities available for sale, unrealized losses related to factors other than credit on debt securities, unrealized gains and losses on cash flow hedges and deferred gains on hedge accounting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25" w:lineRule="exact"/>
        <w:rPr>
          <w:sz w:val="20"/>
          <w:szCs w:val="20"/>
          <w:color w:val="auto"/>
        </w:rPr>
      </w:pPr>
    </w:p>
    <w:p>
      <w:pPr>
        <w:jc w:val="both"/>
        <w:ind w:right="80" w:firstLine="351"/>
        <w:spacing w:after="0" w:line="303" w:lineRule="auto"/>
        <w:rPr>
          <w:sz w:val="20"/>
          <w:szCs w:val="20"/>
          <w:color w:val="auto"/>
        </w:rPr>
      </w:pPr>
      <w:r>
        <w:rPr>
          <w:rFonts w:ascii="Arial" w:cs="Arial" w:eastAsia="Arial" w:hAnsi="Arial"/>
          <w:sz w:val="15"/>
          <w:szCs w:val="15"/>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(inclusive of participating securities). Diluted earnings per share have been calculated in a manner similar to that of basic earnings per share except that the weighted average number of common shares outstanding is increased to include the number of additional common shares that would have been outstanding if all potentially dilutive common shares (such as those resulting from the exercise of stock options or the attainment of performance measures) were issued during the period, computed using the treasury stock method.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Derivative instruments are carried at fair value in the Company's financial statements. The accounting for changes in the fair value of a derivative instrument is determined by whether it has been designated and qualifies as part of a hedging relationship, and further, by the type of hedging relationship. For those derivative instruments that are designated and qualify as hedging instruments, the Company designates the hedging instrument, based upon the exposure being hedged, as either a fair value hedge or a cash flow hedge. For derivative instruments that are designated and qualify as a cash flow hedge (i.e., hedging the exposure to variability in expected future cash flows that is attributable to a particular risk), the effective portion of the gain or loss on the derivative instrument is reported as a component of other comprehensive income, net of related tax, and reclassified into earnings in the same period or periods during which the hedged transactions affect earnings. The remaining gain or loss on the derivative instrument in excess of the cumulative change in the present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value of future cash flows of the hedged item (i.e., the ineffective portion), if any, is recognized in current earnings during the period. For derivative instruments designated and qualifying as a fair value hedge (i.e., hedging the exposure to changes in the fair value of an asset or liability or an identified portion thereof that is attributable to the hedged risk), the gain or loss on the derivative instrument, as well as the offsetting gain or loss on the hedged item attributable to the hedged risk, are recognized in current earnings during the period of the change in fair values. At the inception of a hedge, the Company documents certain items, including but not limited to the following: the relationship between hedging instruments and hedged items, Company risk management objectives, hedging strategies, and the evaluation of hedge transaction effectiveness. Documentation includes linking all derivatives designated as fair value or cash flow hedges to specific assets and liabilities on the balance sheet or to specific forecasted transactions.</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Hedge accounting is discontinued prospectively when (1) a derivative is no longer highly effective in offsetting changes in the fair value or cash flow of a hedged item, (2) a derivative expires or is sold, (3) a derivative is de-designated as a hedge, because it is unlikely that a forecasted transaction will occur, or (4) it is determined that designation of a derivative as a hedge is no longer appropriate. For derivative instruments not designated as hedging instruments, the gain or loss on the derivative is recognized in current earnings during the period of change.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Transfer of Financial Assets</w:t>
      </w:r>
    </w:p>
    <w:p>
      <w:pPr>
        <w:spacing w:after="0" w:line="225"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There are no agreements to repurchase before their maturity.</w:t>
      </w:r>
    </w:p>
    <w:p>
      <w:pPr>
        <w:spacing w:after="0" w:line="197"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Company sells financial assets in the normal course of business, the majority of which are related to the SBA-guaranteed portion of loans, as well as residential mortgage loan sales through established programs, commercial loan sales through participation agreements, and other individual or portfolio loan and securities sales. In accordance with accounting guidance for asset transfers, the Company considers any ongoing involvement with transferred assets in determining whether the assets can be derecognized from the balance sheet. With the exception of servicing and certain performance-based guarantees, the Company's continuing involvement with financial assets sold is minimal and generally limited to market customary representation and warranty clauses.</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When the Company sells financial assets, it may retain servicing rights and/or other interests in the financial assets. The gain or loss on sale depends on the previous carrying amount of the transferred financial assets and the consideration received and any liabilities incurred in exchange for the transferred assets. Upon transfer, any servicing assets and other interests held by the Company are carried at the lower of cost or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Company's operations are considered by management to be aggregated in one reportable operating segment.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In January 2014, the FASB issued ASU No. 2014-01, </w:t>
      </w:r>
      <w:r>
        <w:rPr>
          <w:rFonts w:ascii="Arial" w:cs="Arial" w:eastAsia="Arial" w:hAnsi="Arial"/>
          <w:sz w:val="16"/>
          <w:szCs w:val="16"/>
          <w:i w:val="1"/>
          <w:iCs w:val="1"/>
          <w:color w:val="auto"/>
        </w:rPr>
        <w:t>Investments—Equity Method and Joint Ventures (Topic 323): Accounting for Investments in Qualified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Affordable Housing Projects </w:t>
      </w:r>
      <w:r>
        <w:rPr>
          <w:rFonts w:ascii="Arial" w:cs="Arial" w:eastAsia="Arial" w:hAnsi="Arial"/>
          <w:sz w:val="16"/>
          <w:szCs w:val="16"/>
          <w:color w:val="auto"/>
        </w:rPr>
        <w:t>("ASU 2014-01"). The amendments in ASU 2014-01 provide guidance on accounting for investments by a reporting entity in flow-through limited liability entities that manage or invest in affordable housing projects that qualify for the low-income housing tax credit. The amendments permit reporting entities to make an accounting policy election to account for their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(benefit). The amendments are effective for fiscal years, and interim periods within those years, beginning after December 31, 2014 and should be applied retrospectively to all periods presented. Early adoption is permitted. The Company does not expect ASU 2014-01 to have material impact on the consolidated financial statements.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May 2014, the Financial Accounting Standards Board ("FASB") issued ASU 2014-09</w:t>
      </w:r>
      <w:r>
        <w:rPr>
          <w:rFonts w:ascii="Arial" w:cs="Arial" w:eastAsia="Arial" w:hAnsi="Arial"/>
          <w:sz w:val="16"/>
          <w:szCs w:val="16"/>
          <w:i w:val="1"/>
          <w:iCs w:val="1"/>
          <w:color w:val="auto"/>
        </w:rPr>
        <w:t>, Revenue from Contracts with Customers (Topic 606)</w:t>
      </w:r>
      <w:r>
        <w:rPr>
          <w:rFonts w:ascii="Arial" w:cs="Arial" w:eastAsia="Arial" w:hAnsi="Arial"/>
          <w:sz w:val="16"/>
          <w:szCs w:val="16"/>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2014-09 is effective January 1, 2017 and is not expected to have a significant impact on the Company's financial statements. Additionally, in August 2015 the FAB issued ASU 2015-14, which effectively deferred the adoption of ASU 2014-09 by one year,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w:t>
      </w:r>
    </w:p>
    <w:p>
      <w:pPr>
        <w:spacing w:after="0" w:line="177"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 xml:space="preserve">In June 2014, the FASB issued ASU 2014-11, </w:t>
      </w:r>
      <w:r>
        <w:rPr>
          <w:rFonts w:ascii="Arial" w:cs="Arial" w:eastAsia="Arial" w:hAnsi="Arial"/>
          <w:sz w:val="16"/>
          <w:szCs w:val="16"/>
          <w:i w:val="1"/>
          <w:iCs w:val="1"/>
          <w:color w:val="auto"/>
        </w:rPr>
        <w:t>Transfers and Servicing (Topic 860): Repurchase-to-Maturity Transactions, Repurchase Financings,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Disclosures </w:t>
      </w:r>
      <w:r>
        <w:rPr>
          <w:rFonts w:ascii="Arial" w:cs="Arial" w:eastAsia="Arial" w:hAnsi="Arial"/>
          <w:sz w:val="16"/>
          <w:szCs w:val="16"/>
          <w:color w:val="auto"/>
        </w:rPr>
        <w:t>("ASU 2014-11"). ASU 2014-11 requires that repurchase-to-maturity transactions be accounted for as secured borrowings consistent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other repurchase agreements. In addition, ASU 2014-11 requires separate accounting for repurchase financings, which entails the transfer of a financial asset executed contemporaneously with a repurchase agreement with the same counterparty. ASU 2014-11 requires entities to disclose certain information about transfers accounted for as sales in transactions that are economically similar to repurchase agreements. In addition, ASU 2014-11 requires disclosures related to collateral, remaining contractual tenor and of the potential risks associated with repurchase agreements, securities lending transactions and repurchase-to-maturity transactions. ASU 2014-11 became effective January 1, 2015 and did not have an impact on the Company's financial statements.</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In August 2014, the FASB issued ASU 2014-14, </w:t>
      </w:r>
      <w:r>
        <w:rPr>
          <w:rFonts w:ascii="Arial" w:cs="Arial" w:eastAsia="Arial" w:hAnsi="Arial"/>
          <w:sz w:val="18"/>
          <w:szCs w:val="18"/>
          <w:i w:val="1"/>
          <w:iCs w:val="1"/>
          <w:color w:val="auto"/>
        </w:rPr>
        <w:t>Receivables—Troubled Debt Restructurings by Creditors (Subtopic 310-40): 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Government-Guaranteed Mortgage Loans upon Foreclosure ("</w:t>
      </w:r>
      <w:r>
        <w:rPr>
          <w:rFonts w:ascii="Arial" w:cs="Arial" w:eastAsia="Arial" w:hAnsi="Arial"/>
          <w:sz w:val="18"/>
          <w:szCs w:val="18"/>
          <w:color w:val="auto"/>
        </w:rPr>
        <w:t>ASU 2014-14</w:t>
      </w:r>
      <w:r>
        <w:rPr>
          <w:rFonts w:ascii="Arial" w:cs="Arial" w:eastAsia="Arial" w:hAnsi="Arial"/>
          <w:sz w:val="18"/>
          <w:szCs w:val="18"/>
          <w:i w:val="1"/>
          <w:iCs w:val="1"/>
          <w:color w:val="auto"/>
        </w:rPr>
        <w:t>")</w:t>
      </w:r>
      <w:r>
        <w:rPr>
          <w:rFonts w:ascii="Arial" w:cs="Arial" w:eastAsia="Arial" w:hAnsi="Arial"/>
          <w:sz w:val="18"/>
          <w:szCs w:val="18"/>
          <w:color w:val="auto"/>
        </w:rPr>
        <w:t>. ASU 2014-14 affects creditors that hold government-guaranteed mortgage loans,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those guaranteed by the Federal Housing Administration (FHA) of the 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Department of Housing and Urban Development (HUD), and the U.S. Department of Veterans Affairs (VA). The update requires that, upon foreclosure, a guaranteed mortgage loan be derecognized and a separate other receivable be recognized when specific criteria are met. ASU 2014-14 is effective for fiscal years, and interim periods within those fiscal years, beginning after December 15, 2014. The adoption of this guidance is not expected to have a significant impact on the Company's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Securities Available-for-Sale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presents a summary of the amortized cost, gross unrealized holding gains and losses, and fair value of securities available for sale.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June 30, 2015</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2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48,230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53,678</w:t>
            </w:r>
          </w:p>
        </w:tc>
      </w:tr>
      <w:tr>
        <w:trPr>
          <w:trHeight w:val="20"/>
        </w:trPr>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102,744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101,908</w:t>
            </w: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4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June 30, 2014</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2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48,418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66,744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65,463</w:t>
            </w:r>
          </w:p>
        </w:tc>
      </w:tr>
      <w:tr>
        <w:trPr>
          <w:trHeight w:val="20"/>
        </w:trPr>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115,159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113,881</w:t>
            </w: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At June 30, 2015, the Company held no securities of any single issuer (excluding the U. S. Government and federal agencies) with a book value that exceeded 10 percent of stockholders' equity.</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fiscal 2015 or fiscal 2014. At June 30, 2015, investment securities with a fair value of approximately $12.4 million were pledged as collateral to secure outstanding wholesale repurchase agreements and FHLB advances.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Securities Available-for-Sale (Continued)</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85"/>
              </w:rPr>
              <w:t>June 30, 2015</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left="204"/>
              <w:spacing w:after="0" w:line="129" w:lineRule="exact"/>
              <w:rPr>
                <w:sz w:val="20"/>
                <w:szCs w:val="20"/>
                <w:color w:val="auto"/>
              </w:rPr>
            </w:pPr>
            <w:r>
              <w:rPr>
                <w:rFonts w:ascii="Arial" w:cs="Arial" w:eastAsia="Arial" w:hAnsi="Arial"/>
                <w:sz w:val="14"/>
                <w:szCs w:val="14"/>
                <w:b w:val="1"/>
                <w:bCs w:val="1"/>
                <w:color w:val="auto"/>
                <w:w w:val="85"/>
              </w:rPr>
              <w:t>Less than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left="286"/>
              <w:spacing w:after="0" w:line="129" w:lineRule="exact"/>
              <w:rPr>
                <w:sz w:val="20"/>
                <w:szCs w:val="20"/>
                <w:color w:val="auto"/>
              </w:rPr>
            </w:pPr>
            <w:r>
              <w:rPr>
                <w:rFonts w:ascii="Arial" w:cs="Arial" w:eastAsia="Arial" w:hAnsi="Arial"/>
                <w:sz w:val="14"/>
                <w:szCs w:val="14"/>
                <w:b w:val="1"/>
                <w:bCs w:val="1"/>
                <w:color w:val="auto"/>
                <w:w w:val="92"/>
              </w:rPr>
              <w:t>More than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204"/>
              <w:spacing w:after="0"/>
              <w:rPr>
                <w:sz w:val="20"/>
                <w:szCs w:val="20"/>
                <w:color w:val="auto"/>
              </w:rPr>
            </w:pPr>
            <w:r>
              <w:rPr>
                <w:rFonts w:ascii="Arial" w:cs="Arial" w:eastAsia="Arial" w:hAnsi="Arial"/>
                <w:sz w:val="14"/>
                <w:szCs w:val="14"/>
                <w:b w:val="1"/>
                <w:bCs w:val="1"/>
                <w:color w:val="auto"/>
                <w:w w:val="86"/>
              </w:rPr>
              <w:t>12 Months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86"/>
              <w:spacing w:after="0"/>
              <w:rPr>
                <w:sz w:val="20"/>
                <w:szCs w:val="20"/>
                <w:color w:val="auto"/>
              </w:rPr>
            </w:pPr>
            <w:r>
              <w:rPr>
                <w:rFonts w:ascii="Arial" w:cs="Arial" w:eastAsia="Arial" w:hAnsi="Arial"/>
                <w:sz w:val="14"/>
                <w:szCs w:val="14"/>
                <w:b w:val="1"/>
                <w:bCs w:val="1"/>
                <w:color w:val="auto"/>
                <w:w w:val="89"/>
              </w:rPr>
              <w:t>12 Months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6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62"/>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5"/>
              </w:rPr>
              <w:t>(Dollars</w:t>
            </w: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10,295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41,349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51,644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13,294</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41,349</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54,643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85"/>
              </w:rPr>
              <w:t>June 30, 2014</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left="204"/>
              <w:spacing w:after="0" w:line="129" w:lineRule="exact"/>
              <w:rPr>
                <w:sz w:val="20"/>
                <w:szCs w:val="20"/>
                <w:color w:val="auto"/>
              </w:rPr>
            </w:pPr>
            <w:r>
              <w:rPr>
                <w:rFonts w:ascii="Arial" w:cs="Arial" w:eastAsia="Arial" w:hAnsi="Arial"/>
                <w:sz w:val="14"/>
                <w:szCs w:val="14"/>
                <w:b w:val="1"/>
                <w:bCs w:val="1"/>
                <w:color w:val="auto"/>
                <w:w w:val="85"/>
              </w:rPr>
              <w:t>Less than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left="286"/>
              <w:spacing w:after="0" w:line="129" w:lineRule="exact"/>
              <w:rPr>
                <w:sz w:val="20"/>
                <w:szCs w:val="20"/>
                <w:color w:val="auto"/>
              </w:rPr>
            </w:pPr>
            <w:r>
              <w:rPr>
                <w:rFonts w:ascii="Arial" w:cs="Arial" w:eastAsia="Arial" w:hAnsi="Arial"/>
                <w:sz w:val="14"/>
                <w:szCs w:val="14"/>
                <w:b w:val="1"/>
                <w:bCs w:val="1"/>
                <w:color w:val="auto"/>
                <w:w w:val="92"/>
              </w:rPr>
              <w:t>More than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204"/>
              <w:spacing w:after="0"/>
              <w:rPr>
                <w:sz w:val="20"/>
                <w:szCs w:val="20"/>
                <w:color w:val="auto"/>
              </w:rPr>
            </w:pPr>
            <w:r>
              <w:rPr>
                <w:rFonts w:ascii="Arial" w:cs="Arial" w:eastAsia="Arial" w:hAnsi="Arial"/>
                <w:sz w:val="14"/>
                <w:szCs w:val="14"/>
                <w:b w:val="1"/>
                <w:bCs w:val="1"/>
                <w:color w:val="auto"/>
                <w:w w:val="86"/>
              </w:rPr>
              <w:t>12 Months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86"/>
              <w:spacing w:after="0"/>
              <w:rPr>
                <w:sz w:val="20"/>
                <w:szCs w:val="20"/>
                <w:color w:val="auto"/>
              </w:rPr>
            </w:pPr>
            <w:r>
              <w:rPr>
                <w:rFonts w:ascii="Arial" w:cs="Arial" w:eastAsia="Arial" w:hAnsi="Arial"/>
                <w:sz w:val="14"/>
                <w:szCs w:val="14"/>
                <w:b w:val="1"/>
                <w:bCs w:val="1"/>
                <w:color w:val="auto"/>
                <w:w w:val="89"/>
              </w:rPr>
              <w:t>12 Months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6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62"/>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5"/>
              </w:rPr>
              <w:t>(Dollars</w:t>
            </w: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24,141</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24,141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62,734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62,734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(1,284)</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24,141</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62,734</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(1,284)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86,875</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(1,312)</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other-than-temporary impairment losses on securities during the years ended June 30, 2015 and 2014.</w:t>
      </w:r>
    </w:p>
    <w:p>
      <w:pPr>
        <w:spacing w:after="0" w:line="225" w:lineRule="exact"/>
        <w:rPr>
          <w:sz w:val="20"/>
          <w:szCs w:val="20"/>
          <w:color w:val="auto"/>
        </w:rPr>
      </w:pPr>
    </w:p>
    <w:p>
      <w:pPr>
        <w:ind w:right="340" w:firstLine="341"/>
        <w:spacing w:after="0" w:line="306" w:lineRule="auto"/>
        <w:rPr>
          <w:sz w:val="20"/>
          <w:szCs w:val="20"/>
          <w:color w:val="auto"/>
        </w:rPr>
      </w:pPr>
      <w:r>
        <w:rPr>
          <w:rFonts w:ascii="Arial" w:cs="Arial" w:eastAsia="Arial" w:hAnsi="Arial"/>
          <w:sz w:val="16"/>
          <w:szCs w:val="16"/>
          <w:color w:val="auto"/>
        </w:rPr>
        <w:t>At June 30, 2015, the Company had 16 securities in a continuous loss position for greater than twelve months. At June 30, 2015, all of the Company's available-for-sale securities were issued or guaranteed by either government agencies or government-sponsored enterprises. In management's estimation, the decline in fair value of the Company's available-for-sale securities at June 30, 2015 is attributable to changes in interest rates.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At June 30, 2015, it is more likely than not that the Company will not sell or be required to sell the investment securities before recovery of its amortized cost. As such, management does not believe any of the Company's available-for-sale securities are other-than-temporarily impaired at June 30, 2015.</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Securities Available-for-Sale (Continued)</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June 30, 2015. Actual maturities may differ from contractual maturities because borrowers may have the right to call or prepay obligations with or without call or prepayment penalties.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Fair</w:t>
            </w:r>
          </w:p>
        </w:tc>
      </w:tr>
      <w:tr>
        <w:trPr>
          <w:trHeight w:val="161"/>
        </w:trPr>
        <w:tc>
          <w:tcPr>
            <w:tcW w:w="4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w w:val="90"/>
              </w:rPr>
              <w:t>(Dollars in thousands)</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36,117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36,142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12,074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12,088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26,119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Due after ten years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27,559</w:t>
            </w:r>
          </w:p>
        </w:tc>
      </w:tr>
      <w:tr>
        <w:trPr>
          <w:trHeight w:val="20"/>
        </w:trPr>
        <w:tc>
          <w:tcPr>
            <w:tcW w:w="4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102,744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101,908</w:t>
            </w:r>
          </w:p>
        </w:tc>
      </w:tr>
      <w:tr>
        <w:trPr>
          <w:trHeight w:val="20"/>
        </w:trPr>
        <w:tc>
          <w:tcPr>
            <w:tcW w:w="4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3"/>
              </w:rPr>
              <w:t>June 30, 2015</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3"/>
              </w:rPr>
              <w:t>June 30, 2014</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Originated</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Purchased</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Originated</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0"/>
              </w:rPr>
              <w:t>Purchased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(Dollars 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106,275</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108,343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116,972</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120,659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Home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148,425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348,676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316,098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Commercial business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122,860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123,133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409,545</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202,592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612,137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312,966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516,416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Included in the originated loan portfolio is $11.0 million of loans originated through SBA National, which includes $8.3 million of commercial real estate and $2.7 million of commercial business.</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Loans pledged as collateral with the FHLB for outstanding borrowings and additional borrowing capacity totaled $131.3 million and $187.6 million at June 30, 2015 and 2014, respectively.</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Past Due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Past Due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90 Days or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90 Days 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1360"/>
              <w:spacing w:after="0" w:line="149" w:lineRule="exact"/>
              <w:rPr>
                <w:sz w:val="20"/>
                <w:szCs w:val="20"/>
                <w:color w:val="auto"/>
              </w:rPr>
            </w:pPr>
            <w:r>
              <w:rPr>
                <w:rFonts w:ascii="Arial" w:cs="Arial" w:eastAsia="Arial" w:hAnsi="Arial"/>
                <w:sz w:val="14"/>
                <w:szCs w:val="14"/>
                <w:b w:val="1"/>
                <w:bCs w:val="1"/>
                <w:color w:val="auto"/>
                <w:w w:val="87"/>
              </w:rPr>
              <w:t>Non-</w:t>
            </w: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gridSpan w:val="4"/>
          </w:tcPr>
          <w:p>
            <w:pPr>
              <w:jc w:val="right"/>
              <w:ind w:right="35"/>
              <w:spacing w:after="0" w:line="149" w:lineRule="exact"/>
              <w:rPr>
                <w:sz w:val="20"/>
                <w:szCs w:val="20"/>
                <w:color w:val="auto"/>
              </w:rPr>
            </w:pPr>
            <w:r>
              <w:rPr>
                <w:rFonts w:ascii="Arial" w:cs="Arial" w:eastAsia="Arial" w:hAnsi="Arial"/>
                <w:sz w:val="14"/>
                <w:szCs w:val="14"/>
                <w:b w:val="1"/>
                <w:bCs w:val="1"/>
                <w:color w:val="auto"/>
              </w:rPr>
              <w:t>30 - 59</w:t>
            </w:r>
          </w:p>
        </w:tc>
        <w:tc>
          <w:tcPr>
            <w:tcW w:w="40" w:type="dxa"/>
            <w:vAlign w:val="bottom"/>
          </w:tcPr>
          <w:p>
            <w:pPr>
              <w:spacing w:after="0"/>
              <w:rPr>
                <w:sz w:val="12"/>
                <w:szCs w:val="12"/>
                <w:color w:val="auto"/>
              </w:rPr>
            </w:pPr>
          </w:p>
        </w:tc>
        <w:tc>
          <w:tcPr>
            <w:tcW w:w="700" w:type="dxa"/>
            <w:vAlign w:val="bottom"/>
            <w:gridSpan w:val="4"/>
          </w:tcPr>
          <w:p>
            <w:pPr>
              <w:jc w:val="right"/>
              <w:ind w:right="15"/>
              <w:spacing w:after="0" w:line="149" w:lineRule="exact"/>
              <w:rPr>
                <w:sz w:val="20"/>
                <w:szCs w:val="20"/>
                <w:color w:val="auto"/>
              </w:rPr>
            </w:pPr>
            <w:r>
              <w:rPr>
                <w:rFonts w:ascii="Arial" w:cs="Arial" w:eastAsia="Arial" w:hAnsi="Arial"/>
                <w:sz w:val="14"/>
                <w:szCs w:val="14"/>
                <w:b w:val="1"/>
                <w:bCs w:val="1"/>
                <w:color w:val="auto"/>
              </w:rPr>
              <w:t>60 - 89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More-Still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More-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Past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4"/>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Accrual</w:t>
            </w:r>
          </w:p>
        </w:tc>
      </w:tr>
      <w:tr>
        <w:trPr>
          <w:trHeight w:val="161"/>
        </w:trPr>
        <w:tc>
          <w:tcPr>
            <w:tcW w:w="1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Days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Days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Accruing</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Nonaccrual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82"/>
              </w:rPr>
              <w:t>Loans</w:t>
            </w:r>
          </w:p>
        </w:tc>
      </w:tr>
      <w:tr>
        <w:trPr>
          <w:trHeight w:val="142"/>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 in</w:t>
            </w:r>
          </w:p>
        </w:tc>
        <w:tc>
          <w:tcPr>
            <w:tcW w:w="180" w:type="dxa"/>
            <w:vAlign w:val="bottom"/>
            <w:gridSpan w:val="2"/>
          </w:tcPr>
          <w:p>
            <w:pPr>
              <w:spacing w:after="0"/>
              <w:rPr>
                <w:sz w:val="12"/>
                <w:szCs w:val="12"/>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973</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1,393</w:t>
            </w:r>
          </w:p>
        </w:tc>
        <w:tc>
          <w:tcPr>
            <w:tcW w:w="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2,605</w:t>
            </w:r>
          </w:p>
        </w:tc>
        <w:tc>
          <w:tcPr>
            <w:tcW w:w="60" w:type="dxa"/>
            <w:vAlign w:val="bottom"/>
          </w:tcPr>
          <w:p>
            <w:pPr>
              <w:spacing w:after="0"/>
              <w:rPr>
                <w:sz w:val="18"/>
                <w:szCs w:val="18"/>
                <w:color w:val="auto"/>
              </w:rPr>
            </w:pPr>
          </w:p>
        </w:tc>
        <w:tc>
          <w:tcPr>
            <w:tcW w:w="2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103,670</w:t>
            </w:r>
          </w:p>
        </w:tc>
        <w:tc>
          <w:tcPr>
            <w:tcW w:w="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106,275</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3,021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147,421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148,425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405,724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409,545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Purchased portfolio:</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197,456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200,251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3200" w:type="dxa"/>
            <w:vAlign w:val="bottom"/>
            <w:gridSpan w:val="2"/>
          </w:tcPr>
          <w:p>
            <w:pPr>
              <w:ind w:left="1140"/>
              <w:spacing w:after="0"/>
              <w:rPr>
                <w:sz w:val="20"/>
                <w:szCs w:val="20"/>
                <w:color w:val="auto"/>
              </w:rPr>
            </w:pPr>
            <w:r>
              <w:rPr>
                <w:rFonts w:ascii="Arial" w:cs="Arial" w:eastAsia="Arial" w:hAnsi="Arial"/>
                <w:sz w:val="18"/>
                <w:szCs w:val="18"/>
                <w:color w:val="auto"/>
              </w:rPr>
              <w:t>Total purchased portfolio</w:t>
            </w:r>
          </w:p>
        </w:tc>
        <w:tc>
          <w:tcPr>
            <w:tcW w:w="3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199,797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202,592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1,301</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6,616</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605,521</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612,137</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10,750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9"/>
        </w:trPr>
        <w:tc>
          <w:tcPr>
            <w:tcW w:w="11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3"/>
              </w:rPr>
              <w:t>Past Due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Past Due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90 Days or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90 Days 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Non-</w:t>
            </w: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30 - 59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60 - 89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More-Still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More-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Past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4"/>
          </w:tcPr>
          <w:p>
            <w:pPr>
              <w:jc w:val="center"/>
              <w:ind w:right="1220"/>
              <w:spacing w:after="0" w:line="149" w:lineRule="exact"/>
              <w:rPr>
                <w:sz w:val="20"/>
                <w:szCs w:val="20"/>
                <w:color w:val="auto"/>
              </w:rPr>
            </w:pPr>
            <w:r>
              <w:rPr>
                <w:rFonts w:ascii="Arial" w:cs="Arial" w:eastAsia="Arial" w:hAnsi="Arial"/>
                <w:sz w:val="14"/>
                <w:szCs w:val="14"/>
                <w:b w:val="1"/>
                <w:bCs w:val="1"/>
                <w:color w:val="auto"/>
                <w:w w:val="89"/>
              </w:rPr>
              <w:t>Accrual</w:t>
            </w:r>
          </w:p>
        </w:tc>
      </w:tr>
      <w:tr>
        <w:trPr>
          <w:trHeight w:val="161"/>
        </w:trPr>
        <w:tc>
          <w:tcPr>
            <w:tcW w:w="1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Days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Days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Accruing</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Nonaccrual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Due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4"/>
              </w:rPr>
              <w:t>Current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Loans</w:t>
            </w:r>
          </w:p>
        </w:tc>
        <w:tc>
          <w:tcPr>
            <w:tcW w:w="1180" w:type="dxa"/>
            <w:vAlign w:val="bottom"/>
            <w:gridSpan w:val="2"/>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w:t>
            </w:r>
          </w:p>
        </w:tc>
        <w:tc>
          <w:tcPr>
            <w:tcW w:w="760" w:type="dxa"/>
            <w:vAlign w:val="bottom"/>
            <w:gridSpan w:val="5"/>
          </w:tcPr>
          <w:p>
            <w:pPr>
              <w:jc w:val="right"/>
              <w:ind w:right="120"/>
              <w:spacing w:after="0" w:line="142"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w w:val="88"/>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1,573</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2,523</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114,449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116,972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1,743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115,726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116,617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309,055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312,966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Purchased portfolio:</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197,486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199,481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3200" w:type="dxa"/>
            <w:vAlign w:val="bottom"/>
            <w:gridSpan w:val="2"/>
          </w:tcPr>
          <w:p>
            <w:pPr>
              <w:ind w:left="1140"/>
              <w:spacing w:after="0"/>
              <w:rPr>
                <w:sz w:val="20"/>
                <w:szCs w:val="20"/>
                <w:color w:val="auto"/>
              </w:rPr>
            </w:pPr>
            <w:r>
              <w:rPr>
                <w:rFonts w:ascii="Arial" w:cs="Arial" w:eastAsia="Arial" w:hAnsi="Arial"/>
                <w:sz w:val="18"/>
                <w:szCs w:val="18"/>
                <w:color w:val="auto"/>
              </w:rPr>
              <w:t>Total purchased portfolio</w:t>
            </w:r>
          </w:p>
        </w:tc>
        <w:tc>
          <w:tcPr>
            <w:tcW w:w="34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1,995</w:t>
            </w:r>
          </w:p>
        </w:tc>
        <w:tc>
          <w:tcPr>
            <w:tcW w:w="16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1,995</w:t>
            </w:r>
          </w:p>
        </w:tc>
        <w:tc>
          <w:tcPr>
            <w:tcW w:w="16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201,455</w:t>
            </w:r>
          </w:p>
        </w:tc>
        <w:tc>
          <w:tcPr>
            <w:tcW w:w="16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203,450</w:t>
            </w:r>
          </w:p>
        </w:tc>
        <w:tc>
          <w:tcPr>
            <w:tcW w:w="18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510,510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516,416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allowance for loan losses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6"/>
              </w:rPr>
              <w:t>Year ended June 30, 2015</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2"/>
              </w:rPr>
              <w:t>Residential</w:t>
            </w:r>
          </w:p>
        </w:tc>
        <w:tc>
          <w:tcPr>
            <w:tcW w:w="60" w:type="dxa"/>
            <w:vAlign w:val="bottom"/>
          </w:tcPr>
          <w:p>
            <w:pPr>
              <w:spacing w:after="0"/>
              <w:rPr>
                <w:sz w:val="11"/>
                <w:szCs w:val="11"/>
                <w:color w:val="auto"/>
              </w:rPr>
            </w:pPr>
          </w:p>
        </w:tc>
        <w:tc>
          <w:tcPr>
            <w:tcW w:w="9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Commercial</w:t>
            </w:r>
          </w:p>
        </w:tc>
        <w:tc>
          <w:tcPr>
            <w:tcW w:w="60" w:type="dxa"/>
            <w:vAlign w:val="bottom"/>
          </w:tcPr>
          <w:p>
            <w:pPr>
              <w:spacing w:after="0"/>
              <w:rPr>
                <w:sz w:val="11"/>
                <w:szCs w:val="11"/>
                <w:color w:val="auto"/>
              </w:rPr>
            </w:pPr>
          </w:p>
        </w:tc>
        <w:tc>
          <w:tcPr>
            <w:tcW w:w="9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Commercial</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2"/>
              </w:rPr>
              <w:t>Real Estate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4"/>
              </w:rPr>
              <w:t>Real Estate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77"/>
              </w:rPr>
              <w:t>Business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Unallocated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6"/>
          </w:tcPr>
          <w:p>
            <w:pPr>
              <w:jc w:val="center"/>
              <w:ind w:left="3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Provision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Charge-offs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6"/>
              </w:rPr>
              <w:t>Year ended June 30, 2014</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2"/>
              </w:rPr>
              <w:t>Residential</w:t>
            </w:r>
          </w:p>
        </w:tc>
        <w:tc>
          <w:tcPr>
            <w:tcW w:w="60" w:type="dxa"/>
            <w:vAlign w:val="bottom"/>
          </w:tcPr>
          <w:p>
            <w:pPr>
              <w:spacing w:after="0"/>
              <w:rPr>
                <w:sz w:val="11"/>
                <w:szCs w:val="11"/>
                <w:color w:val="auto"/>
              </w:rPr>
            </w:pPr>
          </w:p>
        </w:tc>
        <w:tc>
          <w:tcPr>
            <w:tcW w:w="9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Commercial</w:t>
            </w:r>
          </w:p>
        </w:tc>
        <w:tc>
          <w:tcPr>
            <w:tcW w:w="60" w:type="dxa"/>
            <w:vAlign w:val="bottom"/>
          </w:tcPr>
          <w:p>
            <w:pPr>
              <w:spacing w:after="0"/>
              <w:rPr>
                <w:sz w:val="11"/>
                <w:szCs w:val="11"/>
                <w:color w:val="auto"/>
              </w:rPr>
            </w:pPr>
          </w:p>
        </w:tc>
        <w:tc>
          <w:tcPr>
            <w:tcW w:w="9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Commercial</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2"/>
              </w:rPr>
              <w:t>Real Estate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4"/>
              </w:rPr>
              <w:t>Real Estate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77"/>
              </w:rPr>
              <w:t>Business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Unallocated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6"/>
          </w:tcPr>
          <w:p>
            <w:pPr>
              <w:jc w:val="center"/>
              <w:ind w:left="3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Provision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Charge-offs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June 30, 2015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2"/>
              </w:rPr>
              <w:t>Residential</w:t>
            </w:r>
          </w:p>
        </w:tc>
        <w:tc>
          <w:tcPr>
            <w:tcW w:w="180" w:type="dxa"/>
            <w:vAlign w:val="bottom"/>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Real Estate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Real Estate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Business</w:t>
            </w:r>
          </w:p>
        </w:tc>
        <w:tc>
          <w:tcPr>
            <w:tcW w:w="18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Consumer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0"/>
              </w:rPr>
              <w:t>Purchased</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Unallocated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9"/>
              </w:rPr>
              <w:t>Allowance for loan losses: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Individually evaluated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ASC 310-30</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56</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Loans:</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Collectively evaluated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126,506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146,044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122,858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402,814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ASC 310-30</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202,592</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202,592</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130,601</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148,425</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202,592</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612,137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516"/>
              <w:spacing w:after="0"/>
              <w:rPr>
                <w:sz w:val="20"/>
                <w:szCs w:val="20"/>
                <w:color w:val="auto"/>
              </w:rPr>
            </w:pPr>
            <w:r>
              <w:rPr>
                <w:rFonts w:ascii="Arial" w:cs="Arial" w:eastAsia="Arial" w:hAnsi="Arial"/>
                <w:sz w:val="18"/>
                <w:szCs w:val="18"/>
                <w:color w:val="auto"/>
                <w:w w:val="79"/>
              </w:rPr>
              <w:t>83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87"/>
              </w:rPr>
              <w:t>June 30, 2014</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5"/>
              </w:rPr>
              <w:t>Residential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4"/>
              </w:rPr>
              <w:t>Commercial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Real Estate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7"/>
              </w:rPr>
              <w:t>Real Estate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6"/>
              </w:rPr>
              <w:t>Business</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Consumer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0"/>
              </w:rPr>
              <w:t>Purchased</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Unallocated</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Individually evaluated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ASC 310-30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Loans: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Collectively evaluated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142,633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114,068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307,863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ASC 310-30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203,450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144,947</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116,617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41,518</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516,416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Included in the loans collectively evaluated for the allowance for loan losses for the year ending June 30, 2015 are the SBA National and SBA community bank loans, which are assigned a loss rate on the unguaranteed portion of the loan. Included is an allowance of $282 thousand on a loan portfolio of $17.4 million, which includes the unguaranteed portion of the SBA National loans, as well as the SBA community bank loans.</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center"/>
              <w:ind w:right="1400"/>
              <w:spacing w:after="0"/>
              <w:rPr>
                <w:sz w:val="20"/>
                <w:szCs w:val="20"/>
                <w:color w:val="auto"/>
              </w:rPr>
            </w:pPr>
            <w:r>
              <w:rPr>
                <w:rFonts w:ascii="Arial" w:cs="Arial" w:eastAsia="Arial" w:hAnsi="Arial"/>
                <w:sz w:val="14"/>
                <w:szCs w:val="14"/>
                <w:b w:val="1"/>
                <w:bCs w:val="1"/>
                <w:color w:val="auto"/>
                <w:w w:val="87"/>
              </w:rPr>
              <w:t>For the Year Ended</w:t>
            </w:r>
          </w:p>
        </w:tc>
      </w:t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At June 30, 2015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center"/>
              <w:ind w:right="1400"/>
              <w:spacing w:after="0"/>
              <w:rPr>
                <w:sz w:val="20"/>
                <w:szCs w:val="20"/>
                <w:color w:val="auto"/>
              </w:rPr>
            </w:pPr>
            <w:r>
              <w:rPr>
                <w:rFonts w:ascii="Arial" w:cs="Arial" w:eastAsia="Arial" w:hAnsi="Arial"/>
                <w:sz w:val="14"/>
                <w:szCs w:val="14"/>
                <w:b w:val="1"/>
                <w:bCs w:val="1"/>
                <w:color w:val="auto"/>
                <w:w w:val="87"/>
              </w:rPr>
              <w:t>June 30, 2015</w:t>
            </w:r>
          </w:p>
        </w:tc>
      </w:tr>
      <w:tr>
        <w:trPr>
          <w:trHeight w:val="129"/>
        </w:trPr>
        <w:tc>
          <w:tcPr>
            <w:tcW w:w="11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Unpaid</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Interest</w:t>
            </w:r>
          </w:p>
        </w:tc>
        <w:tc>
          <w:tcPr>
            <w:tcW w:w="1300" w:type="dxa"/>
            <w:vAlign w:val="bottom"/>
            <w:gridSpan w:val="2"/>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Principal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0"/>
              </w:rPr>
              <w:t>Related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9"/>
              </w:rPr>
              <w:t>Income</w:t>
            </w:r>
          </w:p>
        </w:tc>
      </w:t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Allowance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Recognized</w:t>
            </w:r>
          </w:p>
        </w:tc>
        <w:tc>
          <w:tcPr>
            <w:tcW w:w="1300" w:type="dxa"/>
            <w:vAlign w:val="bottom"/>
            <w:gridSpan w:val="2"/>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7"/>
          </w:tcPr>
          <w:p>
            <w:pPr>
              <w:jc w:val="center"/>
              <w:ind w:left="476"/>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6"/>
          </w:tcPr>
          <w:p>
            <w:pPr>
              <w:jc w:val="center"/>
              <w:ind w:right="1400"/>
              <w:spacing w:after="0" w:line="142" w:lineRule="exact"/>
              <w:rPr>
                <w:sz w:val="20"/>
                <w:szCs w:val="20"/>
                <w:color w:val="auto"/>
              </w:rPr>
            </w:pPr>
            <w:r>
              <w:rPr>
                <w:rFonts w:ascii="Arial" w:cs="Arial" w:eastAsia="Arial" w:hAnsi="Arial"/>
                <w:sz w:val="14"/>
                <w:szCs w:val="14"/>
                <w:b w:val="1"/>
                <w:bCs w:val="1"/>
                <w:color w:val="auto"/>
                <w:w w:val="86"/>
              </w:rPr>
              <w:t>(Dollars in thousands)</w:t>
            </w: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Consumer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Commercial business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Residential real estate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business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Purchased: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impaired loans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436"/>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For the Year Ended</w:t>
            </w: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At June 30, 2014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June 30, 2014</w:t>
            </w: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Unpaid</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3"/>
              </w:rPr>
              <w:t>Recorded</w:t>
            </w:r>
          </w:p>
        </w:tc>
        <w:tc>
          <w:tcPr>
            <w:tcW w:w="16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Principal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Income</w:t>
            </w: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Recognized</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(Dollars in thousands)</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Consumer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Commercial business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Residential real estate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business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Purchased: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impaired loans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business, and certain residential loans as follows: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Loans rated 1-6: Loans in these categories are considered "pass" rated loans. Loans in categories 1-5 are considered to have low to average risk.</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Loans rated 6 are considered marginally acceptable business credits and have more than average risk.</w:t>
      </w:r>
    </w:p>
    <w:p>
      <w:pPr>
        <w:spacing w:after="0" w:line="219" w:lineRule="exact"/>
        <w:rPr>
          <w:sz w:val="20"/>
          <w:szCs w:val="20"/>
          <w:color w:val="auto"/>
        </w:rPr>
      </w:pPr>
    </w:p>
    <w:p>
      <w:pPr>
        <w:ind w:left="540" w:right="560" w:firstLine="351"/>
        <w:spacing w:after="0" w:line="268"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86" w:lineRule="exact"/>
        <w:rPr>
          <w:sz w:val="20"/>
          <w:szCs w:val="20"/>
          <w:color w:val="auto"/>
        </w:rPr>
      </w:pPr>
    </w:p>
    <w:p>
      <w:pPr>
        <w:ind w:left="540" w:firstLine="351"/>
        <w:spacing w:after="0" w:line="259"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liquidation of the debt.</w:t>
      </w:r>
    </w:p>
    <w:p>
      <w:pPr>
        <w:spacing w:after="0" w:line="194" w:lineRule="exact"/>
        <w:rPr>
          <w:sz w:val="20"/>
          <w:szCs w:val="20"/>
          <w:color w:val="auto"/>
        </w:rPr>
      </w:pPr>
    </w:p>
    <w:p>
      <w:pPr>
        <w:jc w:val="both"/>
        <w:ind w:left="540" w:right="40" w:firstLine="351"/>
        <w:spacing w:after="0" w:line="259"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Loans rated 10: Loans in this category are considered "loss" and of such little value that their continuance as loans is not warranted.</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2"/>
              </w:rPr>
              <w:t>Originated Portfolio</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960" w:type="dxa"/>
            <w:vAlign w:val="bottom"/>
            <w:gridSpan w:val="3"/>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Commercial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7"/>
              </w:rPr>
              <w:t>Real 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0"/>
              </w:rPr>
              <w:t>Business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7"/>
              </w:rPr>
              <w:t>Residential(1)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Portfolio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1 - 6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122,829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463,392</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Loans rated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8,887</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Loans rated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148,425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483,012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2014</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2"/>
              </w:rPr>
              <w:t>Originated Portfolio</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11"/>
                <w:szCs w:val="11"/>
                <w:color w:val="auto"/>
              </w:rPr>
            </w:pPr>
          </w:p>
        </w:tc>
        <w:tc>
          <w:tcPr>
            <w:tcW w:w="960" w:type="dxa"/>
            <w:vAlign w:val="bottom"/>
            <w:gridSpan w:val="3"/>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Commercial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7"/>
              </w:rPr>
              <w:t>Real 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0"/>
              </w:rPr>
              <w:t>Business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7"/>
              </w:rPr>
              <w:t>Residential(1)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Portfolio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1 - 6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41,271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189,986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353,242</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Loans rated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8,619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Loans rated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116,617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375,136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700" w:hanging="540"/>
        <w:spacing w:after="0" w:line="268" w:lineRule="auto"/>
        <w:tabs>
          <w:tab w:leader="none" w:pos="2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7"/>
              </w:rPr>
              <w:t>Year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10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41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r>
      <w:tr>
        <w:trPr>
          <w:trHeight w:val="161"/>
        </w:trPr>
        <w:tc>
          <w:tcPr>
            <w:tcW w:w="4140" w:type="dxa"/>
            <w:vAlign w:val="bottom"/>
          </w:tcPr>
          <w:p>
            <w:pPr>
              <w:spacing w:after="0"/>
              <w:rPr>
                <w:sz w:val="14"/>
                <w:szCs w:val="14"/>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Contracts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Adjusted interest rate</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430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Principal deferment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443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r>
      <w:tr>
        <w:trPr>
          <w:trHeight w:val="20"/>
        </w:trPr>
        <w:tc>
          <w:tcPr>
            <w:tcW w:w="4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3,068</w:t>
            </w:r>
          </w:p>
        </w:tc>
      </w:tr>
      <w:tr>
        <w:trPr>
          <w:trHeight w:val="20"/>
        </w:trPr>
        <w:tc>
          <w:tcPr>
            <w:tcW w:w="4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loans modified in a TDR and the change in the recorded investment subsequent to the modifications.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Year Ended June 30,</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Recorded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3"/>
              </w:rPr>
              <w:t>Recorded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Investment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Investment</w:t>
            </w:r>
          </w:p>
        </w:tc>
      </w:t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Pre-Modification</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8"/>
              </w:rPr>
              <w:t>Post-Modification</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7"/>
              </w:rPr>
              <w:t>Contracts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1"/>
              </w:rPr>
              <w:t>Pre-Modification</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6"/>
              </w:rPr>
              <w:t>Post-Modification</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Originated portfolio:</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rPr>
              <w:t>Residential real estate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1,223</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1,223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Home equity</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rPr>
              <w:t>Commercial real estate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691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691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Commercial business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rPr>
              <w:t>Consumer</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originated portfolio</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1,474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1,474</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1,039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1,039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Purchased portfolio:</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Commercial real estate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w:t>
            </w:r>
          </w:p>
        </w:tc>
        <w:tc>
          <w:tcPr>
            <w:tcW w:w="160" w:type="dxa"/>
            <w:vAlign w:val="bottom"/>
            <w:shd w:val="clear" w:color="auto" w:fill="CCEEFF"/>
          </w:tcPr>
          <w:p>
            <w:pPr>
              <w:spacing w:after="0"/>
              <w:rPr>
                <w:sz w:val="12"/>
                <w:szCs w:val="12"/>
                <w:color w:val="auto"/>
              </w:rPr>
            </w:pPr>
          </w:p>
        </w:tc>
      </w:tr>
      <w:tr>
        <w:trPr>
          <w:trHeight w:val="142"/>
        </w:trPr>
        <w:tc>
          <w:tcPr>
            <w:tcW w:w="2060" w:type="dxa"/>
            <w:vAlign w:val="bottom"/>
            <w:gridSpan w:val="2"/>
          </w:tcPr>
          <w:p>
            <w:pPr>
              <w:spacing w:after="0" w:line="142" w:lineRule="exact"/>
              <w:rPr>
                <w:sz w:val="20"/>
                <w:szCs w:val="20"/>
                <w:color w:val="auto"/>
              </w:rPr>
            </w:pPr>
            <w:r>
              <w:rPr>
                <w:rFonts w:ascii="Arial" w:cs="Arial" w:eastAsia="Arial" w:hAnsi="Arial"/>
                <w:sz w:val="14"/>
                <w:szCs w:val="14"/>
                <w:color w:val="auto"/>
              </w:rPr>
              <w:t>Total purchased portfolio</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1,628</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1,628</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4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3,102</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3,102</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19</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3,029</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3,068</w:t>
            </w:r>
          </w:p>
        </w:tc>
        <w:tc>
          <w:tcPr>
            <w:tcW w:w="1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2015, there were no further commitments to lend associated with loans modified in a TDR.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shows the loans that have been modified during the past twelve months which have subsequently defaulted during the periods indicated.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 loan to have defaulted when it reaches 90 days past due.</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7"/>
              </w:rPr>
              <w:t>Year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10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4140" w:type="dxa"/>
            <w:vAlign w:val="bottom"/>
          </w:tcPr>
          <w:p>
            <w:pPr>
              <w:spacing w:after="0"/>
              <w:rPr>
                <w:sz w:val="11"/>
                <w:szCs w:val="11"/>
                <w:color w:val="auto"/>
              </w:rPr>
            </w:pPr>
          </w:p>
        </w:tc>
        <w:tc>
          <w:tcPr>
            <w:tcW w:w="80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r>
      <w:tr>
        <w:trPr>
          <w:trHeight w:val="161"/>
        </w:trPr>
        <w:tc>
          <w:tcPr>
            <w:tcW w:w="4140" w:type="dxa"/>
            <w:vAlign w:val="bottom"/>
          </w:tcPr>
          <w:p>
            <w:pPr>
              <w:spacing w:after="0"/>
              <w:rPr>
                <w:sz w:val="14"/>
                <w:szCs w:val="14"/>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Contracts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Consumer</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0"/>
        </w:trPr>
        <w:tc>
          <w:tcPr>
            <w:tcW w:w="4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r>
      <w:tr>
        <w:trPr>
          <w:trHeight w:val="20"/>
        </w:trPr>
        <w:tc>
          <w:tcPr>
            <w:tcW w:w="4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presents a summary of loans accounted for under ASC 310-30 that were acquired by the Company during the year ended June 30, 2015.</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 2015</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June 30, 2014</w:t>
            </w:r>
          </w:p>
        </w:tc>
        <w:tc>
          <w:tcPr>
            <w:tcW w:w="16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116,786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r>
      <w:tr>
        <w:trPr>
          <w:trHeight w:val="20"/>
        </w:trPr>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115,222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Accretable yield</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(43,756)</w:t>
            </w: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(35,399)</w:t>
            </w:r>
          </w:p>
        </w:tc>
      </w:tr>
      <w:tr>
        <w:trPr>
          <w:trHeight w:val="20"/>
        </w:trPr>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79,823</w:t>
            </w:r>
          </w:p>
        </w:tc>
      </w:tr>
      <w:tr>
        <w:trPr>
          <w:trHeight w:val="20"/>
        </w:trPr>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Certain of the loans accounted for under ASC 310-30 that were acquired by the Company are not accounted for using the income recognition model because the Company cannot reasonably estimate cash flows expected to be collected. The carrying amounts of such loans are as follows:</w:t>
      </w:r>
    </w:p>
    <w:p>
      <w:pPr>
        <w:spacing w:after="0" w:line="189"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0</wp:posOffset>
            </wp:positionV>
            <wp:extent cx="6172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ind w:left="8820"/>
        <w:spacing w:after="0"/>
        <w:rPr>
          <w:sz w:val="20"/>
          <w:szCs w:val="20"/>
          <w:color w:val="auto"/>
        </w:rPr>
      </w:pPr>
      <w:r>
        <w:rPr>
          <w:rFonts w:ascii="Arial" w:cs="Arial" w:eastAsia="Arial" w:hAnsi="Arial"/>
          <w:sz w:val="14"/>
          <w:szCs w:val="14"/>
          <w:b w:val="1"/>
          <w:bCs w:val="1"/>
          <w:color w:val="auto"/>
        </w:rPr>
        <w:t>(Dollars</w:t>
      </w:r>
    </w:p>
    <w:p>
      <w:pPr>
        <w:ind w:left="8660"/>
        <w:spacing w:after="0" w:line="219"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2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357</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Loans at end of period</w:t>
            </w:r>
          </w:p>
        </w:tc>
        <w:tc>
          <w:tcPr>
            <w:tcW w:w="258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6,127</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June 30, 2014, no loans acquired by the Company were not accounted for using the income recognition model.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Allowance for Loan Losses and Credit Quality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activity in the accretable yield for loans accounted for under ASC 310-30.</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 2015</w:t>
            </w:r>
          </w:p>
        </w:tc>
        <w:tc>
          <w:tcPr>
            <w:tcW w:w="18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June 30, 2014</w:t>
            </w:r>
          </w:p>
        </w:tc>
        <w:tc>
          <w:tcPr>
            <w:tcW w:w="16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6"/>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108,251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Acquisitions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35,399</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(16,886)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(15,433)</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Reclassifications from nonaccretable difference, net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(24,618)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(19,968)</w:t>
            </w:r>
          </w:p>
        </w:tc>
      </w:tr>
      <w:tr>
        <w:trPr>
          <w:trHeight w:val="210"/>
        </w:trPr>
        <w:tc>
          <w:tcPr>
            <w:tcW w:w="5720" w:type="dxa"/>
            <w:vAlign w:val="bottom"/>
          </w:tcPr>
          <w:p>
            <w:pPr>
              <w:ind w:left="180"/>
              <w:spacing w:after="0"/>
              <w:rPr>
                <w:sz w:val="20"/>
                <w:szCs w:val="20"/>
                <w:color w:val="auto"/>
              </w:rPr>
            </w:pPr>
            <w:r>
              <w:rPr>
                <w:rFonts w:ascii="Arial" w:cs="Arial" w:eastAsia="Arial" w:hAnsi="Arial"/>
                <w:sz w:val="18"/>
                <w:szCs w:val="18"/>
                <w:color w:val="auto"/>
              </w:rPr>
              <w:t>End balance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111,449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109,040</w:t>
            </w:r>
          </w:p>
        </w:tc>
        <w:tc>
          <w:tcPr>
            <w:tcW w:w="16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5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5"/>
          </w:tcPr>
          <w:p>
            <w:pPr>
              <w:ind w:left="24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235,716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239,376</w:t>
            </w:r>
          </w:p>
        </w:tc>
        <w:tc>
          <w:tcPr>
            <w:tcW w:w="58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Carrying amount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199,113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201,171</w:t>
            </w:r>
          </w:p>
        </w:tc>
        <w:tc>
          <w:tcPr>
            <w:tcW w:w="580" w:type="dxa"/>
            <w:vAlign w:val="bottom"/>
          </w:tcPr>
          <w:p>
            <w:pPr>
              <w:spacing w:after="0"/>
              <w:rPr>
                <w:sz w:val="19"/>
                <w:szCs w:val="19"/>
                <w:color w:val="auto"/>
              </w:rPr>
            </w:pPr>
          </w:p>
        </w:tc>
      </w:tr>
      <w:tr>
        <w:trPr>
          <w:trHeight w:val="424"/>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4. Premises and Equipment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780" w:type="dxa"/>
            <w:vAlign w:val="bottom"/>
            <w:gridSpan w:val="3"/>
          </w:tcPr>
          <w:p>
            <w:pPr>
              <w:ind w:left="360"/>
              <w:spacing w:after="0"/>
              <w:rPr>
                <w:sz w:val="20"/>
                <w:szCs w:val="20"/>
                <w:color w:val="auto"/>
              </w:rPr>
            </w:pPr>
            <w:r>
              <w:rPr>
                <w:rFonts w:ascii="Arial" w:cs="Arial" w:eastAsia="Arial" w:hAnsi="Arial"/>
                <w:sz w:val="18"/>
                <w:szCs w:val="18"/>
                <w:color w:val="auto"/>
              </w:rPr>
              <w:t>Premises and equipment consists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38"/>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36"/>
              <w:spacing w:after="0"/>
              <w:rPr>
                <w:sz w:val="20"/>
                <w:szCs w:val="20"/>
                <w:color w:val="auto"/>
              </w:rPr>
            </w:pPr>
            <w:r>
              <w:rPr>
                <w:rFonts w:ascii="Arial" w:cs="Arial" w:eastAsia="Arial" w:hAnsi="Arial"/>
                <w:sz w:val="14"/>
                <w:szCs w:val="14"/>
                <w:b w:val="1"/>
                <w:bCs w:val="1"/>
                <w:color w:val="auto"/>
                <w:w w:val="82"/>
              </w:rPr>
              <w:t>June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8"/>
              </w:rPr>
              <w:t>Estimated Useful Life</w:t>
            </w: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6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4"/>
          </w:tcPr>
          <w:p>
            <w:pPr>
              <w:jc w:val="center"/>
              <w:ind w:right="960"/>
              <w:spacing w:after="0" w:line="142" w:lineRule="exact"/>
              <w:rPr>
                <w:sz w:val="20"/>
                <w:szCs w:val="20"/>
                <w:color w:val="auto"/>
              </w:rPr>
            </w:pPr>
            <w:r>
              <w:rPr>
                <w:rFonts w:ascii="Arial" w:cs="Arial" w:eastAsia="Arial" w:hAnsi="Arial"/>
                <w:sz w:val="14"/>
                <w:szCs w:val="14"/>
                <w:b w:val="1"/>
                <w:bCs w:val="1"/>
                <w:color w:val="auto"/>
                <w:w w:val="89"/>
              </w:rPr>
              <w:t>(In years)</w:t>
            </w:r>
          </w:p>
        </w:tc>
      </w:tr>
      <w:tr>
        <w:trPr>
          <w:trHeight w:val="216"/>
        </w:trPr>
        <w:tc>
          <w:tcPr>
            <w:tcW w:w="116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right="1140"/>
              <w:spacing w:after="0"/>
              <w:rPr>
                <w:sz w:val="20"/>
                <w:szCs w:val="20"/>
                <w:color w:val="auto"/>
              </w:rPr>
            </w:pPr>
            <w:r>
              <w:rPr>
                <w:rFonts w:ascii="Arial" w:cs="Arial" w:eastAsia="Arial" w:hAnsi="Arial"/>
                <w:sz w:val="18"/>
                <w:szCs w:val="18"/>
                <w:color w:val="auto"/>
                <w:w w:val="87"/>
              </w:rPr>
              <w:t>n/a</w:t>
            </w:r>
          </w:p>
        </w:tc>
      </w:tr>
      <w:tr>
        <w:trPr>
          <w:trHeight w:val="216"/>
        </w:trPr>
        <w:tc>
          <w:tcPr>
            <w:tcW w:w="116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2"/>
          </w:tcPr>
          <w:p>
            <w:pPr>
              <w:jc w:val="right"/>
              <w:ind w:right="426"/>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recorded under capital lease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gridSpan w:val="5"/>
            <w:shd w:val="clear" w:color="auto" w:fill="CCEEFF"/>
          </w:tcPr>
          <w:p>
            <w:pPr>
              <w:jc w:val="center"/>
              <w:ind w:right="160"/>
              <w:spacing w:after="0"/>
              <w:rPr>
                <w:sz w:val="20"/>
                <w:szCs w:val="20"/>
                <w:color w:val="auto"/>
              </w:rPr>
            </w:pPr>
            <w:r>
              <w:rPr>
                <w:rFonts w:ascii="Arial" w:cs="Arial" w:eastAsia="Arial" w:hAnsi="Arial"/>
                <w:sz w:val="18"/>
                <w:szCs w:val="18"/>
                <w:color w:val="auto"/>
                <w:w w:val="85"/>
              </w:rPr>
              <w:t>Term of lease</w:t>
            </w:r>
          </w:p>
        </w:tc>
      </w:tr>
      <w:tr>
        <w:trPr>
          <w:trHeight w:val="216"/>
        </w:trPr>
        <w:tc>
          <w:tcPr>
            <w:tcW w:w="116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Leasehold and building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2,330</w:t>
            </w:r>
          </w:p>
        </w:tc>
        <w:tc>
          <w:tcPr>
            <w:tcW w:w="160" w:type="dxa"/>
            <w:vAlign w:val="bottom"/>
          </w:tcPr>
          <w:p>
            <w:pPr>
              <w:spacing w:after="0"/>
              <w:rPr>
                <w:sz w:val="18"/>
                <w:szCs w:val="18"/>
                <w:color w:val="auto"/>
              </w:rPr>
            </w:pPr>
          </w:p>
        </w:tc>
        <w:tc>
          <w:tcPr>
            <w:tcW w:w="2660" w:type="dxa"/>
            <w:vAlign w:val="bottom"/>
            <w:gridSpan w:val="6"/>
          </w:tcPr>
          <w:p>
            <w:pPr>
              <w:jc w:val="center"/>
              <w:spacing w:after="0"/>
              <w:rPr>
                <w:sz w:val="20"/>
                <w:szCs w:val="20"/>
                <w:color w:val="auto"/>
              </w:rPr>
            </w:pPr>
            <w:r>
              <w:rPr>
                <w:rFonts w:ascii="Arial" w:cs="Arial" w:eastAsia="Arial" w:hAnsi="Arial"/>
                <w:sz w:val="18"/>
                <w:szCs w:val="18"/>
                <w:color w:val="auto"/>
                <w:w w:val="88"/>
              </w:rPr>
              <w:t>5 - 39 (or term of lease, if shorter)</w:t>
            </w:r>
          </w:p>
        </w:tc>
      </w:tr>
      <w:tr>
        <w:trPr>
          <w:trHeight w:val="216"/>
        </w:trPr>
        <w:tc>
          <w:tcPr>
            <w:tcW w:w="116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6"/>
              <w:spacing w:after="0"/>
              <w:rPr>
                <w:sz w:val="20"/>
                <w:szCs w:val="20"/>
                <w:color w:val="auto"/>
              </w:rPr>
            </w:pPr>
            <w:r>
              <w:rPr>
                <w:rFonts w:ascii="Arial" w:cs="Arial" w:eastAsia="Arial" w:hAnsi="Arial"/>
                <w:sz w:val="18"/>
                <w:szCs w:val="18"/>
                <w:color w:val="auto"/>
              </w:rPr>
              <w:t>3 - 7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0"/>
        </w:trPr>
        <w:tc>
          <w:tcPr>
            <w:tcW w:w="5780" w:type="dxa"/>
            <w:vAlign w:val="bottom"/>
            <w:gridSpan w:val="3"/>
          </w:tcPr>
          <w:p>
            <w:pPr>
              <w:ind w:left="1140"/>
              <w:spacing w:after="0"/>
              <w:rPr>
                <w:sz w:val="20"/>
                <w:szCs w:val="20"/>
                <w:color w:val="auto"/>
              </w:rPr>
            </w:pPr>
            <w:r>
              <w:rPr>
                <w:rFonts w:ascii="Arial" w:cs="Arial" w:eastAsia="Arial" w:hAnsi="Arial"/>
                <w:sz w:val="18"/>
                <w:szCs w:val="18"/>
                <w:color w:val="auto"/>
              </w:rPr>
              <w:t>Net premises and equipment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and amortization of premises and equipment included in occupancy and equipment expense was $1.7 million for the year ended June 30, 2015 and $2.0 million for the year ended June 30,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31"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At June 30, 2015 and 2014, intangible assets consisted of a core deposit intangible. The Company's core deposit intangible is being amortized on an accelerated basis over 9.5 years.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the carrying amount of the core deposit intangible follow:</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30, 2015</w:t>
            </w: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(Dollars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core deposit intangible follow:</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82"/>
              </w:rPr>
              <w:t>June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Gross carrying amount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6,348</w:t>
            </w:r>
          </w:p>
        </w:tc>
        <w:tc>
          <w:tcPr>
            <w:tcW w:w="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annual amortization expense associated with the core deposit intangible follows for the fiscal years ending June 30:</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June 30, 2015</w:t>
            </w:r>
          </w:p>
        </w:tc>
      </w:tr>
      <w:tr>
        <w:trPr>
          <w:trHeight w:val="129"/>
        </w:trPr>
        <w:tc>
          <w:tcPr>
            <w:tcW w:w="68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(Dollars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1"/>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r>
      <w:tr>
        <w:trPr>
          <w:trHeight w:val="216"/>
        </w:trPr>
        <w:tc>
          <w:tcPr>
            <w:tcW w:w="6860" w:type="dxa"/>
            <w:vAlign w:val="bottom"/>
            <w:shd w:val="clear" w:color="auto" w:fill="CCEEFF"/>
          </w:tcPr>
          <w:p>
            <w:pPr>
              <w:jc w:val="right"/>
              <w:ind w:right="6412"/>
              <w:spacing w:after="0"/>
              <w:rPr>
                <w:sz w:val="20"/>
                <w:szCs w:val="20"/>
                <w:color w:val="auto"/>
              </w:rPr>
            </w:pPr>
            <w:r>
              <w:rPr>
                <w:rFonts w:ascii="Arial" w:cs="Arial" w:eastAsia="Arial" w:hAnsi="Arial"/>
                <w:sz w:val="18"/>
                <w:szCs w:val="18"/>
                <w:color w:val="auto"/>
                <w:w w:val="84"/>
              </w:rPr>
              <w:t>2016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r>
      <w:tr>
        <w:trPr>
          <w:trHeight w:val="216"/>
        </w:trPr>
        <w:tc>
          <w:tcPr>
            <w:tcW w:w="6860" w:type="dxa"/>
            <w:vAlign w:val="bottom"/>
          </w:tcPr>
          <w:p>
            <w:pPr>
              <w:jc w:val="right"/>
              <w:ind w:right="6412"/>
              <w:spacing w:after="0"/>
              <w:rPr>
                <w:sz w:val="20"/>
                <w:szCs w:val="20"/>
                <w:color w:val="auto"/>
              </w:rPr>
            </w:pPr>
            <w:r>
              <w:rPr>
                <w:rFonts w:ascii="Arial" w:cs="Arial" w:eastAsia="Arial" w:hAnsi="Arial"/>
                <w:sz w:val="18"/>
                <w:szCs w:val="18"/>
                <w:color w:val="auto"/>
                <w:w w:val="84"/>
              </w:rPr>
              <w:t>2017</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jc w:val="right"/>
              <w:ind w:right="6412"/>
              <w:spacing w:after="0"/>
              <w:rPr>
                <w:sz w:val="20"/>
                <w:szCs w:val="20"/>
                <w:color w:val="auto"/>
              </w:rPr>
            </w:pPr>
            <w:r>
              <w:rPr>
                <w:rFonts w:ascii="Arial" w:cs="Arial" w:eastAsia="Arial" w:hAnsi="Arial"/>
                <w:sz w:val="18"/>
                <w:szCs w:val="18"/>
                <w:color w:val="auto"/>
                <w:w w:val="84"/>
              </w:rPr>
              <w:t>2018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r>
      <w:tr>
        <w:trPr>
          <w:trHeight w:val="216"/>
        </w:trPr>
        <w:tc>
          <w:tcPr>
            <w:tcW w:w="6860" w:type="dxa"/>
            <w:vAlign w:val="bottom"/>
          </w:tcPr>
          <w:p>
            <w:pPr>
              <w:jc w:val="right"/>
              <w:ind w:right="6412"/>
              <w:spacing w:after="0"/>
              <w:rPr>
                <w:sz w:val="20"/>
                <w:szCs w:val="20"/>
                <w:color w:val="auto"/>
              </w:rPr>
            </w:pPr>
            <w:r>
              <w:rPr>
                <w:rFonts w:ascii="Arial" w:cs="Arial" w:eastAsia="Arial" w:hAnsi="Arial"/>
                <w:sz w:val="18"/>
                <w:szCs w:val="18"/>
                <w:color w:val="auto"/>
                <w:w w:val="84"/>
              </w:rPr>
              <w:t>2019</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jc w:val="right"/>
              <w:ind w:right="6412"/>
              <w:spacing w:after="0"/>
              <w:rPr>
                <w:sz w:val="20"/>
                <w:szCs w:val="20"/>
                <w:color w:val="auto"/>
              </w:rPr>
            </w:pPr>
            <w:r>
              <w:rPr>
                <w:rFonts w:ascii="Arial" w:cs="Arial" w:eastAsia="Arial" w:hAnsi="Arial"/>
                <w:sz w:val="18"/>
                <w:szCs w:val="18"/>
                <w:color w:val="auto"/>
                <w:w w:val="84"/>
              </w:rPr>
              <w:t>2020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Transfers and Servicing of Financial Assets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sells loans in the secondary market and retains the servicing responsibility for the sold loans. Consideration for the sale includes the cash received as well as the related servicing rights asset. The Company receives fees for the services provided. Mortgage loans sold in the year ended June 30, 2015 totaled $101.3 million, compared to $88.0 million in the year ended June 30, 2014. Mortgage serviced for others totaled $108.4 million and $82.0 million at June 30, 2015 and 2014, respectively. SBA loans sold during the year ended June 30, 2015 totaled $22.2 million, compared to $3.6 million in the year ended June 30, 2014. SBA serviced for others totaled $53.5 million and $37.8 million at June 30, 2015 and 2014, respectively.</w:t>
      </w:r>
    </w:p>
    <w:p>
      <w:pPr>
        <w:spacing w:after="0" w:line="170"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Mortgage loans and SBA loans serviced for others are accounted for as sales and therefore are not included in the accompanying consolidated balance sheets. The risks inherent in mortgage servicing</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Transfers and Servicing of Financial Assets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assets and SBA servicing assets relate primarily to changes in prepayments that result from shifts in interest rates.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Contractually specified servicing fees were $471 thousand and $521 thousand for the year ended June 30, 2015 and 2014, respectively, and included as a component of loan related fees within non-interest income.</w:t>
      </w:r>
    </w:p>
    <w:p>
      <w:pPr>
        <w:spacing w:after="0" w:line="186"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significant assumptions used in the valuation for mortgage servicing rights as of June 30, 2015 included a weighted average discount rate of 7.5% and a weighted average prepayment speed assumption of 13.14%. For the SBA servicing rights, the significant assumptions used in the valuation included pre-payment speed assumptions ranging from 6.08% to 7.25%.</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Mortgage servicing rights activity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5"/>
              </w:rPr>
              <w:t>June 30, 2015</w:t>
            </w: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8"/>
              </w:rPr>
              <w:t>(Dollars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Disposals</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Adjustment</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ind w:left="1720"/>
              <w:spacing w:after="0"/>
              <w:rPr>
                <w:sz w:val="20"/>
                <w:szCs w:val="20"/>
                <w:color w:val="auto"/>
              </w:rPr>
            </w:pPr>
            <w:r>
              <w:rPr>
                <w:rFonts w:ascii="Arial" w:cs="Arial" w:eastAsia="Arial" w:hAnsi="Arial"/>
                <w:sz w:val="18"/>
                <w:szCs w:val="18"/>
                <w:color w:val="auto"/>
              </w:rPr>
              <w:t>Balance, June 30, 2014</w:t>
            </w:r>
          </w:p>
        </w:tc>
        <w:tc>
          <w:tcPr>
            <w:tcW w:w="40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Disposals</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Allowance Adjustment</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360"/>
              <w:spacing w:after="0"/>
              <w:rPr>
                <w:sz w:val="20"/>
                <w:szCs w:val="20"/>
                <w:color w:val="auto"/>
              </w:rPr>
            </w:pPr>
            <w:r>
              <w:rPr>
                <w:rFonts w:ascii="Arial" w:cs="Arial" w:eastAsia="Arial" w:hAnsi="Arial"/>
                <w:sz w:val="18"/>
                <w:szCs w:val="18"/>
                <w:color w:val="auto"/>
              </w:rPr>
              <w:t>SBA servicing rights activity was as follows:</w:t>
            </w:r>
          </w:p>
        </w:tc>
        <w:tc>
          <w:tcPr>
            <w:tcW w:w="4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80" w:type="dxa"/>
            <w:vAlign w:val="bottom"/>
            <w:gridSpan w:val="2"/>
            <w:vMerge w:val="continue"/>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5"/>
              </w:rPr>
              <w:t>June 30, 2015</w:t>
            </w: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8"/>
              </w:rPr>
              <w:t>(Dollars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Disposals</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Adjustment</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ind w:left="1720"/>
              <w:spacing w:after="0"/>
              <w:rPr>
                <w:sz w:val="20"/>
                <w:szCs w:val="20"/>
                <w:color w:val="auto"/>
              </w:rPr>
            </w:pPr>
            <w:r>
              <w:rPr>
                <w:rFonts w:ascii="Arial" w:cs="Arial" w:eastAsia="Arial" w:hAnsi="Arial"/>
                <w:sz w:val="18"/>
                <w:szCs w:val="18"/>
                <w:color w:val="auto"/>
              </w:rPr>
              <w:t>Balance, June 30, 2014</w:t>
            </w:r>
          </w:p>
        </w:tc>
        <w:tc>
          <w:tcPr>
            <w:tcW w:w="40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Disposals</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Allowance Adjustment</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00" w:type="dxa"/>
            <w:vAlign w:val="bottom"/>
            <w:vMerge w:val="restart"/>
          </w:tcPr>
          <w:p>
            <w:pPr>
              <w:jc w:val="right"/>
              <w:ind w:right="2692"/>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Deposits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deposits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 2015</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June 30, 2014</w:t>
            </w:r>
          </w:p>
        </w:tc>
        <w:tc>
          <w:tcPr>
            <w:tcW w:w="16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50,140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NOW</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63,648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83,901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Regular savings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34,692</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Time certificates of less than $100 thousand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90,644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time certificates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262,742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251,304</w:t>
            </w:r>
          </w:p>
        </w:tc>
      </w:tr>
      <w:tr>
        <w:trPr>
          <w:trHeight w:val="20"/>
        </w:trPr>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574,329</w:t>
            </w:r>
          </w:p>
        </w:tc>
      </w:tr>
      <w:tr>
        <w:trPr>
          <w:trHeight w:val="20"/>
        </w:trPr>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aggregate amount of time deposits in denominations of $250 thousand or more as of June 30, 2015 and 2014 was $569 thousand and $2.3 million,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2015 scheduled maturities of time certificates by fiscal year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5"/>
              </w:rPr>
              <w:t>June 30, 2015</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149,656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6"/>
          </w:tcPr>
          <w:p>
            <w:pPr>
              <w:jc w:val="right"/>
              <w:ind w:right="160"/>
              <w:spacing w:after="0"/>
              <w:rPr>
                <w:sz w:val="20"/>
                <w:szCs w:val="20"/>
                <w:color w:val="auto"/>
              </w:rPr>
            </w:pPr>
            <w:r>
              <w:rPr>
                <w:rFonts w:ascii="Arial" w:cs="Arial" w:eastAsia="Arial" w:hAnsi="Arial"/>
                <w:sz w:val="18"/>
                <w:szCs w:val="18"/>
                <w:color w:val="auto"/>
              </w:rPr>
              <w:t>101,195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51,976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28,249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14,306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gridSpan w:val="6"/>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345,715</w:t>
            </w:r>
          </w:p>
        </w:tc>
        <w:tc>
          <w:tcPr>
            <w:tcW w:w="0" w:type="dxa"/>
            <w:vAlign w:val="bottom"/>
          </w:tcPr>
          <w:p>
            <w:pPr>
              <w:spacing w:after="0"/>
              <w:rPr>
                <w:sz w:val="1"/>
                <w:szCs w:val="1"/>
                <w:color w:val="auto"/>
              </w:rPr>
            </w:pPr>
          </w:p>
        </w:tc>
      </w:tr>
      <w:tr>
        <w:trPr>
          <w:trHeight w:val="20"/>
        </w:trPr>
        <w:tc>
          <w:tcPr>
            <w:tcW w:w="51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8. Borrowings</w:t>
            </w: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20" w:type="dxa"/>
            <w:vAlign w:val="bottom"/>
            <w:gridSpan w:val="7"/>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87"/>
              </w:rPr>
              <w:t>Federal Home Loan Bank Advances</w:t>
            </w:r>
          </w:p>
        </w:tc>
        <w:tc>
          <w:tcPr>
            <w:tcW w:w="256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880" w:type="dxa"/>
            <w:vAlign w:val="bottom"/>
            <w:gridSpan w:val="14"/>
          </w:tcPr>
          <w:p>
            <w:pPr>
              <w:ind w:left="340"/>
              <w:spacing w:after="0"/>
              <w:rPr>
                <w:sz w:val="20"/>
                <w:szCs w:val="20"/>
                <w:color w:val="auto"/>
              </w:rPr>
            </w:pPr>
            <w:r>
              <w:rPr>
                <w:rFonts w:ascii="Arial" w:cs="Arial" w:eastAsia="Arial" w:hAnsi="Arial"/>
                <w:sz w:val="18"/>
                <w:szCs w:val="18"/>
                <w:color w:val="auto"/>
                <w:w w:val="88"/>
              </w:rPr>
              <w:t>A summary of advances from the Federal Home Loan Bank of Boston as of June 30 follows: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Unpaid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199"/>
              <w:spacing w:after="0"/>
              <w:rPr>
                <w:sz w:val="20"/>
                <w:szCs w:val="20"/>
                <w:color w:val="auto"/>
              </w:rPr>
            </w:pPr>
            <w:r>
              <w:rPr>
                <w:rFonts w:ascii="Arial" w:cs="Arial" w:eastAsia="Arial" w:hAnsi="Arial"/>
                <w:sz w:val="14"/>
                <w:szCs w:val="14"/>
                <w:b w:val="1"/>
                <w:bCs w:val="1"/>
                <w:color w:val="auto"/>
                <w:w w:val="95"/>
              </w:rPr>
              <w:t>Principal Balance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Carrying Amount(1)</w:t>
            </w:r>
          </w:p>
        </w:tc>
        <w:tc>
          <w:tcPr>
            <w:tcW w:w="10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Interest Rate</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5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7"/>
              </w:rPr>
              <w:t>Maturity By Fiscal Year</w:t>
            </w:r>
          </w:p>
        </w:tc>
        <w:tc>
          <w:tcPr>
            <w:tcW w:w="1740" w:type="dxa"/>
            <w:vAlign w:val="bottom"/>
            <w:gridSpan w:val="3"/>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right"/>
              <w:ind w:right="79"/>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center"/>
              <w:ind w:left="135"/>
              <w:spacing w:after="0"/>
              <w:rPr>
                <w:sz w:val="20"/>
                <w:szCs w:val="20"/>
                <w:color w:val="auto"/>
              </w:rPr>
            </w:pPr>
            <w:r>
              <w:rPr>
                <w:rFonts w:ascii="Arial" w:cs="Arial" w:eastAsia="Arial" w:hAnsi="Arial"/>
                <w:sz w:val="18"/>
                <w:szCs w:val="18"/>
                <w:color w:val="auto"/>
                <w:w w:val="90"/>
              </w:rPr>
              <w:t>0.38%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10,123</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10,210</w:t>
            </w:r>
          </w:p>
        </w:tc>
        <w:tc>
          <w:tcPr>
            <w:tcW w:w="720" w:type="dxa"/>
            <w:vAlign w:val="bottom"/>
            <w:gridSpan w:val="3"/>
          </w:tcPr>
          <w:p>
            <w:pPr>
              <w:jc w:val="center"/>
              <w:ind w:left="135"/>
              <w:spacing w:after="0"/>
              <w:rPr>
                <w:sz w:val="20"/>
                <w:szCs w:val="20"/>
                <w:color w:val="auto"/>
              </w:rPr>
            </w:pPr>
            <w:r>
              <w:rPr>
                <w:rFonts w:ascii="Arial" w:cs="Arial" w:eastAsia="Arial" w:hAnsi="Arial"/>
                <w:sz w:val="18"/>
                <w:szCs w:val="18"/>
                <w:color w:val="auto"/>
                <w:w w:val="90"/>
              </w:rPr>
              <w:t>2.84%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5,091</w:t>
            </w:r>
          </w:p>
        </w:tc>
        <w:tc>
          <w:tcPr>
            <w:tcW w:w="720" w:type="dxa"/>
            <w:vAlign w:val="bottom"/>
            <w:gridSpan w:val="3"/>
            <w:shd w:val="clear" w:color="auto" w:fill="CCEEFF"/>
          </w:tcPr>
          <w:p>
            <w:pPr>
              <w:jc w:val="center"/>
              <w:ind w:left="135"/>
              <w:spacing w:after="0"/>
              <w:rPr>
                <w:sz w:val="20"/>
                <w:szCs w:val="20"/>
                <w:color w:val="auto"/>
              </w:rPr>
            </w:pPr>
            <w:r>
              <w:rPr>
                <w:rFonts w:ascii="Arial" w:cs="Arial" w:eastAsia="Arial" w:hAnsi="Arial"/>
                <w:sz w:val="18"/>
                <w:szCs w:val="18"/>
                <w:color w:val="auto"/>
                <w:w w:val="90"/>
              </w:rPr>
              <w:t>1.43%</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0"/>
        </w:trPr>
        <w:tc>
          <w:tcPr>
            <w:tcW w:w="3840" w:type="dxa"/>
            <w:vAlign w:val="bottom"/>
            <w:gridSpan w:val="4"/>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30,188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15,301</w:t>
            </w:r>
          </w:p>
        </w:tc>
        <w:tc>
          <w:tcPr>
            <w:tcW w:w="60" w:type="dxa"/>
            <w:vAlign w:val="bottom"/>
          </w:tcPr>
          <w:p>
            <w:pPr>
              <w:spacing w:after="0"/>
              <w:rPr>
                <w:sz w:val="18"/>
                <w:szCs w:val="18"/>
                <w:color w:val="auto"/>
              </w:rPr>
            </w:pPr>
          </w:p>
        </w:tc>
        <w:tc>
          <w:tcPr>
            <w:tcW w:w="720" w:type="dxa"/>
            <w:vAlign w:val="bottom"/>
            <w:gridSpan w:val="3"/>
          </w:tcPr>
          <w:p>
            <w:pPr>
              <w:jc w:val="center"/>
              <w:ind w:left="135"/>
              <w:spacing w:after="0"/>
              <w:rPr>
                <w:sz w:val="20"/>
                <w:szCs w:val="20"/>
                <w:color w:val="auto"/>
              </w:rPr>
            </w:pPr>
            <w:r>
              <w:rPr>
                <w:rFonts w:ascii="Arial" w:cs="Arial" w:eastAsia="Arial" w:hAnsi="Arial"/>
                <w:sz w:val="18"/>
                <w:szCs w:val="18"/>
                <w:color w:val="auto"/>
                <w:w w:val="90"/>
              </w:rPr>
              <w:t>2.34%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line="332" w:lineRule="auto"/>
        <w:tabs>
          <w:tab w:leader="none" w:pos="2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2015, FHLB advances with unpaid principal of $10.0 million were subject to call provisions and may be called prior to the stated maturity.</w:t>
      </w:r>
    </w:p>
    <w:p>
      <w:pPr>
        <w:spacing w:after="0" w:line="24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Certain mortgage loans, free of liens, pledges and encumbrances and certain investment securities maintained at the FHLB not otherwise pledged have been pledged under a blanket agreement to secure these advances. The Company is required to own stock in the Federal Home Loan Bank of Boston in order to borrow from the FHLB.</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2015, the Company had approximately $45.7 million of additional capacity to borrow from the FHLB.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Wholesale Repurchase Agreements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wholesale repurchase agreements as of June 30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1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Unpaid 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4"/>
          </w:tcPr>
          <w:p>
            <w:pPr>
              <w:jc w:val="center"/>
              <w:ind w:right="82"/>
              <w:spacing w:after="0"/>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14"/>
                <w:szCs w:val="14"/>
                <w:color w:val="auto"/>
              </w:rPr>
            </w:pPr>
          </w:p>
        </w:tc>
        <w:tc>
          <w:tcPr>
            <w:tcW w:w="1720" w:type="dxa"/>
            <w:vAlign w:val="bottom"/>
            <w:gridSpan w:val="4"/>
          </w:tcPr>
          <w:p>
            <w:pPr>
              <w:ind w:left="180"/>
              <w:spacing w:after="0"/>
              <w:rPr>
                <w:sz w:val="20"/>
                <w:szCs w:val="20"/>
                <w:color w:val="auto"/>
              </w:rPr>
            </w:pPr>
            <w:r>
              <w:rPr>
                <w:rFonts w:ascii="Arial" w:cs="Arial" w:eastAsia="Arial" w:hAnsi="Arial"/>
                <w:sz w:val="14"/>
                <w:szCs w:val="14"/>
                <w:b w:val="1"/>
                <w:bCs w:val="1"/>
                <w:color w:val="auto"/>
              </w:rPr>
              <w:t>Carrying Amount(1)</w:t>
            </w:r>
          </w:p>
        </w:tc>
        <w:tc>
          <w:tcPr>
            <w:tcW w:w="12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Interest Rate</w:t>
            </w:r>
          </w:p>
        </w:tc>
      </w:tr>
      <w:tr>
        <w:trPr>
          <w:trHeight w:val="142"/>
        </w:trPr>
        <w:tc>
          <w:tcPr>
            <w:tcW w:w="1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Maturity By Fiscal Year</w:t>
            </w:r>
          </w:p>
        </w:tc>
        <w:tc>
          <w:tcPr>
            <w:tcW w:w="1740" w:type="dxa"/>
            <w:vAlign w:val="bottom"/>
            <w:gridSpan w:val="3"/>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42"/>
        </w:trPr>
        <w:tc>
          <w:tcPr>
            <w:tcW w:w="1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right"/>
              <w:ind w:right="86"/>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10,000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10,199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r>
      <w:tr>
        <w:trPr>
          <w:trHeight w:val="210"/>
        </w:trPr>
        <w:tc>
          <w:tcPr>
            <w:tcW w:w="2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10,000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10,000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10,037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10,199</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r>
      <w:tr>
        <w:trPr>
          <w:trHeight w:val="20"/>
        </w:trPr>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140" w:hanging="540"/>
        <w:spacing w:after="0" w:line="332" w:lineRule="auto"/>
        <w:tabs>
          <w:tab w:leader="none" w:pos="2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2015, $10.0 million of wholesale repurchase agreements maturing in fiscal 2016 are callable on a quarterly basis.</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Company is subject to margin calls on each transaction to maintain the necessary collateral in the form of cash or other mortgage-backed securities during the borrowing term.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Lease Obligation</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fiscal 2006, the Company recognized a capital lease obligation for its Lewiston, Maine, headquarters. The present value of the lease payments over fifteen years exceeded 90% of the fair value of the property.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capital lease obligations are as follows for years ending June 30, 2015:</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Capital Lease Obligation</w:t>
            </w:r>
          </w:p>
        </w:tc>
      </w:tr>
      <w:tr>
        <w:trPr>
          <w:trHeight w:val="142"/>
        </w:trPr>
        <w:tc>
          <w:tcPr>
            <w:tcW w:w="39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2017</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2019</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2021 and thereafter</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0"/>
        </w:trPr>
        <w:tc>
          <w:tcPr>
            <w:tcW w:w="3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Imputed interest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0"/>
        </w:trPr>
        <w:tc>
          <w:tcPr>
            <w:tcW w:w="3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1,368</w:t>
            </w:r>
          </w:p>
        </w:tc>
      </w:tr>
      <w:tr>
        <w:trPr>
          <w:trHeight w:val="20"/>
        </w:trPr>
        <w:tc>
          <w:tcPr>
            <w:tcW w:w="3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Borrowings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Short-term borrowings are sweep accounts, which are a demand account product that moves balances in excess of an agreed upon target amount from a demand deposit account into an interest-bearing account overnight. The sweep account is collateralized with a letter of credit issued by the FHLBB. The weighted average interest rate on short-term borrowings was 1.91% and 1.35% at June 30, 2015 and 2014,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Junior Subordinated Debentures Issued to Affiliated Trusts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NBN Capital Trust II and NBN Capital Trust III were created in December 2003. NBN Capital Trust IV was created in December 2004. Each such trust is a Delaware statutory trust (together, the "Private Trusts"). The exclusive purpose of the Private Trusts was (i) issuing and selling common securities and preferred securities in a private placement offering (the "Private Trust Securities"), (ii) using the proceeds of the sale of the Private Trust Securities to acquire Junior Subordinated Deferrable Interest Notes ("Junior Subordinated Debentures"); and (iii) engaging only in those other activities necessary, convenient or incidental thereto. Accordingly, the Junior Subordinated Debentures are the sole assets of each of the Private Trusts.</w:t>
      </w:r>
    </w:p>
    <w:p>
      <w:pPr>
        <w:spacing w:after="0" w:line="170"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following table summarizes the Junior Subordinated Debentures issued by the Company to each affiliated trust and the Private Trust Securities issued by each affiliated trust as of June 30, 2015. Amounts include the junior subordinated debentures acquired by the affiliated trusts from the Company with the capital contributed by the Company in exchange for the common securities of such trust, which were $93 thousand each for NBN Capital Trust II and III and</w:t>
      </w:r>
    </w:p>
    <w:p>
      <w:pPr>
        <w:spacing w:after="0" w:line="1"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$310 thousand for NBN Capital Trust IV. The trust preferred securities (the "Preferred Securities") were sold in two separate private placement offerings. The Company has the right to redeem the Junior Subordinated Debentures, in whole or in part, on or after March 30, 2009, for NBN Capital Trust II and III, and 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Junior Subordinated Debentures Issued to Affiliated Trusts (Continued)</w:t>
      </w:r>
    </w:p>
    <w:p>
      <w:pPr>
        <w:spacing w:after="0" w:line="23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or after February 23, 2010, for NBN Capital Trust IV, at the redemption price specified in the associated Indenture, plus accrued but unpaid interest to the redemption date.</w:t>
      </w:r>
    </w:p>
    <w:p>
      <w:pPr>
        <w:spacing w:after="0" w:line="37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ind w:left="140"/>
              <w:spacing w:after="0"/>
              <w:rPr>
                <w:sz w:val="20"/>
                <w:szCs w:val="20"/>
                <w:color w:val="auto"/>
              </w:rPr>
            </w:pPr>
            <w:r>
              <w:rPr>
                <w:rFonts w:ascii="Arial" w:cs="Arial" w:eastAsia="Arial" w:hAnsi="Arial"/>
                <w:sz w:val="14"/>
                <w:szCs w:val="14"/>
                <w:b w:val="1"/>
                <w:bCs w:val="1"/>
                <w:color w:val="auto"/>
              </w:rPr>
              <w:t>Unpaid Principal</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Maturity</w:t>
            </w:r>
          </w:p>
        </w:tc>
        <w:tc>
          <w:tcPr>
            <w:tcW w:w="16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Balance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9"/>
              </w:rPr>
              <w:t>Carrying Amount(1)</w:t>
            </w:r>
          </w:p>
        </w:tc>
      </w:tr>
      <w:tr>
        <w:trPr>
          <w:trHeight w:val="142"/>
        </w:trPr>
        <w:tc>
          <w:tcPr>
            <w:tcW w:w="2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Date</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(Dollars in</w:t>
            </w: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NBN Capital Trust II</w:t>
            </w: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March 30, 2034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3,093</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NBN Capital Trust III</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March 30, 2034</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1,804</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NBN Capital Trust IV</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February 23, 2035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10,310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10,310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4,832</w:t>
            </w:r>
          </w:p>
        </w:tc>
      </w:tr>
      <w:tr>
        <w:trPr>
          <w:trHeight w:val="210"/>
        </w:trPr>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16,496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16,496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120" w:hanging="540"/>
        <w:spacing w:after="0" w:line="332" w:lineRule="auto"/>
        <w:tabs>
          <w:tab w:leader="none" w:pos="2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NBN Capital Trust II and III pay a variable rate based on three month LIBOR plus 2.80%, and NBN Capital Trust IV pays a variable rate based on three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 LIBOR plus 1.89%. Accordingly, the Preferred Securities of the Private Trusts currently pay quarterly distributions at an annual rate of 3.26%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stated liquidation amount of $1,000 per Preferred Security for NBN Capital Trust II and III and an annual rate of 2.36% for the stated liquidation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per Preferred Security for NBN Capital Trust IV. The Company has fully and unconditionally guaranteed all of the obligations of each trust. The guaranty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covers the quarterly distributions and payments on liquidation or redemption of the Private Trust Securities, but only to the extent of funds held by the trusts.</w:t>
      </w:r>
    </w:p>
    <w:p>
      <w:pPr>
        <w:spacing w:after="0" w:line="242"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The Junior Subordinated Debentures each have variable rates indexed to three-month LIBOR. During the fiscal year ended June 30, 2010, the Company purchased two interest rate caps and an interest rate swap to hedge the interest rate risk on notional amounts of $6 million and $10 million, respectively, of the Company's Junior Subordinated Debentures. Each was a cash flow hedge to manage the risk to net interest income in a period of rising rates. During the fiscal year ended June 30, 2015, both the $6 million cap and the $10 million interest rate swap expired, and two interest rate caps in the amounts of $6 million and $10 million were purchased in October 2014 and March 2015, respectively.</w:t>
      </w:r>
    </w:p>
    <w:p>
      <w:pPr>
        <w:spacing w:after="0" w:line="17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interest rate caps hedge the junior subordinated debt resulting from the issuance of trust preferred securities by our affiliates NBN Capital Trust II, NBN Capital Trust III and NBN Capital Trust IV. The notional amount of $6 million and $10 million for each interest rate cap represents the outstanding junior subordinated debt from each trust. The strike rate is 2.50%. The Company will recognize higher interest expense on the junior subordinated debt for the first 200 basis points increase in three-month LIBOR. Once the three-month LIBOR rate exceeds 2.50% on a quarterly reset date, there will be a payment by the counterparty to the Company at the following quarter end. The effective date of the purchased interest rate caps were October 2014 and March 2015, respectively, and mature five years after.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and Regulatory Matters</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and Regulatory Matters (Continued)</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Company's and the Bank's capital amounts and classification are also subject to qualitative judgments by the regulators about components, risk weightings and other factors.</w:t>
      </w:r>
    </w:p>
    <w:p>
      <w:pPr>
        <w:spacing w:after="0" w:line="197"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prompt corrective action regulations define specific capital categories based on an institution's capital ratios. The capital categories, in declining order, are "well capitalized," "adequately capitalized," "undercapitalized," "significantly undercapitalized" and "critically undercapitalized."</w:t>
      </w:r>
    </w:p>
    <w:p>
      <w:pPr>
        <w:spacing w:after="0" w:line="139"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of June 30, 2015 and 2014, the most recent notification from the Company's and the Bank's regulator categorized the Company and the Bank as "well capitalized" under the regulatory framework for prompt corrective action. To be categorized as "well capitalized," the Company and the Bank must maintain minimum Common equity tier 1 risk-based, total risk-based, Tier 1 risk-based and Tier 1 leverage ratios as set forth in the table below. There are no conditions or events since that notification that management believes have changed the institution's regulatory designation as "well-capitalized" under the regulatory framework for prompt corrective action.</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the Bank to maintain minimum amounts and ratios as set forth in the table below. At June 30, 2015 and 2014, the Company's and the Bank's ratios exceeded the regulatory requirements. Management believes that the Company and the Bank met all capital adequacy requirements to which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and Regulatory Matters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they were subject as of June 30, 2015 and 2014. The Company's and the Bank's regulatory capital ratios are set forth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Minimum To Be</w:t>
            </w: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Well Capitalized</w:t>
            </w: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Under Prompt</w:t>
            </w: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Minimum Capital</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Correction Action</w:t>
            </w: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b w:val="1"/>
                <w:bCs w:val="1"/>
                <w:color w:val="auto"/>
                <w:w w:val="88"/>
              </w:rPr>
              <w:t>Actual</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5"/>
              </w:rPr>
              <w:t>Requirements</w:t>
            </w: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3"/>
              </w:rPr>
              <w:t>Provisions</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(Dollars in</w:t>
            </w: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thousands)</w:t>
            </w:r>
          </w:p>
        </w:tc>
        <w:tc>
          <w:tcPr>
            <w:tcW w:w="3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4"/>
              </w:rPr>
              <w:t>Common equity tier 1 capital to risk weighted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120,461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27,489</w:t>
            </w:r>
          </w:p>
        </w:tc>
        <w:tc>
          <w:tcPr>
            <w:tcW w:w="9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w w:val="90"/>
              </w:rPr>
              <w:t>³4.5%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Bank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107,589</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27,556</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³4.5%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39,802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³6.5%</w:t>
            </w:r>
          </w:p>
        </w:tc>
      </w:tr>
      <w:tr>
        <w:trPr>
          <w:trHeight w:val="432"/>
        </w:trPr>
        <w:tc>
          <w:tcPr>
            <w:tcW w:w="20" w:type="dxa"/>
            <w:vAlign w:val="bottom"/>
          </w:tcPr>
          <w:p>
            <w:pPr>
              <w:spacing w:after="0"/>
              <w:rPr>
                <w:sz w:val="24"/>
                <w:szCs w:val="2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Company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122,424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48,872</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³8.0%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111,340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48,994</w:t>
            </w: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7"/>
              </w:rPr>
              <w:t>³8.0%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³10.0%</w:t>
            </w:r>
          </w:p>
        </w:tc>
      </w:tr>
      <w:tr>
        <w:trPr>
          <w:trHeight w:val="431"/>
        </w:trPr>
        <w:tc>
          <w:tcPr>
            <w:tcW w:w="4020" w:type="dxa"/>
            <w:vAlign w:val="bottom"/>
            <w:gridSpan w:val="2"/>
          </w:tcPr>
          <w:p>
            <w:pPr>
              <w:spacing w:after="0"/>
              <w:rPr>
                <w:sz w:val="20"/>
                <w:szCs w:val="20"/>
                <w:color w:val="auto"/>
              </w:rPr>
            </w:pPr>
            <w:r>
              <w:rPr>
                <w:rFonts w:ascii="Arial" w:cs="Arial" w:eastAsia="Arial" w:hAnsi="Arial"/>
                <w:sz w:val="18"/>
                <w:szCs w:val="18"/>
                <w:color w:val="auto"/>
              </w:rPr>
              <w:t>Tier 1 capital to risk weighted assets: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120,461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w:t>
            </w: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Bank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107,589</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24,494</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36,741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³6.0%</w:t>
            </w:r>
          </w:p>
        </w:tc>
      </w:tr>
      <w:tr>
        <w:trPr>
          <w:trHeight w:val="432"/>
        </w:trPr>
        <w:tc>
          <w:tcPr>
            <w:tcW w:w="20" w:type="dxa"/>
            <w:vAlign w:val="bottom"/>
          </w:tcPr>
          <w:p>
            <w:pPr>
              <w:spacing w:after="0"/>
              <w:rPr>
                <w:sz w:val="24"/>
                <w:szCs w:val="2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Company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120,461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33,415</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107,589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33,439</w:t>
            </w: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³5.0%</w:t>
            </w:r>
          </w:p>
        </w:tc>
      </w:tr>
      <w:tr>
        <w:trPr>
          <w:trHeight w:val="430"/>
        </w:trPr>
        <w:tc>
          <w:tcPr>
            <w:tcW w:w="4020" w:type="dxa"/>
            <w:vAlign w:val="bottom"/>
            <w:gridSpan w:val="2"/>
          </w:tcPr>
          <w:p>
            <w:pPr>
              <w:spacing w:after="0"/>
              <w:rPr>
                <w:sz w:val="20"/>
                <w:szCs w:val="20"/>
                <w:color w:val="auto"/>
              </w:rPr>
            </w:pPr>
            <w:r>
              <w:rPr>
                <w:rFonts w:ascii="Arial" w:cs="Arial" w:eastAsia="Arial" w:hAnsi="Arial"/>
                <w:sz w:val="18"/>
                <w:szCs w:val="18"/>
                <w:color w:val="auto"/>
              </w:rPr>
              <w:t>June 30, 2014: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Company</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120,818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23.69%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40,808</w:t>
            </w:r>
          </w:p>
        </w:tc>
        <w:tc>
          <w:tcPr>
            <w:tcW w:w="980" w:type="dxa"/>
            <w:vAlign w:val="bottom"/>
            <w:gridSpan w:val="4"/>
          </w:tcPr>
          <w:p>
            <w:pPr>
              <w:ind w:left="400"/>
              <w:spacing w:after="0"/>
              <w:rPr>
                <w:sz w:val="20"/>
                <w:szCs w:val="20"/>
                <w:color w:val="auto"/>
              </w:rPr>
            </w:pPr>
            <w:r>
              <w:rPr>
                <w:rFonts w:ascii="Arial" w:cs="Arial" w:eastAsia="Arial" w:hAnsi="Arial"/>
                <w:sz w:val="18"/>
                <w:szCs w:val="18"/>
                <w:color w:val="auto"/>
                <w:w w:val="90"/>
              </w:rPr>
              <w:t>³8.0% $</w:t>
            </w: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103,160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41,027</w:t>
            </w: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7"/>
              </w:rPr>
              <w:t>³8.0%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³10.0%</w:t>
            </w:r>
          </w:p>
        </w:tc>
      </w:tr>
      <w:tr>
        <w:trPr>
          <w:trHeight w:val="431"/>
        </w:trPr>
        <w:tc>
          <w:tcPr>
            <w:tcW w:w="4020" w:type="dxa"/>
            <w:vAlign w:val="bottom"/>
            <w:gridSpan w:val="2"/>
          </w:tcPr>
          <w:p>
            <w:pPr>
              <w:spacing w:after="0"/>
              <w:rPr>
                <w:sz w:val="20"/>
                <w:szCs w:val="20"/>
                <w:color w:val="auto"/>
              </w:rPr>
            </w:pPr>
            <w:r>
              <w:rPr>
                <w:rFonts w:ascii="Arial" w:cs="Arial" w:eastAsia="Arial" w:hAnsi="Arial"/>
                <w:sz w:val="18"/>
                <w:szCs w:val="18"/>
                <w:color w:val="auto"/>
              </w:rPr>
              <w:t>Tier 1 capital to risk weighted assets: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119,421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20,404</w:t>
            </w: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Bank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99,256</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20,514</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30,771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³6.0%</w:t>
            </w:r>
          </w:p>
        </w:tc>
      </w:tr>
      <w:tr>
        <w:trPr>
          <w:trHeight w:val="432"/>
        </w:trPr>
        <w:tc>
          <w:tcPr>
            <w:tcW w:w="20" w:type="dxa"/>
            <w:vAlign w:val="bottom"/>
          </w:tcPr>
          <w:p>
            <w:pPr>
              <w:spacing w:after="0"/>
              <w:rPr>
                <w:sz w:val="24"/>
                <w:szCs w:val="2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Company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119,421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30,049</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30,028</w:t>
            </w: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7"/>
              </w:rPr>
              <w:t>³4.0%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³5.0%</w:t>
            </w: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Parent if the effect thereof would cause the capital of the Bank to be reduced below the capital requirements imposed by the regulatory authorities or if such amount exceeds the otherwise allowable amount under FRB rules.</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connection with the Merger,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non-owner occupied commercial real estate loans to within 300% of total risk-based capital. The Company and the Bank are currently in compliance with all commitments to the Federal Reserve.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(Dollars in</w:t>
            </w:r>
          </w:p>
        </w:tc>
        <w:tc>
          <w:tcPr>
            <w:tcW w:w="1180" w:type="dxa"/>
            <w:vAlign w:val="bottom"/>
            <w:gridSpan w:val="4"/>
          </w:tcPr>
          <w:p>
            <w:pPr>
              <w:jc w:val="right"/>
              <w:ind w:right="134"/>
              <w:spacing w:after="0" w:line="129" w:lineRule="exact"/>
              <w:rPr>
                <w:sz w:val="20"/>
                <w:szCs w:val="20"/>
                <w:color w:val="auto"/>
              </w:rPr>
            </w:pPr>
            <w:r>
              <w:rPr>
                <w:rFonts w:ascii="Arial" w:cs="Arial" w:eastAsia="Arial" w:hAnsi="Arial"/>
                <w:sz w:val="14"/>
                <w:szCs w:val="14"/>
                <w:b w:val="1"/>
                <w:bCs w:val="1"/>
                <w:color w:val="auto"/>
                <w:w w:val="76"/>
              </w:rPr>
              <w:t>thousands, except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share and per share data)</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Preferred stock dividends and accretion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5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income from continuing operations available to common</w:t>
            </w: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shareholders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w w:val="98"/>
              </w:rPr>
              <w:t>Weighted average shares used in calculation of basic earnings per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w w:val="92"/>
              </w:rPr>
              <w:t>9,980,733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w w:val="93"/>
              </w:rPr>
              <w:t>10,404,784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Incremental shares from assumed exercise of dilutive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5720" w:type="dxa"/>
            <w:vAlign w:val="bottom"/>
          </w:tcPr>
          <w:p>
            <w:pPr>
              <w:ind w:left="360"/>
              <w:spacing w:after="0" w:line="201" w:lineRule="exact"/>
              <w:rPr>
                <w:sz w:val="20"/>
                <w:szCs w:val="20"/>
                <w:color w:val="auto"/>
              </w:rPr>
            </w:pPr>
            <w:r>
              <w:rPr>
                <w:rFonts w:ascii="Arial" w:cs="Arial" w:eastAsia="Arial" w:hAnsi="Arial"/>
                <w:sz w:val="18"/>
                <w:szCs w:val="18"/>
                <w:color w:val="auto"/>
                <w:w w:val="98"/>
              </w:rPr>
              <w:t>Weighted average shares used in calculation of diluted earnings per</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40"/>
              <w:spacing w:after="0"/>
              <w:rPr>
                <w:sz w:val="20"/>
                <w:szCs w:val="20"/>
                <w:color w:val="auto"/>
              </w:rPr>
            </w:pPr>
            <w:r>
              <w:rPr>
                <w:rFonts w:ascii="Arial" w:cs="Arial" w:eastAsia="Arial" w:hAnsi="Arial"/>
                <w:sz w:val="18"/>
                <w:szCs w:val="18"/>
                <w:color w:val="auto"/>
              </w:rPr>
              <w:t>share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9,980,733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10,404,784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Earnings per common share: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5720" w:type="dxa"/>
            <w:vAlign w:val="bottom"/>
          </w:tcPr>
          <w:p>
            <w:pPr>
              <w:ind w:left="360"/>
              <w:spacing w:after="0"/>
              <w:rPr>
                <w:sz w:val="20"/>
                <w:szCs w:val="20"/>
                <w:color w:val="auto"/>
              </w:rPr>
            </w:pPr>
            <w:r>
              <w:rPr>
                <w:rFonts w:ascii="Arial" w:cs="Arial" w:eastAsia="Arial" w:hAnsi="Arial"/>
                <w:sz w:val="18"/>
                <w:szCs w:val="18"/>
                <w:color w:val="auto"/>
              </w:rPr>
              <w:t>Earnings per common share</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5720" w:type="dxa"/>
            <w:vAlign w:val="bottom"/>
          </w:tcPr>
          <w:p>
            <w:pPr>
              <w:ind w:left="360"/>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the years ended June 30, 2015 and 2014, the following stock options and warrants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72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1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1,059,721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1,149,131</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Warrants</w:t>
            </w:r>
          </w:p>
        </w:tc>
        <w:tc>
          <w:tcPr>
            <w:tcW w:w="35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540" w:type="dxa"/>
            <w:vAlign w:val="bottom"/>
          </w:tcPr>
          <w:p>
            <w:pPr>
              <w:jc w:val="right"/>
              <w:ind w:right="1812"/>
              <w:spacing w:after="0"/>
              <w:rPr>
                <w:sz w:val="20"/>
                <w:szCs w:val="20"/>
                <w:color w:val="auto"/>
              </w:rPr>
            </w:pPr>
            <w:r>
              <w:rPr>
                <w:rFonts w:ascii="Arial" w:cs="Arial" w:eastAsia="Arial" w:hAnsi="Arial"/>
                <w:sz w:val="18"/>
                <w:szCs w:val="18"/>
                <w:color w:val="auto"/>
              </w:rPr>
              <w:t>98</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current and deferred components of income tax expense from continuing operations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Year Ended June 30,</w:t>
            </w:r>
          </w:p>
        </w:tc>
      </w:tr>
      <w:tr>
        <w:trPr>
          <w:trHeight w:val="142"/>
        </w:trPr>
        <w:tc>
          <w:tcPr>
            <w:tcW w:w="4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w w:val="87"/>
              </w:rPr>
              <w:t>(Dollars in thousands)</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4,282</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3,518</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r>
      <w:tr>
        <w:trPr>
          <w:trHeight w:val="210"/>
        </w:trPr>
        <w:tc>
          <w:tcPr>
            <w:tcW w:w="4040" w:type="dxa"/>
            <w:vAlign w:val="bottom"/>
          </w:tcPr>
          <w:p>
            <w:pPr>
              <w:ind w:left="360"/>
              <w:spacing w:after="0"/>
              <w:rPr>
                <w:sz w:val="20"/>
                <w:szCs w:val="20"/>
                <w:color w:val="auto"/>
              </w:rPr>
            </w:pPr>
            <w:r>
              <w:rPr>
                <w:rFonts w:ascii="Arial" w:cs="Arial" w:eastAsia="Arial" w:hAnsi="Arial"/>
                <w:sz w:val="18"/>
                <w:szCs w:val="18"/>
                <w:color w:val="auto"/>
              </w:rPr>
              <w:t>Total current provision</w:t>
            </w:r>
          </w:p>
        </w:tc>
        <w:tc>
          <w:tcPr>
            <w:tcW w:w="2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0"/>
        </w:trPr>
        <w:tc>
          <w:tcPr>
            <w:tcW w:w="4040" w:type="dxa"/>
            <w:vAlign w:val="bottom"/>
          </w:tcPr>
          <w:p>
            <w:pPr>
              <w:ind w:left="360"/>
              <w:spacing w:after="0"/>
              <w:rPr>
                <w:sz w:val="20"/>
                <w:szCs w:val="20"/>
                <w:color w:val="auto"/>
              </w:rPr>
            </w:pPr>
            <w:r>
              <w:rPr>
                <w:rFonts w:ascii="Arial" w:cs="Arial" w:eastAsia="Arial" w:hAnsi="Arial"/>
                <w:sz w:val="18"/>
                <w:szCs w:val="18"/>
                <w:color w:val="auto"/>
              </w:rPr>
              <w:t>Total deferred benefit</w:t>
            </w:r>
          </w:p>
        </w:tc>
        <w:tc>
          <w:tcPr>
            <w:tcW w:w="20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160" w:type="dxa"/>
            <w:vAlign w:val="bottom"/>
          </w:tcPr>
          <w:p>
            <w:pPr>
              <w:spacing w:after="0"/>
              <w:rPr>
                <w:sz w:val="18"/>
                <w:szCs w:val="18"/>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tax provision</w:t>
            </w:r>
          </w:p>
        </w:tc>
        <w:tc>
          <w:tcPr>
            <w:tcW w:w="2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w:t>
            </w:r>
          </w:p>
        </w:tc>
      </w:tr>
      <w:tr>
        <w:trPr>
          <w:trHeight w:val="20"/>
        </w:trPr>
        <w:tc>
          <w:tcPr>
            <w:tcW w:w="4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reconciliation between the statutory federal income tax rate of 34% and the effective tax rate on income from continuing operations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2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3"/>
              </w:rPr>
              <w:t>Expected income tax expense at federal tax rate</w:t>
            </w:r>
          </w:p>
        </w:tc>
        <w:tc>
          <w:tcPr>
            <w:tcW w:w="26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Non-taxable BOLI income</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Low-income housing tax credit</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Total tax provision</w:t>
            </w:r>
          </w:p>
        </w:tc>
        <w:tc>
          <w:tcPr>
            <w:tcW w:w="25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00" w:type="dxa"/>
            <w:vAlign w:val="bottom"/>
            <w:vMerge w:val="restart"/>
          </w:tcPr>
          <w:p>
            <w:pPr>
              <w:jc w:val="right"/>
              <w:ind w:right="1952"/>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tax effect of temporary differences that give rise to significant portions of the deferred tax assets and deferred tax liabilities at June 30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w w:val="87"/>
              </w:rPr>
              <w:t>(Dollars in thousands)</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722</w:t>
            </w:r>
          </w:p>
        </w:tc>
        <w:tc>
          <w:tcPr>
            <w:tcW w:w="3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basis differential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3,198</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Time deposit basis differential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basis differential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Capital lease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897</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derivatives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Unrealized loss on available for sale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nonperforming loans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r>
      <w:tr>
        <w:trPr>
          <w:trHeight w:val="210"/>
        </w:trPr>
        <w:tc>
          <w:tcPr>
            <w:tcW w:w="6120" w:type="dxa"/>
            <w:vAlign w:val="bottom"/>
          </w:tcPr>
          <w:p>
            <w:pPr>
              <w:ind w:left="540"/>
              <w:spacing w:after="0"/>
              <w:rPr>
                <w:sz w:val="20"/>
                <w:szCs w:val="20"/>
                <w:color w:val="auto"/>
              </w:rPr>
            </w:pPr>
            <w:r>
              <w:rPr>
                <w:rFonts w:ascii="Arial" w:cs="Arial" w:eastAsia="Arial" w:hAnsi="Arial"/>
                <w:sz w:val="18"/>
                <w:szCs w:val="18"/>
                <w:color w:val="auto"/>
              </w:rPr>
              <w:t>Gross deferred tax asset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8,935</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1,443</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basis differential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2,811</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deferred tax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5,655</w:t>
            </w:r>
          </w:p>
        </w:tc>
      </w:tr>
      <w:tr>
        <w:trPr>
          <w:trHeight w:val="210"/>
        </w:trPr>
        <w:tc>
          <w:tcPr>
            <w:tcW w:w="612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deferred tax asset was included in other assets in the accompanying balance sheet as of June 30, 2015 and June 30, 2014.</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accordance with ASC 740, deferred tax assets are to be reduced by a valuation allowance if, based on the weight of available evidence, it is more likely than not that some portion or all of the deferred tax assets will not be realized. The realization of the tax benefit depends upon the existence of sufficient taxable income within the carry-back and future periods.</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believes that it is more likely than not that the net deferred tax asset as of June 30, 2015, excluding the net deferred tax asset on capital losses, will be realized, based upon the ability to generate future taxable income as well as the availability of current and historical taxable income. The Company believes it is more likely than not that the net deferred tax asset related to capital losses will not be realized and has recorded a valuation allowance of $49 thousand at June 30, 2015, attributable to this net deferred tax asset.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federal tax purposes, the Company has a $2.0 million reserve for loan losses which remains subject to recapture. If any portion of the reserve is used for purposes other than to absorb the losses for which it was established, approximately 150% of the amount actually used (limited to the amount of the reserve) would be subject to taxation in the year in which used. As the Company intends to use the reserve only to absorb loan losses, no provision has been made for potential liability that would result if 100% of the reserve were recaptured.</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From time to time, the Internal Revenue Service (the "IRS") and state tax authorities may review or challenge specific tax positions taken by the Company in its ordinary course of business. The Company accounts for uncertainties in income taxes by reserving for tax positions that may not be upheld under examination. Increases to the Company's unrealized tax positions occur as a result of accruing for the unrecognized tax benefit as well the accrual of interest and penalties related to prior year positions. Decreases in the Company's unrealized tax positions occur as a result of the statute of limitation lapsing on prior year positions or settlements relating to outstanding positions. The Company reserves for uncertain tax positions, as well as related interest and penalties, as a component of income tax expense therefore affecting the effective tax rate. The following is a reconciliation of the beginning and ending amounts of the Company's uncertain tax positions: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Interest and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1"/>
              </w:rPr>
              <w:t>Tax Position</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Penalties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Reduction of tax positions for prior years</w:t>
            </w:r>
          </w:p>
        </w:tc>
        <w:tc>
          <w:tcPr>
            <w:tcW w:w="17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is currently open to audit under the statute of limitations by the IRS and state taxing authorities for the fiscal 2012 tax return and forward.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401(k) Plan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offers a contributory 401(k) plan that is available to all full-time salaried and hourly-paid employees who have attained age 18, and completed 90 days of employment. Employees may contribute up to 100% of their base compensation, subject to IRS limitations. The Company will match 50% of each employee's contribution up to the first 6% contributed. For the years ended June 30, 2015 and 2014, the Company contributed $315 thousand and $341 thousand,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has individual deferred compensation agreements with five former senior officers. The Company recognized deferred compensation expense of $30 thousand and $80 thousand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 (Continued)</w:t>
      </w:r>
    </w:p>
    <w:p>
      <w:pPr>
        <w:spacing w:after="0" w:line="231"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years ended June 30, 2015 and 2014, respectively. At June 30, 2015 and 2014, the Company's deferred compensation liability was $512 thousand and $485 thousand,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31"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At the 2012 annual meeting of shareholders, the Company's shareholders approved the Northeast Bancorp Amended and Restated 2010 Stock Option and Incentive Plan (the "Restated Plan"). The Restated Plan amends and restates the Northeast Bancorp 2010 Option and Incentive Plan (the "2010 Plan"). The key material differences between the 2010 Plan and the Restated Plan are:</w:t>
      </w:r>
    </w:p>
    <w:p>
      <w:pPr>
        <w:spacing w:after="0" w:line="208" w:lineRule="exact"/>
        <w:rPr>
          <w:sz w:val="20"/>
          <w:szCs w:val="20"/>
          <w:color w:val="auto"/>
        </w:rPr>
      </w:pPr>
    </w:p>
    <w:p>
      <w:pPr>
        <w:ind w:left="1080" w:right="3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number of shares of common stock to be issued under the Restated Plan is increased by 600,000 shares, from 810,054 shares to 1,410,054 shares;</w:t>
      </w:r>
    </w:p>
    <w:p>
      <w:pPr>
        <w:spacing w:after="0" w:line="212"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method by which shares subject to previously granted awards are added back to the Restated Plan has been revised so that the only shares added back to the Restated Plan are those subject to awards that are forfeited, canceled or otherwise terminated. The following shares shall not be added back to the Restated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Minimum vesting periods are required for grants of restricted stock, restricted stock units and performance share awards; and</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of the Restated Plan will now expire on November 28, 2022, while grants of incentive options under the Restated Plan may be made until September 21, 2022.</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June 30, 2015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4"/>
          </w:tcPr>
          <w:p>
            <w:pPr>
              <w:jc w:val="center"/>
              <w:ind w:right="20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1,143,195</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358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7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(103,474)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27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1,059,721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1720"/>
              <w:spacing w:after="0"/>
              <w:rPr>
                <w:sz w:val="20"/>
                <w:szCs w:val="20"/>
                <w:color w:val="auto"/>
              </w:rPr>
            </w:pPr>
            <w:r>
              <w:rPr>
                <w:rFonts w:ascii="Arial" w:cs="Arial" w:eastAsia="Arial" w:hAnsi="Arial"/>
                <w:sz w:val="18"/>
                <w:szCs w:val="18"/>
                <w:color w:val="auto"/>
              </w:rPr>
              <w:t>Exercisable</w:t>
            </w:r>
          </w:p>
        </w:tc>
        <w:tc>
          <w:tcPr>
            <w:tcW w:w="3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13.81</w:t>
            </w: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
            <w:vMerge w:val="continue"/>
          </w:tcPr>
          <w:p>
            <w:pPr>
              <w:spacing w:after="0"/>
              <w:rPr>
                <w:sz w:val="17"/>
                <w:szCs w:val="17"/>
                <w:color w:val="auto"/>
              </w:rPr>
            </w:pPr>
          </w:p>
        </w:tc>
        <w:tc>
          <w:tcPr>
            <w:tcW w:w="2740" w:type="dxa"/>
            <w:vAlign w:val="bottom"/>
          </w:tcPr>
          <w:p>
            <w:pPr>
              <w:spacing w:after="0"/>
              <w:rPr>
                <w:sz w:val="17"/>
                <w:szCs w:val="17"/>
                <w:color w:val="auto"/>
              </w:rPr>
            </w:pPr>
          </w:p>
        </w:tc>
        <w:tc>
          <w:tcPr>
            <w:tcW w:w="8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305,595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3"/>
            <w:vMerge w:val="restart"/>
          </w:tcPr>
          <w:p>
            <w:pPr>
              <w:jc w:val="center"/>
              <w:ind w:right="19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line="20" w:lineRule="exact"/>
              <w:rPr>
                <w:sz w:val="1"/>
                <w:szCs w:val="1"/>
                <w:color w:val="auto"/>
              </w:rPr>
            </w:pPr>
          </w:p>
        </w:tc>
      </w:tr>
      <w:tr>
        <w:trPr>
          <w:trHeight w:val="765"/>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Exercisable, beginning of year</w:t>
            </w:r>
          </w:p>
        </w:tc>
        <w:tc>
          <w:tcPr>
            <w:tcW w:w="3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223,706</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Vested</w:t>
            </w:r>
          </w:p>
        </w:tc>
        <w:tc>
          <w:tcPr>
            <w:tcW w:w="3760" w:type="dxa"/>
            <w:vAlign w:val="bottom"/>
            <w:gridSpan w:val="5"/>
          </w:tcPr>
          <w:p>
            <w:pPr>
              <w:jc w:val="right"/>
              <w:spacing w:after="0"/>
              <w:rPr>
                <w:sz w:val="20"/>
                <w:szCs w:val="20"/>
                <w:color w:val="auto"/>
              </w:rPr>
            </w:pPr>
            <w:r>
              <w:rPr>
                <w:rFonts w:ascii="Arial" w:cs="Arial" w:eastAsia="Arial" w:hAnsi="Arial"/>
                <w:sz w:val="18"/>
                <w:szCs w:val="18"/>
                <w:color w:val="auto"/>
              </w:rPr>
              <w:t>95,570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Forfeited or expired</w:t>
            </w:r>
          </w:p>
        </w:tc>
        <w:tc>
          <w:tcPr>
            <w:tcW w:w="306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(13,681)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Exercisable, end of year</w:t>
            </w:r>
          </w:p>
        </w:tc>
        <w:tc>
          <w:tcPr>
            <w:tcW w:w="3060" w:type="dxa"/>
            <w:vAlign w:val="bottom"/>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305,595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740" w:type="dxa"/>
            <w:vAlign w:val="bottom"/>
            <w:vMerge w:val="restart"/>
          </w:tcPr>
          <w:p>
            <w:pPr>
              <w:jc w:val="right"/>
              <w:ind w:right="1612"/>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(Continued)</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fair values of options granted have been estimated on the date of grant using the Black-Scholes option-pricing model using the following weighted-average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4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Assumptions: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7.0 years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7.0 years</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30.38%</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Weighted average fair value per option</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3.11</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r>
    </w:tbl>
    <w:p>
      <w:pPr>
        <w:spacing w:after="0" w:line="20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expected volatility is based on historical volatility. The risk-free interest rate is for periods within the expected life of the awards, and is based on the U.S. Treasury yield curve in effect at the time of the grant. The expected life is based on expected exercise experience.</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year ended June 30, 2013, certain provisions of outstanding stock options with market-based conditions were modified. The options, consisting of 237,616 shares, were granted to three executives of the Company in December of 2010 and were to vest in three equal tranches upon the Company's common stock reaching applicable hurdle prices over specified time periods. The applicable hurdle price varies depending on the number of years that have elapsed since the date of grant. With respect to the first tranche, the applicable hurdle price was $27.86 for the period from December 29, 2010 through December 29, 2015; $31.34 for the period from December 29, 2015 through December 29, 2016; and $34.83 for the period from December 29, 2016 through December 29, 2017. With respect to the second tranche, the hurdle price was $31.34 for the period from December 29, 2010 through December 29, 2016; and $34.83 for the period from December 29, 2016 through December 29, 2017. With respect to the third tranche, the hurdle price was $34.83 for the period from December 29, 2010 through December 29, 2017.</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Compensation Committee approved amending the hurdle prices as follows: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With respect to the first tranche, the applicable hurdle price is $16.43 for the period from December 29, 2010 through December 28, 2015; $18.58 for the period from December 29, 2015 through December 28, 2016; and $20.77 for the period from December 29, 2016 through December 28, 2017. With respect to the second tranche, the hurdle price is $18.58 for the period from December 29, 2010 through December 28, 2016; and $20.77 for the period from December 29, 2016 through December 28, 2017. With respect to the third tranche, the hurdle price is $20.77 for the period from December 29, 2010 through December 28, 2017.</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Except as modified by this amendment, all other terms and conditions of each of the outstanding performance-based stock options, including the option exercise price of $13.93 per share, remain in full force and effect.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incremental expense resulting from the modification was calculated as the difference between the stock option's fair value immediately before and after the modification using the Hull-White option pricing model and the following weighted-average assumptions: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Assumptions: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5"/>
          </w:tcPr>
          <w:p>
            <w:pPr>
              <w:ind w:left="180"/>
              <w:spacing w:after="0"/>
              <w:rPr>
                <w:sz w:val="20"/>
                <w:szCs w:val="20"/>
                <w:color w:val="auto"/>
              </w:rPr>
            </w:pPr>
            <w:r>
              <w:rPr>
                <w:rFonts w:ascii="Arial" w:cs="Arial" w:eastAsia="Arial" w:hAnsi="Arial"/>
                <w:sz w:val="18"/>
                <w:szCs w:val="18"/>
                <w:color w:val="auto"/>
              </w:rPr>
              <w:t>Dividend yield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3.72%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Expected life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83"/>
              </w:rPr>
              <w:t>7.8 years</w:t>
            </w:r>
          </w:p>
        </w:tc>
        <w:tc>
          <w:tcPr>
            <w:tcW w:w="14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5"/>
          </w:tcPr>
          <w:p>
            <w:pPr>
              <w:ind w:left="180"/>
              <w:spacing w:after="0"/>
              <w:rPr>
                <w:sz w:val="20"/>
                <w:szCs w:val="20"/>
                <w:color w:val="auto"/>
              </w:rPr>
            </w:pPr>
            <w:r>
              <w:rPr>
                <w:rFonts w:ascii="Arial" w:cs="Arial" w:eastAsia="Arial" w:hAnsi="Arial"/>
                <w:sz w:val="18"/>
                <w:szCs w:val="18"/>
                <w:color w:val="auto"/>
                <w:w w:val="91"/>
              </w:rPr>
              <w:t>Expected volatility</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10"/>
          </w:tcPr>
          <w:p>
            <w:pPr>
              <w:jc w:val="center"/>
              <w:ind w:left="192"/>
              <w:spacing w:after="0"/>
              <w:rPr>
                <w:sz w:val="20"/>
                <w:szCs w:val="20"/>
                <w:color w:val="auto"/>
              </w:rPr>
            </w:pPr>
            <w:r>
              <w:rPr>
                <w:rFonts w:ascii="Arial" w:cs="Arial" w:eastAsia="Arial" w:hAnsi="Arial"/>
                <w:sz w:val="18"/>
                <w:szCs w:val="18"/>
                <w:color w:val="auto"/>
                <w:w w:val="89"/>
              </w:rPr>
              <w:t>28.45% - 32.84%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10"/>
            <w:shd w:val="clear" w:color="auto" w:fill="CCEEFF"/>
          </w:tcPr>
          <w:p>
            <w:pPr>
              <w:jc w:val="center"/>
              <w:ind w:left="192"/>
              <w:spacing w:after="0"/>
              <w:rPr>
                <w:sz w:val="20"/>
                <w:szCs w:val="20"/>
                <w:color w:val="auto"/>
              </w:rPr>
            </w:pPr>
            <w:r>
              <w:rPr>
                <w:rFonts w:ascii="Arial" w:cs="Arial" w:eastAsia="Arial" w:hAnsi="Arial"/>
                <w:sz w:val="18"/>
                <w:szCs w:val="18"/>
                <w:color w:val="auto"/>
                <w:w w:val="88"/>
              </w:rPr>
              <w:t>0.07% - 1.54%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40" w:type="dxa"/>
            <w:vAlign w:val="bottom"/>
            <w:gridSpan w:val="9"/>
          </w:tcPr>
          <w:p>
            <w:pPr>
              <w:spacing w:after="0"/>
              <w:rPr>
                <w:sz w:val="20"/>
                <w:szCs w:val="20"/>
                <w:color w:val="auto"/>
              </w:rPr>
            </w:pPr>
            <w:r>
              <w:rPr>
                <w:rFonts w:ascii="Arial" w:cs="Arial" w:eastAsia="Arial" w:hAnsi="Arial"/>
                <w:sz w:val="18"/>
                <w:szCs w:val="18"/>
                <w:color w:val="auto"/>
                <w:w w:val="89"/>
              </w:rPr>
              <w:t>Incremental weighted average fair value per option</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$0.52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4"/>
        </w:trPr>
        <w:tc>
          <w:tcPr>
            <w:tcW w:w="7060" w:type="dxa"/>
            <w:vAlign w:val="bottom"/>
            <w:gridSpan w:val="15"/>
          </w:tcPr>
          <w:p>
            <w:pPr>
              <w:ind w:left="20"/>
              <w:spacing w:after="0"/>
              <w:rPr>
                <w:sz w:val="20"/>
                <w:szCs w:val="20"/>
                <w:color w:val="auto"/>
              </w:rPr>
            </w:pPr>
            <w:r>
              <w:rPr>
                <w:rFonts w:ascii="Arial" w:cs="Arial" w:eastAsia="Arial" w:hAnsi="Arial"/>
                <w:sz w:val="18"/>
                <w:szCs w:val="18"/>
                <w:color w:val="auto"/>
                <w:w w:val="93"/>
              </w:rPr>
              <w:t>The following table summarizes information about stock options outstanding at June 30, 2015.</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1"/>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Options Outstanding</w:t>
            </w: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except per share data)</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53"/>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Weighted</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160" w:type="dxa"/>
            <w:vAlign w:val="bottom"/>
          </w:tcPr>
          <w:p>
            <w:pPr>
              <w:spacing w:after="0"/>
              <w:rPr>
                <w:sz w:val="24"/>
                <w:szCs w:val="2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Aggregate</w:t>
            </w:r>
          </w:p>
        </w:tc>
      </w:tr>
      <w:tr>
        <w:trPr>
          <w:trHeight w:val="149"/>
        </w:trPr>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8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Remaining Life</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Number</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Remaining Life</w:t>
            </w:r>
          </w:p>
        </w:tc>
        <w:tc>
          <w:tcPr>
            <w:tcW w:w="160" w:type="dxa"/>
            <w:vAlign w:val="bottom"/>
          </w:tcPr>
          <w:p>
            <w:pPr>
              <w:spacing w:after="0"/>
              <w:rPr>
                <w:sz w:val="14"/>
                <w:szCs w:val="14"/>
                <w:color w:val="auto"/>
              </w:rPr>
            </w:pPr>
          </w:p>
        </w:tc>
        <w:tc>
          <w:tcPr>
            <w:tcW w:w="60" w:type="dxa"/>
            <w:vAlign w:val="bottom"/>
            <w:tcBorders>
              <w:bottom w:val="single" w:sz="8" w:color="auto"/>
            </w:tcBorders>
            <w:gridSpan w:val="2"/>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19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w w:val="90"/>
              </w:rPr>
              <w:t>8.64 years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1960" w:type="dxa"/>
            <w:vAlign w:val="bottom"/>
            <w:gridSpan w:val="5"/>
          </w:tcPr>
          <w:p>
            <w:pPr>
              <w:jc w:val="right"/>
              <w:ind w:right="16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295,176</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9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1960" w:type="dxa"/>
            <w:vAlign w:val="bottom"/>
            <w:gridSpan w:val="5"/>
          </w:tcPr>
          <w:p>
            <w:pPr>
              <w:jc w:val="right"/>
              <w:ind w:right="160"/>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10,833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19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540,035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1960" w:type="dxa"/>
            <w:vAlign w:val="bottom"/>
            <w:gridSpan w:val="5"/>
          </w:tcPr>
          <w:p>
            <w:pPr>
              <w:jc w:val="right"/>
              <w:ind w:right="160"/>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162,010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64,804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820" w:type="dxa"/>
            <w:vAlign w:val="bottom"/>
          </w:tcPr>
          <w:p>
            <w:pPr>
              <w:spacing w:after="0"/>
              <w:rPr>
                <w:sz w:val="18"/>
                <w:szCs w:val="18"/>
                <w:color w:val="auto"/>
              </w:rPr>
            </w:pPr>
          </w:p>
        </w:tc>
        <w:tc>
          <w:tcPr>
            <w:tcW w:w="19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12.58</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1,059,721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305,595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r>
      <w:tr>
        <w:trPr>
          <w:trHeight w:val="20"/>
        </w:trPr>
        <w:tc>
          <w:tcPr>
            <w:tcW w:w="2780" w:type="dxa"/>
            <w:vAlign w:val="bottom"/>
            <w:gridSpan w:val="6"/>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5740" w:type="dxa"/>
            <w:vAlign w:val="bottom"/>
            <w:gridSpan w:val="12"/>
          </w:tcPr>
          <w:p>
            <w:pPr>
              <w:spacing w:after="0"/>
              <w:rPr>
                <w:sz w:val="20"/>
                <w:szCs w:val="20"/>
                <w:color w:val="auto"/>
              </w:rPr>
            </w:pPr>
            <w:r>
              <w:rPr>
                <w:rFonts w:ascii="Arial" w:cs="Arial" w:eastAsia="Arial" w:hAnsi="Arial"/>
                <w:sz w:val="18"/>
                <w:szCs w:val="18"/>
                <w:color w:val="auto"/>
                <w:w w:val="90"/>
              </w:rPr>
              <w:t>A summary of restricted stock activity for the year ended June 30, 2015 follows: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Unvested at beginning of period</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55,814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5"/>
          </w:tcPr>
          <w:p>
            <w:pPr>
              <w:ind w:left="180"/>
              <w:spacing w:after="0"/>
              <w:rPr>
                <w:sz w:val="20"/>
                <w:szCs w:val="20"/>
                <w:color w:val="auto"/>
              </w:rPr>
            </w:pPr>
            <w:r>
              <w:rPr>
                <w:rFonts w:ascii="Arial" w:cs="Arial" w:eastAsia="Arial" w:hAnsi="Arial"/>
                <w:sz w:val="18"/>
                <w:szCs w:val="18"/>
                <w:color w:val="auto"/>
              </w:rPr>
              <w:t>Granted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9.35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2"/>
              <w:spacing w:after="0"/>
              <w:rPr>
                <w:sz w:val="20"/>
                <w:szCs w:val="20"/>
                <w:color w:val="auto"/>
              </w:rPr>
            </w:pPr>
            <w:r>
              <w:rPr>
                <w:rFonts w:ascii="Arial" w:cs="Arial" w:eastAsia="Arial" w:hAnsi="Arial"/>
                <w:sz w:val="18"/>
                <w:szCs w:val="18"/>
                <w:color w:val="auto"/>
                <w:w w:val="87"/>
              </w:rPr>
              <w:t>(1,055)</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5"/>
          </w:tcPr>
          <w:p>
            <w:pPr>
              <w:ind w:left="180"/>
              <w:spacing w:after="0"/>
              <w:rPr>
                <w:sz w:val="20"/>
                <w:szCs w:val="20"/>
                <w:color w:val="auto"/>
              </w:rPr>
            </w:pPr>
            <w:r>
              <w:rPr>
                <w:rFonts w:ascii="Arial" w:cs="Arial" w:eastAsia="Arial" w:hAnsi="Arial"/>
                <w:sz w:val="18"/>
                <w:szCs w:val="18"/>
                <w:color w:val="auto"/>
              </w:rPr>
              <w:t>Forfeited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5"/>
          </w:tcPr>
          <w:p>
            <w:pPr>
              <w:jc w:val="right"/>
              <w:ind w:right="22"/>
              <w:spacing w:after="0"/>
              <w:rPr>
                <w:sz w:val="20"/>
                <w:szCs w:val="20"/>
                <w:color w:val="auto"/>
              </w:rPr>
            </w:pPr>
            <w:r>
              <w:rPr>
                <w:rFonts w:ascii="Arial" w:cs="Arial" w:eastAsia="Arial" w:hAnsi="Arial"/>
                <w:sz w:val="18"/>
                <w:szCs w:val="18"/>
                <w:color w:val="auto"/>
              </w:rPr>
              <w:t>(16,749)</w:t>
            </w: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9.39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212,010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9.34</w:t>
            </w:r>
          </w:p>
        </w:tc>
        <w:tc>
          <w:tcPr>
            <w:tcW w:w="14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At June 30, 2015 and 2014, the Company has accrued a liability of $48 thousand representing the maximum cash payment for performance-based stock appreciation rights ("SARs") granted in the fiscal year ended June 30, 2011. The SARs expire in December of 2020.</w:t>
      </w:r>
    </w:p>
    <w:p>
      <w:pPr>
        <w:spacing w:after="0" w:line="139"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Stock-based compensation totaled $705 thousand for the year ended June 30, 2015 and $686 thousand for the year ended June 30, 2014. The tax benefit related to stock-based compensation expensed totaled $253 thousand for the year ended June 30, 2015 and $258 thousand for the year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2014. The estimated amount and timing of future pre-tax stock-based compensation expense to be recognized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88"/>
              </w:rPr>
              <w:t>Year Ending June 30,</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Restricted stock</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1,559</w:t>
            </w:r>
          </w:p>
        </w:tc>
      </w:tr>
      <w:tr>
        <w:trPr>
          <w:trHeight w:val="20"/>
        </w:trPr>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2,164</w:t>
            </w:r>
          </w:p>
        </w:tc>
      </w:tr>
      <w:tr>
        <w:trPr>
          <w:trHeight w:val="20"/>
        </w:trPr>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Contingent Liabilities and Other Off-Balance Sheet Risks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67"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thousands)</w:t>
            </w:r>
          </w:p>
        </w:tc>
        <w:tc>
          <w:tcPr>
            <w:tcW w:w="16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23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  24,966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14,282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2320" w:type="dxa"/>
            <w:vAlign w:val="bottom"/>
            <w:gridSpan w:val="3"/>
          </w:tcPr>
          <w:p>
            <w:pPr>
              <w:jc w:val="right"/>
              <w:ind w:right="52"/>
              <w:spacing w:after="0"/>
              <w:rPr>
                <w:sz w:val="20"/>
                <w:szCs w:val="20"/>
                <w:color w:val="auto"/>
              </w:rPr>
            </w:pPr>
            <w:r>
              <w:rPr>
                <w:rFonts w:ascii="Arial" w:cs="Arial" w:eastAsia="Arial" w:hAnsi="Arial"/>
                <w:sz w:val="18"/>
                <w:szCs w:val="18"/>
                <w:color w:val="auto"/>
              </w:rPr>
              <w:t>39,414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34,657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23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r>
    </w:tbl>
    <w:p>
      <w:pPr>
        <w:spacing w:after="0" w:line="20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aparty. Collateral held varies but may include accounts receivable, inventory, property, plant and equipment, and income-producing commercial properties. The Company has recorded an allowance for possible losses on commitments and unfunded loans totaling $37 thousand and $30 thousand recorded in other liabilities at June 30, 2015 and 2014, respectively.</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guarantees are issued to support private borrowing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Contingent Liabilities and Other Off-Balance Sheet Risks (Continued)</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arrangements. The credit risk involved in issuing letters of credit is essentially the same as that involved in extending loan facilities to customers. As of June 30, 2015 and 2014, the maximum potential amount of the Company's obligation was $60 thousand and $166 thousand, respectively, for financial and standby letters of credit. The Company's outstanding letters of credit generally have a term of less than one year. If a letter of credit is drawn upon, the Company may seek recourse through the customer's underlying line of credit. If the customer's line of credit is also in default, the Company may take possession of the collateral, if any, securing the line of credit.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Obligations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leases certain properties used in operations under terms of operating leases that include renewal options. The leases contain renewal options and escalation clauses which provide for increased rental expense as these leases expire. Rental expense under leases totaled $1.2 million for the year ended June 30, 2015 and $1.3 million for the year ended June 30, 2014.</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Approximate future minimum lease payments over the remaining terms of the Company's leases at June 30, 2015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Minimum lease</w:t>
            </w:r>
          </w:p>
        </w:tc>
      </w:t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payments</w:t>
            </w:r>
          </w:p>
        </w:tc>
      </w:tr>
      <w:tr>
        <w:trPr>
          <w:trHeight w:val="129"/>
        </w:trPr>
        <w:tc>
          <w:tcPr>
            <w:tcW w:w="6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(Dollars in</w:t>
            </w:r>
          </w:p>
        </w:tc>
        <w:tc>
          <w:tcPr>
            <w:tcW w:w="160" w:type="dxa"/>
            <w:vAlign w:val="bottom"/>
          </w:tcPr>
          <w:p>
            <w:pPr>
              <w:spacing w:after="0"/>
              <w:rPr>
                <w:sz w:val="11"/>
                <w:szCs w:val="11"/>
                <w:color w:val="auto"/>
              </w:rPr>
            </w:pPr>
          </w:p>
        </w:tc>
      </w:t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thousands)</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1,094</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1,081</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1,095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3,651</w:t>
            </w:r>
          </w:p>
        </w:tc>
      </w:tr>
      <w:tr>
        <w:trPr>
          <w:trHeight w:val="20"/>
        </w:trPr>
        <w:tc>
          <w:tcPr>
            <w:tcW w:w="6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9,337</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Comprehensive Income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other comprehensive income follow:</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0"/>
              </w:rPr>
              <w:t>Year Ended June 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2"/>
              </w:rPr>
              <w:t>Tax</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Tax</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Pre-tax</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Expense</w:t>
            </w:r>
          </w:p>
        </w:tc>
        <w:tc>
          <w:tcPr>
            <w:tcW w:w="6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After-tax</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Pre-tax</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Expense</w:t>
            </w:r>
          </w:p>
        </w:tc>
        <w:tc>
          <w:tcPr>
            <w:tcW w:w="40" w:type="dxa"/>
            <w:vAlign w:val="bottom"/>
          </w:tcPr>
          <w:p>
            <w:pPr>
              <w:spacing w:after="0"/>
              <w:rPr>
                <w:sz w:val="12"/>
                <w:szCs w:val="12"/>
                <w:color w:val="auto"/>
              </w:rPr>
            </w:pPr>
          </w:p>
        </w:tc>
        <w:tc>
          <w:tcPr>
            <w:tcW w:w="8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After-tax</w:t>
            </w: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(Benefit)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(Benefit)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Amount</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6"/>
          </w:tcPr>
          <w:p>
            <w:pPr>
              <w:jc w:val="right"/>
              <w:ind w:right="16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0"/>
              </w:rPr>
              <w:t>Change in net unrealized gain or loss on available-for-sale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w w:val="90"/>
              </w:rPr>
              <w:t>Reclassification adjustment for net gains included in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CCEEFF"/>
          </w:tcPr>
          <w:p>
            <w:pPr>
              <w:spacing w:after="0"/>
              <w:rPr>
                <w:sz w:val="18"/>
                <w:szCs w:val="18"/>
                <w:color w:val="auto"/>
              </w:rPr>
            </w:pPr>
          </w:p>
        </w:tc>
      </w:tr>
      <w:tr>
        <w:trPr>
          <w:trHeight w:val="210"/>
        </w:trPr>
        <w:tc>
          <w:tcPr>
            <w:tcW w:w="4220" w:type="dxa"/>
            <w:vAlign w:val="bottom"/>
            <w:gridSpan w:val="2"/>
          </w:tcPr>
          <w:p>
            <w:pPr>
              <w:spacing w:after="0"/>
              <w:rPr>
                <w:sz w:val="20"/>
                <w:szCs w:val="20"/>
                <w:color w:val="auto"/>
              </w:rPr>
            </w:pPr>
            <w:r>
              <w:rPr>
                <w:rFonts w:ascii="Arial" w:cs="Arial" w:eastAsia="Arial" w:hAnsi="Arial"/>
                <w:sz w:val="18"/>
                <w:szCs w:val="18"/>
                <w:color w:val="auto"/>
                <w:w w:val="89"/>
              </w:rPr>
              <w:t>Change in accumulated loss on effective cash flow hedges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Reclassification adjustment for net gains included in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0"/>
        </w:trPr>
        <w:tc>
          <w:tcPr>
            <w:tcW w:w="4220" w:type="dxa"/>
            <w:vAlign w:val="bottom"/>
            <w:gridSpan w:val="2"/>
          </w:tcPr>
          <w:p>
            <w:pPr>
              <w:spacing w:after="0"/>
              <w:rPr>
                <w:sz w:val="20"/>
                <w:szCs w:val="20"/>
                <w:color w:val="auto"/>
              </w:rPr>
            </w:pPr>
            <w:r>
              <w:rPr>
                <w:rFonts w:ascii="Arial" w:cs="Arial" w:eastAsia="Arial" w:hAnsi="Arial"/>
                <w:sz w:val="18"/>
                <w:szCs w:val="18"/>
                <w:color w:val="auto"/>
              </w:rPr>
              <w:t>Total derivatives and hedging activities</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loss is comprised of the following components: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 2015</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June 30, 2014</w:t>
            </w:r>
          </w:p>
        </w:tc>
        <w:tc>
          <w:tcPr>
            <w:tcW w:w="16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r>
      <w:tr>
        <w:trPr>
          <w:trHeight w:val="20"/>
        </w:trPr>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Net-of-tax amount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8"/>
                <w:szCs w:val="18"/>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r>
      <w:tr>
        <w:trPr>
          <w:trHeight w:val="210"/>
        </w:trPr>
        <w:tc>
          <w:tcPr>
            <w:tcW w:w="5720" w:type="dxa"/>
            <w:vAlign w:val="bottom"/>
          </w:tcPr>
          <w:p>
            <w:pPr>
              <w:ind w:left="360"/>
              <w:spacing w:after="0"/>
              <w:rPr>
                <w:sz w:val="20"/>
                <w:szCs w:val="20"/>
                <w:color w:val="auto"/>
              </w:rPr>
            </w:pPr>
            <w:r>
              <w:rPr>
                <w:rFonts w:ascii="Arial" w:cs="Arial" w:eastAsia="Arial" w:hAnsi="Arial"/>
                <w:sz w:val="18"/>
                <w:szCs w:val="18"/>
                <w:color w:val="auto"/>
              </w:rPr>
              <w:t>Net-of-tax amount</w:t>
            </w: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0"/>
        </w:trPr>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 (Continued)</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June 30, 2015, the Company had posted cash collateral totaling $1.6 million with dealer banks related to derivative instruments in a net liability position.</w:t>
      </w:r>
    </w:p>
    <w:p>
      <w:pPr>
        <w:spacing w:after="0" w:line="194"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Information pertaining to outstanding interest rate caps and swap agreements used to hedge junior subordinated debt and FHLB advances is as follows.</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June 30, 2015</w:t>
      </w:r>
    </w:p>
    <w:tbl>
      <w:tblPr>
        <w:tblLayout w:type="fixed"/>
        <w:tblInd w:w="1140" w:type="dxa"/>
        <w:tblCellMar>
          <w:top w:w="0" w:type="dxa"/>
          <w:left w:w="0" w:type="dxa"/>
          <w:bottom w:w="0" w:type="dxa"/>
          <w:right w:w="0" w:type="dxa"/>
        </w:tblCellMar>
      </w:tblPr>
      <w:tr>
        <w:trPr>
          <w:trHeight w:val="129"/>
        </w:trPr>
        <w:tc>
          <w:tcPr>
            <w:tcW w:w="104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1020" w:type="dxa"/>
            <w:vAlign w:val="bottom"/>
            <w:tcBorders>
              <w:top w:val="single" w:sz="8" w:color="auto"/>
            </w:tcBorders>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Inception</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7"/>
              </w:rPr>
              <w:t>Termination</w:t>
            </w: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79"/>
              </w:rPr>
              <w:t>Receive</w:t>
            </w:r>
          </w:p>
        </w:tc>
        <w:tc>
          <w:tcPr>
            <w:tcW w:w="6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6"/>
              </w:rPr>
              <w:t>Pay</w:t>
            </w:r>
          </w:p>
        </w:tc>
        <w:tc>
          <w:tcPr>
            <w:tcW w:w="60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Strike</w:t>
            </w: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Fair</w:t>
            </w: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Balance Sheet</w:t>
            </w:r>
          </w:p>
        </w:tc>
        <w:tc>
          <w:tcPr>
            <w:tcW w:w="0" w:type="dxa"/>
            <w:vAlign w:val="bottom"/>
          </w:tcPr>
          <w:p>
            <w:pPr>
              <w:spacing w:after="0"/>
              <w:rPr>
                <w:sz w:val="1"/>
                <w:szCs w:val="1"/>
                <w:color w:val="auto"/>
              </w:rPr>
            </w:pPr>
          </w:p>
        </w:tc>
      </w:tr>
      <w:tr>
        <w:trPr>
          <w:trHeight w:val="161"/>
        </w:trPr>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22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Date</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Index</w:t>
            </w:r>
          </w:p>
        </w:tc>
        <w:tc>
          <w:tcPr>
            <w:tcW w:w="7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Rate</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Rate</w:t>
            </w: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Loss</w:t>
            </w:r>
          </w:p>
        </w:tc>
        <w:tc>
          <w:tcPr>
            <w:tcW w:w="200" w:type="dxa"/>
            <w:vAlign w:val="bottom"/>
          </w:tcPr>
          <w:p>
            <w:pPr>
              <w:spacing w:after="0"/>
              <w:rPr>
                <w:sz w:val="14"/>
                <w:szCs w:val="14"/>
                <w:color w:val="auto"/>
              </w:rPr>
            </w:pPr>
          </w:p>
        </w:tc>
        <w:tc>
          <w:tcPr>
            <w:tcW w:w="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4"/>
              </w:rPr>
              <w:t>Value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6"/>
          </w:tcPr>
          <w:p>
            <w:pPr>
              <w:jc w:val="center"/>
              <w:ind w:left="292"/>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00" w:type="dxa"/>
            <w:vAlign w:val="bottom"/>
            <w:gridSpan w:val="6"/>
            <w:shd w:val="clear" w:color="auto" w:fill="CCEEFF"/>
          </w:tcPr>
          <w:p>
            <w:pPr>
              <w:ind w:left="100"/>
              <w:spacing w:after="0" w:line="149" w:lineRule="exact"/>
              <w:rPr>
                <w:sz w:val="20"/>
                <w:szCs w:val="20"/>
                <w:color w:val="auto"/>
              </w:rPr>
            </w:pPr>
            <w:r>
              <w:rPr>
                <w:rFonts w:ascii="Arial" w:cs="Arial" w:eastAsia="Arial" w:hAnsi="Arial"/>
                <w:sz w:val="14"/>
                <w:szCs w:val="14"/>
                <w:i w:val="1"/>
                <w:iCs w:val="1"/>
                <w:color w:val="auto"/>
              </w:rPr>
              <w:t>Interest rate swaps: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300" w:type="dxa"/>
            <w:vAlign w:val="bottom"/>
          </w:tcPr>
          <w:p>
            <w:pPr>
              <w:spacing w:after="0"/>
              <w:rPr>
                <w:sz w:val="12"/>
                <w:szCs w:val="12"/>
                <w:color w:val="auto"/>
              </w:rPr>
            </w:pP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July 2013</w:t>
            </w:r>
          </w:p>
        </w:tc>
        <w:tc>
          <w:tcPr>
            <w:tcW w:w="22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July 2033</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1"/>
              </w:rPr>
              <w:t>3 Mo. LIBOR</w:t>
            </w: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0.28%</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(472)</w:t>
            </w:r>
          </w:p>
        </w:tc>
        <w:tc>
          <w:tcPr>
            <w:tcW w:w="2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(472)</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July 2013</w:t>
            </w:r>
          </w:p>
        </w:tc>
        <w:tc>
          <w:tcPr>
            <w:tcW w:w="22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July 2028</w:t>
            </w:r>
          </w:p>
        </w:tc>
        <w:tc>
          <w:tcPr>
            <w:tcW w:w="1060" w:type="dxa"/>
            <w:vAlign w:val="bottom"/>
            <w:tcBorders>
              <w:right w:val="single" w:sz="8" w:color="CCEEFF"/>
            </w:tcBorders>
            <w:gridSpan w:val="3"/>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1"/>
              </w:rPr>
              <w:t>3 Mo. LIBOR</w:t>
            </w:r>
          </w:p>
        </w:tc>
        <w:tc>
          <w:tcPr>
            <w:tcW w:w="76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0.28%</w:t>
            </w:r>
          </w:p>
        </w:tc>
        <w:tc>
          <w:tcPr>
            <w:tcW w:w="6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3.23%</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(368)</w:t>
            </w: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(368)</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300" w:type="dxa"/>
            <w:vAlign w:val="bottom"/>
          </w:tcPr>
          <w:p>
            <w:pPr>
              <w:spacing w:after="0"/>
              <w:rPr>
                <w:sz w:val="12"/>
                <w:szCs w:val="12"/>
                <w:color w:val="auto"/>
              </w:rPr>
            </w:pP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July 2013</w:t>
            </w:r>
          </w:p>
        </w:tc>
        <w:tc>
          <w:tcPr>
            <w:tcW w:w="22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July 2023</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1"/>
              </w:rPr>
              <w:t>3 Mo. LIBOR</w:t>
            </w: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0.28%</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2.77%</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2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(208)</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00" w:type="dxa"/>
            <w:vAlign w:val="bottom"/>
            <w:gridSpan w:val="6"/>
            <w:shd w:val="clear" w:color="auto" w:fill="CCEEFF"/>
          </w:tcPr>
          <w:p>
            <w:pPr>
              <w:ind w:left="100"/>
              <w:spacing w:after="0" w:line="149" w:lineRule="exact"/>
              <w:rPr>
                <w:sz w:val="20"/>
                <w:szCs w:val="20"/>
                <w:color w:val="auto"/>
              </w:rPr>
            </w:pPr>
            <w:r>
              <w:rPr>
                <w:rFonts w:ascii="Arial" w:cs="Arial" w:eastAsia="Arial" w:hAnsi="Arial"/>
                <w:sz w:val="14"/>
                <w:szCs w:val="14"/>
                <w:i w:val="1"/>
                <w:iCs w:val="1"/>
                <w:color w:val="auto"/>
              </w:rPr>
              <w:t>Interest rate caps: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w:t>
            </w:r>
          </w:p>
        </w:tc>
        <w:tc>
          <w:tcPr>
            <w:tcW w:w="300" w:type="dxa"/>
            <w:vAlign w:val="bottom"/>
          </w:tcPr>
          <w:p>
            <w:pPr>
              <w:spacing w:after="0"/>
              <w:rPr>
                <w:sz w:val="12"/>
                <w:szCs w:val="12"/>
                <w:color w:val="auto"/>
              </w:rPr>
            </w:pP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7"/>
              </w:rPr>
              <w:t>October 2014</w:t>
            </w:r>
          </w:p>
        </w:tc>
        <w:tc>
          <w:tcPr>
            <w:tcW w:w="22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0"/>
              </w:rPr>
              <w:t>September 2019</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1"/>
              </w:rPr>
              <w:t>3 Mo. LIBOR</w:t>
            </w:r>
          </w:p>
        </w:tc>
        <w:tc>
          <w:tcPr>
            <w:tcW w:w="7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2.50%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March 2015</w:t>
            </w:r>
          </w:p>
        </w:tc>
        <w:tc>
          <w:tcPr>
            <w:tcW w:w="22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February 2020</w:t>
            </w:r>
          </w:p>
        </w:tc>
        <w:tc>
          <w:tcPr>
            <w:tcW w:w="1060" w:type="dxa"/>
            <w:vAlign w:val="bottom"/>
            <w:tcBorders>
              <w:right w:val="single" w:sz="8" w:color="CCEEFF"/>
            </w:tcBorders>
            <w:gridSpan w:val="3"/>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1"/>
              </w:rPr>
              <w:t>3 Mo. LIBOR</w:t>
            </w:r>
          </w:p>
        </w:tc>
        <w:tc>
          <w:tcPr>
            <w:tcW w:w="760" w:type="dxa"/>
            <w:vAlign w:val="bottom"/>
            <w:tcBorders>
              <w:right w:val="single" w:sz="8" w:color="CCEEFF"/>
            </w:tcBorders>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62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n/a</w:t>
            </w:r>
          </w:p>
        </w:tc>
        <w:tc>
          <w:tcPr>
            <w:tcW w:w="6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2.50%</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2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Other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gridSpan w:val="2"/>
          </w:tcPr>
          <w:p>
            <w:pPr>
              <w:jc w:val="right"/>
              <w:ind w:right="24"/>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31,000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(1,242)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(849)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6"/>
            <w:vMerge w:val="restart"/>
          </w:tcPr>
          <w:p>
            <w:pPr>
              <w:jc w:val="center"/>
              <w:ind w:left="292"/>
              <w:spacing w:after="0"/>
              <w:rPr>
                <w:sz w:val="20"/>
                <w:szCs w:val="20"/>
                <w:color w:val="auto"/>
              </w:rPr>
            </w:pPr>
            <w:r>
              <w:rPr>
                <w:rFonts w:ascii="Arial" w:cs="Arial" w:eastAsia="Arial" w:hAnsi="Arial"/>
                <w:sz w:val="14"/>
                <w:szCs w:val="14"/>
                <w:b w:val="1"/>
                <w:bCs w:val="1"/>
                <w:color w:val="auto"/>
                <w:w w:val="85"/>
              </w:rPr>
              <w:t>June 30, 2014</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10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Inception</w:t>
            </w:r>
          </w:p>
        </w:tc>
        <w:tc>
          <w:tcPr>
            <w:tcW w:w="220" w:type="dxa"/>
            <w:vAlign w:val="bottom"/>
          </w:tcPr>
          <w:p>
            <w:pPr>
              <w:spacing w:after="0"/>
              <w:rPr>
                <w:sz w:val="11"/>
                <w:szCs w:val="11"/>
                <w:color w:val="auto"/>
              </w:rPr>
            </w:pPr>
          </w:p>
        </w:tc>
        <w:tc>
          <w:tcPr>
            <w:tcW w:w="12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Termination</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3"/>
              </w:rPr>
              <w:t>Receive</w:t>
            </w:r>
          </w:p>
        </w:tc>
        <w:tc>
          <w:tcPr>
            <w:tcW w:w="6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Pay</w:t>
            </w:r>
          </w:p>
        </w:tc>
        <w:tc>
          <w:tcPr>
            <w:tcW w:w="60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2"/>
              </w:rPr>
              <w:t>Strike</w:t>
            </w:r>
          </w:p>
        </w:tc>
        <w:tc>
          <w:tcPr>
            <w:tcW w:w="100" w:type="dxa"/>
            <w:vAlign w:val="bottom"/>
          </w:tcPr>
          <w:p>
            <w:pPr>
              <w:spacing w:after="0"/>
              <w:rPr>
                <w:sz w:val="11"/>
                <w:szCs w:val="11"/>
                <w:color w:val="auto"/>
              </w:rPr>
            </w:pPr>
          </w:p>
        </w:tc>
        <w:tc>
          <w:tcPr>
            <w:tcW w:w="84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1"/>
                <w:szCs w:val="11"/>
                <w:color w:val="auto"/>
              </w:rPr>
            </w:pPr>
          </w:p>
        </w:tc>
        <w:tc>
          <w:tcPr>
            <w:tcW w:w="6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rPr>
              <w:t>Fair</w:t>
            </w: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Balance Sheet</w:t>
            </w:r>
          </w:p>
        </w:tc>
        <w:tc>
          <w:tcPr>
            <w:tcW w:w="0" w:type="dxa"/>
            <w:vAlign w:val="bottom"/>
          </w:tcPr>
          <w:p>
            <w:pPr>
              <w:spacing w:after="0"/>
              <w:rPr>
                <w:sz w:val="1"/>
                <w:szCs w:val="1"/>
                <w:color w:val="auto"/>
              </w:rPr>
            </w:pPr>
          </w:p>
        </w:tc>
      </w:tr>
      <w:tr>
        <w:trPr>
          <w:trHeight w:val="161"/>
        </w:trPr>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Date</w:t>
            </w:r>
          </w:p>
        </w:tc>
        <w:tc>
          <w:tcPr>
            <w:tcW w:w="2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Date</w:t>
            </w: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Index</w:t>
            </w:r>
          </w:p>
        </w:tc>
        <w:tc>
          <w:tcPr>
            <w:tcW w:w="7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Rate</w:t>
            </w: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Rate</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Value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6"/>
          </w:tcPr>
          <w:p>
            <w:pPr>
              <w:jc w:val="center"/>
              <w:ind w:left="292"/>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00" w:type="dxa"/>
            <w:vAlign w:val="bottom"/>
            <w:gridSpan w:val="6"/>
            <w:shd w:val="clear" w:color="auto" w:fill="CCEEFF"/>
          </w:tcPr>
          <w:p>
            <w:pPr>
              <w:ind w:left="60"/>
              <w:spacing w:after="0" w:line="149" w:lineRule="exact"/>
              <w:rPr>
                <w:sz w:val="20"/>
                <w:szCs w:val="20"/>
                <w:color w:val="auto"/>
              </w:rPr>
            </w:pPr>
            <w:r>
              <w:rPr>
                <w:rFonts w:ascii="Arial" w:cs="Arial" w:eastAsia="Arial" w:hAnsi="Arial"/>
                <w:sz w:val="14"/>
                <w:szCs w:val="14"/>
                <w:i w:val="1"/>
                <w:iCs w:val="1"/>
                <w:color w:val="auto"/>
              </w:rPr>
              <w:t>Interest rate swaps: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10,000</w:t>
            </w:r>
          </w:p>
        </w:tc>
        <w:tc>
          <w:tcPr>
            <w:tcW w:w="300" w:type="dxa"/>
            <w:vAlign w:val="bottom"/>
          </w:tcPr>
          <w:p>
            <w:pPr>
              <w:spacing w:after="0"/>
              <w:rPr>
                <w:sz w:val="12"/>
                <w:szCs w:val="12"/>
                <w:color w:val="auto"/>
              </w:rPr>
            </w:pP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February 2010</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February 2015</w:t>
            </w: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3"/>
              </w:rPr>
              <w:t>3 Mo. LIBOR</w:t>
            </w: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2.12%</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4.69%</w:t>
            </w: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1"/>
              </w:rPr>
              <w:t>n/a</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(165)</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July 2013</w:t>
            </w:r>
          </w:p>
        </w:tc>
        <w:tc>
          <w:tcPr>
            <w:tcW w:w="22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July 2033</w:t>
            </w:r>
          </w:p>
        </w:tc>
        <w:tc>
          <w:tcPr>
            <w:tcW w:w="1060" w:type="dxa"/>
            <w:vAlign w:val="bottom"/>
            <w:tcBorders>
              <w:right w:val="single" w:sz="8" w:color="CCEEFF"/>
            </w:tcBorders>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3 Mo. LIBOR</w:t>
            </w:r>
          </w:p>
        </w:tc>
        <w:tc>
          <w:tcPr>
            <w:tcW w:w="76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0.23%</w:t>
            </w:r>
          </w:p>
        </w:tc>
        <w:tc>
          <w:tcPr>
            <w:tcW w:w="6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3.38%</w:t>
            </w:r>
          </w:p>
        </w:tc>
        <w:tc>
          <w:tcPr>
            <w:tcW w:w="6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1"/>
              </w:rPr>
              <w:t>n/a</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(216)</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5,000</w:t>
            </w:r>
          </w:p>
        </w:tc>
        <w:tc>
          <w:tcPr>
            <w:tcW w:w="300" w:type="dxa"/>
            <w:vAlign w:val="bottom"/>
          </w:tcPr>
          <w:p>
            <w:pPr>
              <w:spacing w:after="0"/>
              <w:rPr>
                <w:sz w:val="12"/>
                <w:szCs w:val="12"/>
                <w:color w:val="auto"/>
              </w:rPr>
            </w:pP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July 2013</w:t>
            </w: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July 2028</w:t>
            </w: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3"/>
              </w:rPr>
              <w:t>3 Mo. LIBOR</w:t>
            </w: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0.23%</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3.23%</w:t>
            </w:r>
          </w:p>
        </w:tc>
        <w:tc>
          <w:tcPr>
            <w:tcW w:w="6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1"/>
              </w:rPr>
              <w:t>n/a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2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July 2013</w:t>
            </w:r>
          </w:p>
        </w:tc>
        <w:tc>
          <w:tcPr>
            <w:tcW w:w="22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July 2023</w:t>
            </w:r>
          </w:p>
        </w:tc>
        <w:tc>
          <w:tcPr>
            <w:tcW w:w="1060" w:type="dxa"/>
            <w:vAlign w:val="bottom"/>
            <w:tcBorders>
              <w:right w:val="single" w:sz="8" w:color="CCEEFF"/>
            </w:tcBorders>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3 Mo. LIBOR</w:t>
            </w:r>
          </w:p>
        </w:tc>
        <w:tc>
          <w:tcPr>
            <w:tcW w:w="76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0.23%</w:t>
            </w:r>
          </w:p>
        </w:tc>
        <w:tc>
          <w:tcPr>
            <w:tcW w:w="6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2.77%</w:t>
            </w:r>
          </w:p>
        </w:tc>
        <w:tc>
          <w:tcPr>
            <w:tcW w:w="6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1"/>
              </w:rPr>
              <w:t>n/a</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w:t>
            </w: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Other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6"/>
          </w:tcPr>
          <w:p>
            <w:pPr>
              <w:ind w:left="60"/>
              <w:spacing w:after="0" w:line="149" w:lineRule="exact"/>
              <w:rPr>
                <w:sz w:val="20"/>
                <w:szCs w:val="20"/>
                <w:color w:val="auto"/>
              </w:rPr>
            </w:pPr>
            <w:r>
              <w:rPr>
                <w:rFonts w:ascii="Arial" w:cs="Arial" w:eastAsia="Arial" w:hAnsi="Arial"/>
                <w:sz w:val="14"/>
                <w:szCs w:val="14"/>
                <w:i w:val="1"/>
                <w:iCs w:val="1"/>
                <w:color w:val="auto"/>
              </w:rPr>
              <w:t>Interest rate caps:</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6,000</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September 2009</w:t>
            </w:r>
          </w:p>
        </w:tc>
        <w:tc>
          <w:tcPr>
            <w:tcW w:w="22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2"/>
              </w:rPr>
              <w:t>September 2014</w:t>
            </w:r>
          </w:p>
        </w:tc>
        <w:tc>
          <w:tcPr>
            <w:tcW w:w="1060" w:type="dxa"/>
            <w:vAlign w:val="bottom"/>
            <w:tcBorders>
              <w:right w:val="single" w:sz="8" w:color="CCEEFF"/>
            </w:tcBorders>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3 Mo. LIBOR</w:t>
            </w:r>
          </w:p>
        </w:tc>
        <w:tc>
          <w:tcPr>
            <w:tcW w:w="760" w:type="dxa"/>
            <w:vAlign w:val="bottom"/>
            <w:tcBorders>
              <w:right w:val="single" w:sz="8" w:color="CCEEFF"/>
            </w:tcBorders>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62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Other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gridSpan w:val="2"/>
          </w:tcPr>
          <w:p>
            <w:pPr>
              <w:jc w:val="right"/>
              <w:ind w:right="24"/>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31,000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(664)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(714)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 (Continued)</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the years ended June 30, 2015 and 2014,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years ended June 30, 2105 and 2014 related to the balance sheet hedging of variable rate debt indicates that the hedges were effective.</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periods presented, amounts recognized in income related to hedge ineffectiveness resulted from amortization of the non-zero fair value associated with the Company's single interest rate swap held at the time of the merger with FHB Formation LLC in December 2010. During the periods presented, amounts recognized in income related to amounts excluded from effectiveness testing resulted from amortization of the acquisition price of interest rate caps. The table below presents amounts recognized in income related to both hedge ineffectiveness and amounts excluded from effectiveness testing.</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5"/>
              <w:spacing w:after="0" w:line="142" w:lineRule="exact"/>
              <w:rPr>
                <w:sz w:val="20"/>
                <w:szCs w:val="20"/>
                <w:color w:val="auto"/>
              </w:rPr>
            </w:pPr>
            <w:r>
              <w:rPr>
                <w:rFonts w:ascii="Arial" w:cs="Arial" w:eastAsia="Arial" w:hAnsi="Arial"/>
                <w:sz w:val="14"/>
                <w:szCs w:val="14"/>
                <w:b w:val="1"/>
                <w:bCs w:val="1"/>
                <w:color w:val="auto"/>
                <w:w w:val="76"/>
              </w:rPr>
              <w:t>2015</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129"/>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7"/>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(Dollars in</w:t>
            </w:r>
          </w:p>
        </w:tc>
      </w:tr>
      <w:tr>
        <w:trPr>
          <w:trHeight w:val="16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4"/>
              </w:rPr>
              <w:t>thousands)</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rate caps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10"/>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does not expect to record interest income or interest expense related to interest rate swap or interest rate cap ineffectiveness in the next twelve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201"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priority to unobservable inputs (Level 3 measurements). The three levels of the fair value hierarchy under ASC 820 are described below:</w:t>
      </w:r>
    </w:p>
    <w:p>
      <w:pPr>
        <w:spacing w:after="0" w:line="225" w:lineRule="exact"/>
        <w:rPr>
          <w:sz w:val="20"/>
          <w:szCs w:val="20"/>
          <w:color w:val="auto"/>
        </w:rPr>
      </w:pPr>
    </w:p>
    <w:p>
      <w:pPr>
        <w:ind w:left="540" w:right="120" w:firstLine="351"/>
        <w:spacing w:after="0" w:line="268"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reporting entity has the ability to access at the measurement date.</w:t>
      </w:r>
    </w:p>
    <w:p>
      <w:pPr>
        <w:spacing w:after="0" w:line="186" w:lineRule="exact"/>
        <w:rPr>
          <w:sz w:val="20"/>
          <w:szCs w:val="20"/>
          <w:color w:val="auto"/>
        </w:rPr>
      </w:pPr>
    </w:p>
    <w:p>
      <w:pPr>
        <w:ind w:left="540" w:right="400" w:firstLine="351"/>
        <w:spacing w:after="0" w:line="332" w:lineRule="auto"/>
        <w:rPr>
          <w:sz w:val="20"/>
          <w:szCs w:val="20"/>
          <w:color w:val="auto"/>
        </w:rPr>
      </w:pPr>
      <w:r>
        <w:rPr>
          <w:rFonts w:ascii="Arial" w:cs="Arial" w:eastAsia="Arial" w:hAnsi="Arial"/>
          <w:sz w:val="16"/>
          <w:szCs w:val="16"/>
          <w:color w:val="auto"/>
        </w:rPr>
        <w:t>Level 2—Valuations based on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 and unobservable.</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s—There have been no changes in the valuation techniques used during the current period.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Transfers</w:t>
      </w:r>
      <w:r>
        <w:rPr>
          <w:rFonts w:ascii="Arial" w:cs="Arial" w:eastAsia="Arial" w:hAnsi="Arial"/>
          <w:sz w:val="16"/>
          <w:szCs w:val="16"/>
          <w:color w:val="auto"/>
        </w:rPr>
        <w:t>—There were no transfers of assets and liabilities measured at fair value on a recurring or nonrecurring basis during the current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40" w:firstLine="348"/>
        <w:spacing w:after="0" w:line="254"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Examples of such instruments include publicly-traded common and preferred stocks. If quoted prices are not available, then fair values are estimated by using pricing models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8" w:lineRule="exact"/>
        <w:rPr>
          <w:sz w:val="20"/>
          <w:szCs w:val="20"/>
          <w:color w:val="auto"/>
        </w:rPr>
      </w:pPr>
    </w:p>
    <w:p>
      <w:pPr>
        <w:ind w:left="540" w:right="20" w:firstLine="351"/>
        <w:spacing w:after="0" w:line="294"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70" w:lineRule="exact"/>
        <w:rPr>
          <w:sz w:val="20"/>
          <w:szCs w:val="20"/>
          <w:color w:val="auto"/>
        </w:rPr>
      </w:pPr>
    </w:p>
    <w:p>
      <w:pPr>
        <w:ind w:left="540" w:right="220" w:firstLine="348"/>
        <w:spacing w:after="0" w:line="259"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540" w:right="20" w:firstLine="351"/>
        <w:spacing w:after="0" w:line="332" w:lineRule="auto"/>
        <w:rPr>
          <w:sz w:val="20"/>
          <w:szCs w:val="20"/>
          <w:color w:val="auto"/>
        </w:rPr>
      </w:pPr>
      <w:r>
        <w:rPr>
          <w:rFonts w:ascii="Arial" w:cs="Arial" w:eastAsia="Arial" w:hAnsi="Arial"/>
          <w:sz w:val="16"/>
          <w:szCs w:val="16"/>
          <w:i w:val="1"/>
          <w:iCs w:val="1"/>
          <w:color w:val="auto"/>
        </w:rPr>
        <w:t xml:space="preserve">Collaterally dependent impaired loans— </w:t>
      </w:r>
      <w:r>
        <w:rPr>
          <w:rFonts w:ascii="Arial" w:cs="Arial" w:eastAsia="Arial" w:hAnsi="Arial"/>
          <w:sz w:val="16"/>
          <w:szCs w:val="16"/>
          <w:color w:val="auto"/>
        </w:rPr>
        <w:t>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39" w:lineRule="exact"/>
        <w:rPr>
          <w:sz w:val="20"/>
          <w:szCs w:val="20"/>
          <w:color w:val="auto"/>
        </w:rPr>
      </w:pPr>
    </w:p>
    <w:p>
      <w:pPr>
        <w:ind w:left="540" w:right="80" w:firstLine="351"/>
        <w:spacing w:after="0" w:line="298" w:lineRule="auto"/>
        <w:rPr>
          <w:sz w:val="20"/>
          <w:szCs w:val="20"/>
          <w:color w:val="auto"/>
        </w:rPr>
      </w:pPr>
      <w:r>
        <w:rPr>
          <w:rFonts w:ascii="Arial" w:cs="Arial" w:eastAsia="Arial" w:hAnsi="Arial"/>
          <w:sz w:val="16"/>
          <w:szCs w:val="16"/>
          <w:i w:val="1"/>
          <w:iCs w:val="1"/>
          <w:color w:val="auto"/>
        </w:rPr>
        <w:t xml:space="preserve">Real estate owned and other repossessed collateral— </w:t>
      </w:r>
      <w:r>
        <w:rPr>
          <w:rFonts w:ascii="Arial" w:cs="Arial" w:eastAsia="Arial" w:hAnsi="Arial"/>
          <w:sz w:val="16"/>
          <w:szCs w:val="16"/>
          <w:color w:val="auto"/>
        </w:rPr>
        <w:t>The fair values of real estate owned and other repossessed collateral are estimated based upon</w:t>
      </w:r>
      <w:r>
        <w:rPr>
          <w:rFonts w:ascii="Arial" w:cs="Arial" w:eastAsia="Arial" w:hAnsi="Arial"/>
          <w:sz w:val="16"/>
          <w:szCs w:val="16"/>
          <w:i w:val="1"/>
          <w:iCs w:val="1"/>
          <w:color w:val="auto"/>
        </w:rPr>
        <w:t xml:space="preserve"> </w:t>
      </w:r>
      <w:r>
        <w:rPr>
          <w:rFonts w:ascii="Arial" w:cs="Arial" w:eastAsia="Arial" w:hAnsi="Arial"/>
          <w:sz w:val="16"/>
          <w:szCs w:val="16"/>
          <w:color w:val="auto"/>
        </w:rPr>
        <w:t>appraised values less estimated costs to sell. Certain inputs used in appraisals are not always observable, and therefore may be categorized as Level 3 within the fair value hierarchy. Although some assumptions in determining fair value are based on standards used by market participants, some are based on unobservable inputs and therefore are classified as Level 3 within the fair value hierarchy.</w:t>
      </w:r>
    </w:p>
    <w:p>
      <w:pPr>
        <w:spacing w:after="0" w:line="167"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i w:val="1"/>
          <w:iCs w:val="1"/>
          <w:color w:val="auto"/>
        </w:rPr>
        <w:t xml:space="preserve">Loan servicing rights— </w:t>
      </w:r>
      <w:r>
        <w:rPr>
          <w:rFonts w:ascii="Arial" w:cs="Arial" w:eastAsia="Arial" w:hAnsi="Arial"/>
          <w:sz w:val="18"/>
          <w:szCs w:val="18"/>
          <w:color w:val="auto"/>
        </w:rPr>
        <w:t>The fair value of the SBA and mortgage servicing rights is based on a valuation model that calculates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future net 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40" w:right="420" w:firstLine="351"/>
        <w:spacing w:after="0" w:line="26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fair value of cash, due from banks, interest bearing deposits and FHLB overnight deposits approximates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book values, as these financial instruments have short maturities.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FHLB stock— </w:t>
      </w:r>
      <w:r>
        <w:rPr>
          <w:rFonts w:ascii="Arial" w:cs="Arial" w:eastAsia="Arial" w:hAnsi="Arial"/>
          <w:sz w:val="18"/>
          <w:szCs w:val="18"/>
          <w:color w:val="auto"/>
        </w:rPr>
        <w:t>The carrying value of FHLB stock approximates fair value based on redemption provisions of the FHLB.</w:t>
      </w:r>
    </w:p>
    <w:p>
      <w:pPr>
        <w:spacing w:after="0" w:line="225"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The fair value of loans held-for-sale is estimated based on bid quotations received from loan dealers.</w:t>
      </w:r>
    </w:p>
    <w:p>
      <w:pPr>
        <w:spacing w:after="0" w:line="225" w:lineRule="exact"/>
        <w:rPr>
          <w:sz w:val="20"/>
          <w:szCs w:val="20"/>
          <w:color w:val="auto"/>
        </w:rPr>
      </w:pPr>
    </w:p>
    <w:p>
      <w:pPr>
        <w:jc w:val="both"/>
        <w:ind w:left="540" w:right="560" w:firstLine="348"/>
        <w:spacing w:after="0" w:line="259" w:lineRule="auto"/>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The fair value of this financial instrument approximates the book value as this financial instrument has a short</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It is the Company's policy to stop accruing interest on loans past due by more than 90 days. Therefore, this financial instrument has been adjusted for estimated credit loss.</w:t>
      </w:r>
    </w:p>
    <w:p>
      <w:pPr>
        <w:spacing w:after="0" w:line="194" w:lineRule="exact"/>
        <w:rPr>
          <w:sz w:val="20"/>
          <w:szCs w:val="20"/>
          <w:color w:val="auto"/>
        </w:rPr>
      </w:pPr>
    </w:p>
    <w:p>
      <w:pPr>
        <w:ind w:left="540" w:right="80" w:firstLine="351"/>
        <w:spacing w:after="0" w:line="256"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The fair value of deposits with no stated maturity, such as noninterest-bearing demand deposits, savings, NOW accounts and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 (Continued)</w:t>
      </w:r>
    </w:p>
    <w:p>
      <w:pPr>
        <w:spacing w:after="0" w:line="231"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from the low-cost funding provided by the deposit liabilities compared to the cost of borrowing funds in the market. If that value were considered, the fair value of the Company's net assets could increase.</w:t>
      </w:r>
    </w:p>
    <w:p>
      <w:pPr>
        <w:spacing w:after="0" w:line="186" w:lineRule="exact"/>
        <w:rPr>
          <w:sz w:val="20"/>
          <w:szCs w:val="20"/>
          <w:color w:val="auto"/>
        </w:rPr>
      </w:pPr>
    </w:p>
    <w:p>
      <w:pPr>
        <w:ind w:left="540" w:right="20" w:firstLine="351"/>
        <w:spacing w:after="0" w:line="256"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The fair value of the Company's borrowings with the FHLB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97" w:lineRule="exact"/>
        <w:rPr>
          <w:sz w:val="20"/>
          <w:szCs w:val="20"/>
          <w:color w:val="auto"/>
        </w:rPr>
      </w:pPr>
    </w:p>
    <w:p>
      <w:pPr>
        <w:ind w:left="540" w:right="100" w:firstLine="351"/>
        <w:spacing w:after="0" w:line="259" w:lineRule="auto"/>
        <w:rPr>
          <w:sz w:val="20"/>
          <w:szCs w:val="20"/>
          <w:color w:val="auto"/>
        </w:rPr>
      </w:pPr>
      <w:r>
        <w:rPr>
          <w:rFonts w:ascii="Arial" w:cs="Arial" w:eastAsia="Arial" w:hAnsi="Arial"/>
          <w:sz w:val="18"/>
          <w:szCs w:val="18"/>
          <w:i w:val="1"/>
          <w:iCs w:val="1"/>
          <w:color w:val="auto"/>
        </w:rPr>
        <w:t xml:space="preserve">Off-Balance Sheet Credit-Related Instruments—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w w:val="87"/>
              </w:rPr>
              <w:t>June 30, 2015</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880" w:type="dxa"/>
            <w:vAlign w:val="bottom"/>
            <w:gridSpan w:val="2"/>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10"/>
          </w:tcPr>
          <w:p>
            <w:pPr>
              <w:jc w:val="right"/>
              <w:ind w:right="2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48,230</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48,230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Agency mortgage-backed securities</w:t>
            </w: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53,678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53,678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assets—interest rate caps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1,048</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851"/>
        </w:trPr>
        <w:tc>
          <w:tcPr>
            <w:tcW w:w="1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w w:val="87"/>
              </w:rPr>
              <w:t>June 30, 2014</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880" w:type="dxa"/>
            <w:vAlign w:val="bottom"/>
            <w:gridSpan w:val="2"/>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10"/>
          </w:tcPr>
          <w:p>
            <w:pPr>
              <w:jc w:val="right"/>
              <w:ind w:right="2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48,418</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48,418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Agency mortgage-backed securities</w:t>
            </w: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65,463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65,463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assets—interest rate caps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430"/>
        </w:trPr>
        <w:tc>
          <w:tcPr>
            <w:tcW w:w="6500" w:type="dxa"/>
            <w:vAlign w:val="bottom"/>
            <w:gridSpan w:val="2"/>
          </w:tcPr>
          <w:p>
            <w:pPr>
              <w:jc w:val="right"/>
              <w:ind w:right="652"/>
              <w:spacing w:after="0"/>
              <w:rPr>
                <w:sz w:val="20"/>
                <w:szCs w:val="20"/>
                <w:color w:val="auto"/>
              </w:rPr>
            </w:pPr>
            <w:r>
              <w:rPr>
                <w:rFonts w:ascii="Arial" w:cs="Arial" w:eastAsia="Arial" w:hAnsi="Arial"/>
                <w:sz w:val="18"/>
                <w:szCs w:val="18"/>
                <w:color w:val="auto"/>
                <w:w w:val="92"/>
              </w:rPr>
              <w:t>Assets measured at fair value on a nonrecurring basis are summarized below.</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21"/>
        </w:trPr>
        <w:tc>
          <w:tcPr>
            <w:tcW w:w="1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w w:val="96"/>
              </w:rPr>
              <w:t>June 30, 2015</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880" w:type="dxa"/>
            <w:vAlign w:val="bottom"/>
            <w:gridSpan w:val="2"/>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9"/>
          </w:tcPr>
          <w:p>
            <w:pPr>
              <w:ind w:left="2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1,651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1,123</w:t>
            </w:r>
          </w:p>
        </w:tc>
        <w:tc>
          <w:tcPr>
            <w:tcW w:w="1720" w:type="dxa"/>
            <w:vAlign w:val="bottom"/>
          </w:tcPr>
          <w:p>
            <w:pPr>
              <w:spacing w:after="0"/>
              <w:rPr>
                <w:sz w:val="18"/>
                <w:szCs w:val="18"/>
                <w:color w:val="auto"/>
              </w:rPr>
            </w:pPr>
          </w:p>
        </w:tc>
      </w:tr>
      <w:tr>
        <w:trPr>
          <w:trHeight w:val="430"/>
        </w:trPr>
        <w:tc>
          <w:tcPr>
            <w:tcW w:w="6500" w:type="dxa"/>
            <w:vAlign w:val="bottom"/>
            <w:gridSpan w:val="2"/>
          </w:tcPr>
          <w:p>
            <w:pPr>
              <w:jc w:val="right"/>
              <w:ind w:right="57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 2014</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1,467</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1,467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1,991</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66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Valuation Technique</w:t>
            </w: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300"/>
              <w:spacing w:after="0" w:line="129" w:lineRule="exact"/>
              <w:rPr>
                <w:sz w:val="20"/>
                <w:szCs w:val="20"/>
                <w:color w:val="auto"/>
              </w:rPr>
            </w:pPr>
            <w:r>
              <w:rPr>
                <w:rFonts w:ascii="Arial" w:cs="Arial" w:eastAsia="Arial" w:hAnsi="Arial"/>
                <w:sz w:val="14"/>
                <w:szCs w:val="14"/>
                <w:b w:val="1"/>
                <w:bCs w:val="1"/>
                <w:color w:val="auto"/>
              </w:rPr>
              <w:t>(Dollars in</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280"/>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1,467</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Appraisal of collateral(1)</w:t>
            </w: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Real estate owned and other repossessed collateral</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1,991</w:t>
            </w:r>
          </w:p>
        </w:tc>
        <w:tc>
          <w:tcPr>
            <w:tcW w:w="1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Appraisal of collateral(1)</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Discounted cash flow(2)</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tcPr>
          <w:p>
            <w:pPr>
              <w:spacing w:after="0"/>
              <w:rPr>
                <w:sz w:val="9"/>
                <w:szCs w:val="9"/>
                <w:color w:val="auto"/>
              </w:rPr>
            </w:pPr>
          </w:p>
        </w:tc>
      </w:tr>
    </w:tbl>
    <w:p>
      <w:pPr>
        <w:spacing w:after="0" w:line="221" w:lineRule="exact"/>
        <w:rPr>
          <w:sz w:val="20"/>
          <w:szCs w:val="20"/>
          <w:color w:val="auto"/>
        </w:rPr>
      </w:pPr>
    </w:p>
    <w:p>
      <w:pPr>
        <w:ind w:left="1680" w:right="40" w:hanging="531"/>
        <w:spacing w:after="0" w:line="256" w:lineRule="auto"/>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may vary.</w:t>
      </w:r>
    </w:p>
    <w:p>
      <w:pPr>
        <w:spacing w:after="0" w:line="224" w:lineRule="exact"/>
        <w:rPr>
          <w:rFonts w:ascii="Arial" w:cs="Arial" w:eastAsia="Arial" w:hAnsi="Arial"/>
          <w:sz w:val="18"/>
          <w:szCs w:val="18"/>
          <w:color w:val="auto"/>
        </w:rPr>
      </w:pPr>
    </w:p>
    <w:p>
      <w:pPr>
        <w:ind w:left="1680" w:right="160" w:hanging="531"/>
        <w:spacing w:after="0" w:line="370" w:lineRule="auto"/>
        <w:tabs>
          <w:tab w:leader="none" w:pos="16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Fair value is determined using a discounted cash flow model. The unobservable inputs include anticipated rate of loan prepayments and discount rates. The range of prepayment assumptions used was 6.08% to 13.14%. For discount rates, the range was 7.25% to 7.50%.</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3700" w:type="dxa"/>
            <w:vAlign w:val="bottom"/>
            <w:gridSpan w:val="10"/>
          </w:tcPr>
          <w:p>
            <w:pPr>
              <w:ind w:left="540"/>
              <w:spacing w:after="0"/>
              <w:rPr>
                <w:sz w:val="20"/>
                <w:szCs w:val="20"/>
                <w:color w:val="auto"/>
              </w:rPr>
            </w:pPr>
            <w:r>
              <w:rPr>
                <w:rFonts w:ascii="Arial" w:cs="Arial" w:eastAsia="Arial" w:hAnsi="Arial"/>
                <w:sz w:val="14"/>
                <w:szCs w:val="14"/>
                <w:b w:val="1"/>
                <w:bCs w:val="1"/>
                <w:color w:val="auto"/>
              </w:rPr>
              <w:t>Fair Value Measurements at June 30, 2015</w:t>
            </w: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8"/>
              </w:rPr>
              <w:t>Level 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assets:</w:t>
            </w: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89,850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89,850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89,850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101,908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101,908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Federal Home Loan Bank stock</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4,102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4,102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Loans, net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610,211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613,896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613,896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 rate caps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liabilities:</w:t>
            </w:r>
          </w:p>
        </w:tc>
        <w:tc>
          <w:tcPr>
            <w:tcW w:w="10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Deposits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674,759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675,285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675,285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30,867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Wholesale repurchase agreements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10,037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10,098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 rate swaps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4840" w:type="dxa"/>
            <w:vAlign w:val="bottom"/>
            <w:gridSpan w:val="11"/>
          </w:tcPr>
          <w:p>
            <w:pPr>
              <w:ind w:left="540"/>
              <w:spacing w:after="0"/>
              <w:rPr>
                <w:sz w:val="20"/>
                <w:szCs w:val="20"/>
                <w:color w:val="auto"/>
              </w:rPr>
            </w:pPr>
            <w:r>
              <w:rPr>
                <w:rFonts w:ascii="Arial" w:cs="Arial" w:eastAsia="Arial" w:hAnsi="Arial"/>
                <w:sz w:val="14"/>
                <w:szCs w:val="14"/>
                <w:b w:val="1"/>
                <w:bCs w:val="1"/>
                <w:color w:val="auto"/>
              </w:rPr>
              <w:t>Fair Value Measurements at June 30, 2014</w:t>
            </w:r>
          </w:p>
        </w:tc>
      </w:tr>
      <w:tr>
        <w:trPr>
          <w:trHeight w:val="142"/>
        </w:trPr>
        <w:tc>
          <w:tcPr>
            <w:tcW w:w="11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8"/>
              </w:rPr>
              <w:t>Level 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Level 3</w:t>
            </w:r>
          </w:p>
        </w:tc>
        <w:tc>
          <w:tcPr>
            <w:tcW w:w="130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assets:</w:t>
            </w: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82,259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82,259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82,259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113,881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113,881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Federal Home Loan Bank stock</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4,102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Loans, net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515,049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522,154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522,154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rate caps</w:t>
            </w:r>
          </w:p>
        </w:tc>
        <w:tc>
          <w:tcPr>
            <w:tcW w:w="10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liabilities:</w:t>
            </w:r>
          </w:p>
        </w:tc>
        <w:tc>
          <w:tcPr>
            <w:tcW w:w="10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Deposits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574,329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574,868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574,868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43,843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Wholesale repurchase agreements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10,199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10,484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1,701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rate swaps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60" w:type="dxa"/>
            <w:vAlign w:val="bottom"/>
            <w:gridSpan w:val="2"/>
          </w:tcPr>
          <w:p>
            <w:pPr>
              <w:jc w:val="right"/>
              <w:ind w:right="506"/>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Condensed Financial Statements of Parent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Condensed financial statements pertaining to Northeast Bancorp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 2015</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June 30, 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19,547</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Investment in subsidiary</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109,275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100,949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common securities of affiliated trusts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122,835</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debentures issued to affiliated trusts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112,839</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112,066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122,835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6"/>
          </w:tcPr>
          <w:p>
            <w:pPr>
              <w:jc w:val="center"/>
              <w:ind w:right="2020"/>
              <w:spacing w:after="0"/>
              <w:rPr>
                <w:sz w:val="20"/>
                <w:szCs w:val="20"/>
                <w:color w:val="auto"/>
              </w:rPr>
            </w:pPr>
            <w:r>
              <w:rPr>
                <w:rFonts w:ascii="Arial" w:cs="Arial" w:eastAsia="Arial" w:hAnsi="Arial"/>
                <w:sz w:val="14"/>
                <w:szCs w:val="14"/>
                <w:b w:val="1"/>
                <w:bCs w:val="1"/>
                <w:color w:val="auto"/>
                <w:w w:val="86"/>
              </w:rPr>
              <w:t>Year Ended June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80" w:type="dxa"/>
            <w:vAlign w:val="bottom"/>
            <w:gridSpan w:val="6"/>
          </w:tcPr>
          <w:p>
            <w:pPr>
              <w:jc w:val="center"/>
              <w:ind w:right="2020"/>
              <w:spacing w:after="0" w:line="129" w:lineRule="exact"/>
              <w:rPr>
                <w:sz w:val="20"/>
                <w:szCs w:val="20"/>
                <w:color w:val="auto"/>
              </w:rPr>
            </w:pPr>
            <w:r>
              <w:rPr>
                <w:rFonts w:ascii="Arial" w:cs="Arial" w:eastAsia="Arial" w:hAnsi="Arial"/>
                <w:sz w:val="14"/>
                <w:szCs w:val="14"/>
                <w:b w:val="1"/>
                <w:bCs w:val="1"/>
                <w:color w:val="auto"/>
                <w:w w:val="90"/>
              </w:rPr>
              <w:t>(Dollars in</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6"/>
          </w:tcPr>
          <w:p>
            <w:pPr>
              <w:jc w:val="center"/>
              <w:ind w:right="2020"/>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Statements of Income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Dividends from banking subsidiary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income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w w:val="98"/>
              </w:rPr>
              <w:t>Loss before income taxes and equity in undistributed earnings of subsidiary</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(1,832)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(1,819)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(Loss) income before equity in undistributed earnings of subsidiary</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(1,148)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(1,429)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in undistributed earnings of subsidiary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right"/>
              <w:ind w:right="2072"/>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Condensed Financial Statements of Parent Company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Year Ended June 30,</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r>
      <w:tr>
        <w:trPr>
          <w:trHeight w:val="129"/>
        </w:trPr>
        <w:tc>
          <w:tcPr>
            <w:tcW w:w="6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6"/>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(Dollars in</w:t>
            </w: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4"/>
              </w:rPr>
              <w:t>thousands)</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Statements of Cash Flows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7,141</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r>
      <w:tr>
        <w:trPr>
          <w:trHeight w:val="208"/>
        </w:trPr>
        <w:tc>
          <w:tcPr>
            <w:tcW w:w="6260" w:type="dxa"/>
            <w:vAlign w:val="bottom"/>
          </w:tcPr>
          <w:p>
            <w:pPr>
              <w:spacing w:after="0"/>
              <w:rPr>
                <w:sz w:val="20"/>
                <w:szCs w:val="20"/>
                <w:color w:val="auto"/>
              </w:rPr>
            </w:pPr>
            <w:r>
              <w:rPr>
                <w:rFonts w:ascii="Arial" w:cs="Arial" w:eastAsia="Arial" w:hAnsi="Arial"/>
                <w:sz w:val="18"/>
                <w:szCs w:val="18"/>
                <w:color w:val="auto"/>
                <w:w w:val="98"/>
              </w:rPr>
              <w:t>Adjustments to reconcile net income to net cash provided by (used in) operating</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62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fair value adjustment for borrowings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Equity in undistributed earnings of subsidiary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Increase in other assets and liabilities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r>
      <w:tr>
        <w:trPr>
          <w:trHeight w:val="208"/>
        </w:trPr>
        <w:tc>
          <w:tcPr>
            <w:tcW w:w="626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investment of bank subsidiary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(6,666)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(2,823)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w:t>
            </w: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(5,745)</w:t>
            </w:r>
          </w:p>
        </w:tc>
        <w:tc>
          <w:tcPr>
            <w:tcW w:w="160" w:type="dxa"/>
            <w:vAlign w:val="bottom"/>
          </w:tcPr>
          <w:p>
            <w:pPr>
              <w:spacing w:after="0"/>
              <w:rPr>
                <w:sz w:val="18"/>
                <w:szCs w:val="18"/>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Cash, beginning of year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19,547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26,366</w:t>
            </w: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19,547</w:t>
            </w:r>
          </w:p>
        </w:tc>
      </w:tr>
      <w:tr>
        <w:trPr>
          <w:trHeight w:val="20"/>
        </w:trPr>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Discontinued Operations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concluded all investment brokerage activities in the second quarter of fiscal 2014. Accordingly, operations associated with these activities have been classified as discontinued operations</w:t>
      </w:r>
    </w:p>
    <w:p>
      <w:pPr>
        <w:spacing w:after="0" w:line="1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Discontinued Operations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 the accompanying consolidated statements of income. The following summarizes the operations of the Company's investment brokerage division.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7"/>
          </w:tcPr>
          <w:p>
            <w:pPr>
              <w:ind w:left="1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20" w:type="dxa"/>
            <w:vAlign w:val="bottom"/>
            <w:gridSpan w:val="7"/>
          </w:tcPr>
          <w:p>
            <w:pPr>
              <w:ind w:left="100"/>
              <w:spacing w:after="0" w:line="129" w:lineRule="exact"/>
              <w:rPr>
                <w:sz w:val="20"/>
                <w:szCs w:val="20"/>
                <w:color w:val="auto"/>
              </w:rPr>
            </w:pPr>
            <w:r>
              <w:rPr>
                <w:rFonts w:ascii="Arial" w:cs="Arial" w:eastAsia="Arial" w:hAnsi="Arial"/>
                <w:sz w:val="14"/>
                <w:szCs w:val="14"/>
                <w:b w:val="1"/>
                <w:bCs w:val="1"/>
                <w:color w:val="auto"/>
              </w:rPr>
              <w:t>(Dollars in</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7"/>
          </w:tcPr>
          <w:p>
            <w:pPr>
              <w:ind w:left="8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Investment commissions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78"/>
              <w:spacing w:after="0"/>
              <w:rPr>
                <w:sz w:val="20"/>
                <w:szCs w:val="20"/>
                <w:color w:val="auto"/>
              </w:rPr>
            </w:pPr>
            <w:r>
              <w:rPr>
                <w:rFonts w:ascii="Arial" w:cs="Arial" w:eastAsia="Arial" w:hAnsi="Arial"/>
                <w:sz w:val="18"/>
                <w:szCs w:val="18"/>
                <w:color w:val="auto"/>
              </w:rPr>
              <w:t>971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Total noninterest income</w:t>
            </w:r>
          </w:p>
        </w:tc>
        <w:tc>
          <w:tcPr>
            <w:tcW w:w="34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78"/>
              <w:spacing w:after="0"/>
              <w:rPr>
                <w:sz w:val="20"/>
                <w:szCs w:val="20"/>
                <w:color w:val="auto"/>
              </w:rPr>
            </w:pPr>
            <w:r>
              <w:rPr>
                <w:rFonts w:ascii="Arial" w:cs="Arial" w:eastAsia="Arial" w:hAnsi="Arial"/>
                <w:sz w:val="18"/>
                <w:szCs w:val="18"/>
                <w:color w:val="auto"/>
              </w:rPr>
              <w:t>793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 and equipment expense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Data processing fees</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78"/>
              <w:spacing w:after="0"/>
              <w:rPr>
                <w:sz w:val="20"/>
                <w:szCs w:val="20"/>
                <w:color w:val="auto"/>
              </w:rPr>
            </w:pPr>
            <w:r>
              <w:rPr>
                <w:rFonts w:ascii="Arial" w:cs="Arial" w:eastAsia="Arial" w:hAnsi="Arial"/>
                <w:sz w:val="18"/>
                <w:szCs w:val="18"/>
                <w:color w:val="auto"/>
              </w:rPr>
              <w:t>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expense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Other noninterest expense</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78"/>
              <w:spacing w:after="0"/>
              <w:rPr>
                <w:sz w:val="20"/>
                <w:szCs w:val="20"/>
                <w:color w:val="auto"/>
              </w:rPr>
            </w:pPr>
            <w:r>
              <w:rPr>
                <w:rFonts w:ascii="Arial" w:cs="Arial" w:eastAsia="Arial" w:hAnsi="Arial"/>
                <w:sz w:val="18"/>
                <w:szCs w:val="18"/>
                <w:color w:val="auto"/>
              </w:rPr>
              <w:t>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noninterest expense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983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1720"/>
              <w:spacing w:after="0"/>
              <w:rPr>
                <w:sz w:val="20"/>
                <w:szCs w:val="20"/>
                <w:color w:val="auto"/>
              </w:rPr>
            </w:pPr>
            <w:r>
              <w:rPr>
                <w:rFonts w:ascii="Arial" w:cs="Arial" w:eastAsia="Arial" w:hAnsi="Arial"/>
                <w:sz w:val="18"/>
                <w:szCs w:val="18"/>
                <w:color w:val="auto"/>
              </w:rPr>
              <w:t>(Loss) income before tax</w:t>
            </w:r>
          </w:p>
        </w:tc>
        <w:tc>
          <w:tcPr>
            <w:tcW w:w="3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1720"/>
              <w:spacing w:after="0"/>
              <w:rPr>
                <w:sz w:val="20"/>
                <w:szCs w:val="20"/>
                <w:color w:val="auto"/>
              </w:rPr>
            </w:pPr>
            <w:r>
              <w:rPr>
                <w:rFonts w:ascii="Arial" w:cs="Arial" w:eastAsia="Arial" w:hAnsi="Arial"/>
                <w:sz w:val="18"/>
                <w:szCs w:val="18"/>
                <w:color w:val="auto"/>
              </w:rPr>
              <w:t>Net (loss) income</w:t>
            </w:r>
          </w:p>
        </w:tc>
        <w:tc>
          <w:tcPr>
            <w:tcW w:w="34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60" w:type="dxa"/>
            <w:vAlign w:val="bottom"/>
            <w:vMerge w:val="restart"/>
          </w:tcPr>
          <w:p>
            <w:pPr>
              <w:jc w:val="right"/>
              <w:ind w:right="2512"/>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Chief Financial Officer, of the effectiveness of its disclosure controls and procedures, as defined in Exchange Act Rules 13a-15(e) and 15d-15(e). Based upon the evaluation, the Company's Chief Executive Officer and Chief Financial Officer concluded that as of June 30, 2015, the Company's disclosure controls and procedures are effective. Disclosure controls and procedures are controls and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In addition, no change in our internal control over financial reporting (as defined in Rule 13a-15(f) under the Securities Exchange Act of 1934) occurred during the fourth quarter of our fiscal year ended June 30, 2015 that has materially affected, or is reasonably likely to materially affect, our internal control over financial reporting.</w:t>
      </w:r>
    </w:p>
    <w:p>
      <w:pPr>
        <w:spacing w:after="0" w:line="172"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its Chief Executive Officer and Chief Financial Officer, of the effectiveness of the design and operation of our internal controls and procedures over financial reporting (as defined in Rule 13a-15(e) of the Exchange Act) as of the end of the period covered by this annual report.</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controls over financial reporting. The standard measures adopted by management in making its evaluation are the measures in </w:t>
      </w:r>
      <w:r>
        <w:rPr>
          <w:rFonts w:ascii="Arial" w:cs="Arial" w:eastAsia="Arial" w:hAnsi="Arial"/>
          <w:sz w:val="16"/>
          <w:szCs w:val="16"/>
          <w:i w:val="1"/>
          <w:iCs w:val="1"/>
          <w:color w:val="auto"/>
        </w:rPr>
        <w:t>Interest Control—Integrated Framework (1992)</w:t>
      </w:r>
      <w:r>
        <w:rPr>
          <w:rFonts w:ascii="Arial" w:cs="Arial" w:eastAsia="Arial" w:hAnsi="Arial"/>
          <w:sz w:val="16"/>
          <w:szCs w:val="16"/>
          <w:color w:val="auto"/>
        </w:rPr>
        <w:t xml:space="preserve"> published by the Committee of Sponsoring Organizations of the Treadway Commission. We do not expect that our disclosure controls and procedures will prevent all error and all fraud. A control system, no matter how well designed and operated, can provide only reasonable, not absolute, assurance that the control system's objective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errors, and instances of fraud, if any, within the Company have been or will be detected. The inherent limitations include, among other things, the realities that judgments in decision-making can be faulty, and that breakdowns can occur because of simple error or mistake. Controls and procedures also can be circumvented by the individual acts of some persons, by collusion of two or more people, or by management or employee override of the controls and procedures. The design of any system of controls and procedures is based in part upon certain assumptions about the likelihood of future events, and there can be no assurance that any design will succeed in achieving its stated goals under all potential future conditions. Over time, controls and procedures may become inadequate because of changes in conditions or deterioration in the degree of compliance with its policies or procedures. Because of the inherent limitation in a cost-effective control system, misstatements due to error or fraud may occur and not be detected.</w:t>
      </w:r>
    </w:p>
    <w:p>
      <w:pPr>
        <w:spacing w:after="0" w:line="17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Based on their evaluation of disclosure controls and procedures, our Chief Executive Officer and Chief Financial Officer concluded, subject to the limitations described above, that our internal controls and procedures over financial reporting as of the end of the period covered by this report were effective and that there were no material weaknesses.</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that could significantly affect our internal controls, subsequent to the date the Chief Executive Officer and Chief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completed their evaluation, including any corrective actions with regard to significant deficiencies or material weaknesses.</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This annual report does not include an attestation report of the Company's independent registered public accounting firm regarding internal controls over financial reporting. Management's report was not subject to attestation by the Company's independent registered public accounting firm pursuant to rules of the Securities Exchange Commission that permit the Company to provide only management's report in this annual report.</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September 25, 2015, Adam J. Shapiro informed the Board of his resignation from the Board effective September 25, 2015. The decision by Mr. Shapiro to resign from the Board is not as a result of any disagreement with the Company or the Board.</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10 will be included in the Proxy Statement relating to our 2015 Annual Meeting of Shareholders and is incorporated herein by reference.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11 will be included in the Proxy Statement relating to our 2015 Annual Meeting of Shareholders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Shareholders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information required by Item 12 is included in the Proxy Statement relating to our 2015 Annual Meeting of Shareholders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13 will be included in the Proxy Statement relating to our 2015 Annual Meeting of Shareholders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14 will be included in the Proxy Statement relating to our 2015 Annual Meeting of Shareholders and is incorporated herein by reference.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9560" w:type="dxa"/>
            <w:vAlign w:val="bottom"/>
            <w:gridSpan w:val="8"/>
          </w:tcPr>
          <w:p>
            <w:pPr>
              <w:ind w:left="160"/>
              <w:spacing w:after="0"/>
              <w:rPr>
                <w:sz w:val="20"/>
                <w:szCs w:val="20"/>
                <w:color w:val="auto"/>
              </w:rPr>
            </w:pPr>
            <w:r>
              <w:rPr>
                <w:rFonts w:ascii="Arial" w:cs="Arial" w:eastAsia="Arial" w:hAnsi="Arial"/>
                <w:sz w:val="18"/>
                <w:szCs w:val="18"/>
                <w:color w:val="auto"/>
              </w:rPr>
              <w:t>Financial Statements and Financial Statement Schedules</w:t>
            </w:r>
          </w:p>
        </w:tc>
        <w:tc>
          <w:tcPr>
            <w:tcW w:w="180" w:type="dxa"/>
            <w:vAlign w:val="bottom"/>
          </w:tcPr>
          <w:p>
            <w:pPr>
              <w:spacing w:after="0"/>
              <w:rPr>
                <w:sz w:val="20"/>
                <w:szCs w:val="20"/>
                <w:color w:val="auto"/>
              </w:rPr>
            </w:pPr>
          </w:p>
        </w:tc>
      </w:tr>
      <w:tr>
        <w:trPr>
          <w:trHeight w:val="394"/>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40" w:type="dxa"/>
            <w:vAlign w:val="bottom"/>
            <w:gridSpan w:val="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June 30, 2015 and 2014</w:t>
              </w:r>
            </w:hyperlink>
          </w:p>
        </w:tc>
        <w:tc>
          <w:tcPr>
            <w:tcW w:w="180" w:type="dxa"/>
            <w:vAlign w:val="bottom"/>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63</w:t>
              </w:r>
            </w:hyperlink>
          </w:p>
        </w:tc>
      </w:tr>
      <w:tr>
        <w:trPr>
          <w:trHeight w:val="20"/>
        </w:trPr>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2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65">
              <w:r>
                <w:rPr>
                  <w:rFonts w:ascii="Arial" w:cs="Arial" w:eastAsia="Arial" w:hAnsi="Arial"/>
                  <w:sz w:val="18"/>
                  <w:szCs w:val="18"/>
                  <w:color w:val="0000EE"/>
                  <w:w w:val="86"/>
                </w:rPr>
                <w:t>Consolidated Statements of Income for the years ended June 30, 2015 and 2014</w:t>
              </w:r>
            </w:hyperlink>
          </w:p>
        </w:tc>
        <w:tc>
          <w:tcPr>
            <w:tcW w:w="282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64</w:t>
              </w:r>
            </w:hyperlink>
          </w:p>
        </w:tc>
      </w:tr>
      <w:tr>
        <w:trPr>
          <w:trHeight w:val="412"/>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76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66">
              <w:r>
                <w:rPr>
                  <w:rFonts w:ascii="Arial" w:cs="Arial" w:eastAsia="Arial" w:hAnsi="Arial"/>
                  <w:sz w:val="18"/>
                  <w:szCs w:val="18"/>
                  <w:color w:val="0000EE"/>
                  <w:w w:val="86"/>
                </w:rPr>
                <w:t>Consolidated Statements of Comprehensive Income for the years ended June 30, 2015 and 2014</w:t>
              </w:r>
            </w:hyperlink>
          </w:p>
        </w:tc>
        <w:tc>
          <w:tcPr>
            <w:tcW w:w="168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65</w:t>
              </w:r>
            </w:hyperlink>
          </w:p>
        </w:tc>
      </w:tr>
      <w:tr>
        <w:trPr>
          <w:trHeight w:val="412"/>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3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Consolidated Statements of Changes in Stockholders' Equity for the years ended June 30, 2015 and 2014</w:t>
              </w:r>
            </w:hyperlink>
          </w:p>
        </w:tc>
        <w:tc>
          <w:tcPr>
            <w:tcW w:w="10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66</w:t>
              </w:r>
            </w:hyperlink>
          </w:p>
        </w:tc>
      </w:tr>
      <w:tr>
        <w:trPr>
          <w:trHeight w:val="412"/>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40" w:type="dxa"/>
            <w:vAlign w:val="bottom"/>
            <w:gridSpan w:val="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Cash Flows for the years ended June 30, 2015 and 2014</w:t>
              </w:r>
            </w:hyperlink>
          </w:p>
        </w:tc>
        <w:tc>
          <w:tcPr>
            <w:tcW w:w="180" w:type="dxa"/>
            <w:vAlign w:val="bottom"/>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67</w:t>
              </w:r>
            </w:hyperlink>
          </w:p>
        </w:tc>
      </w:tr>
      <w:tr>
        <w:trPr>
          <w:trHeight w:val="412"/>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900" w:type="dxa"/>
            <w:vAlign w:val="bottom"/>
            <w:tcBorders>
              <w:top w:val="single" w:sz="8" w:color="0000EE"/>
            </w:tcBorders>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2540" w:type="dxa"/>
            <w:vAlign w:val="bottom"/>
            <w:gridSpan w:val="3"/>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68</w:t>
              </w:r>
            </w:hyperlink>
          </w:p>
        </w:tc>
      </w:tr>
      <w:tr>
        <w:trPr>
          <w:trHeight w:val="20"/>
        </w:trPr>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62"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2220" w:right="180" w:hanging="489"/>
        <w:spacing w:after="0" w:line="259" w:lineRule="auto"/>
        <w:tabs>
          <w:tab w:leader="none" w:pos="2200" w:val="left"/>
        </w:tabs>
        <w:rPr>
          <w:sz w:val="20"/>
          <w:szCs w:val="20"/>
          <w:color w:val="auto"/>
        </w:rPr>
      </w:pPr>
      <w:r>
        <w:rPr>
          <w:rFonts w:ascii="Arial" w:cs="Arial" w:eastAsia="Arial" w:hAnsi="Arial"/>
          <w:sz w:val="18"/>
          <w:szCs w:val="18"/>
          <w:color w:val="auto"/>
        </w:rPr>
        <w:t>2.1</w:t>
        <w:tab/>
        <w:t>Agreement and Plan of Merger, dated as of March 30, 2010, by and between Northeast Bancorp and FHB Formation LLC (incorporated by reference to Exhibit 2.1 of Northeast Bancorp's Form 8-K filed with Securities and Exchange Commission on March 31, 2010).</w:t>
      </w:r>
    </w:p>
    <w:p>
      <w:pPr>
        <w:spacing w:after="0" w:line="194" w:lineRule="exact"/>
        <w:rPr>
          <w:sz w:val="20"/>
          <w:szCs w:val="20"/>
          <w:color w:val="auto"/>
        </w:rPr>
      </w:pPr>
    </w:p>
    <w:p>
      <w:pPr>
        <w:ind w:left="2220" w:right="160" w:hanging="489"/>
        <w:spacing w:after="0" w:line="268" w:lineRule="auto"/>
        <w:tabs>
          <w:tab w:leader="none" w:pos="2200" w:val="left"/>
        </w:tabs>
        <w:rPr>
          <w:sz w:val="20"/>
          <w:szCs w:val="20"/>
          <w:color w:val="auto"/>
        </w:rPr>
      </w:pPr>
      <w:r>
        <w:rPr>
          <w:rFonts w:ascii="Arial" w:cs="Arial" w:eastAsia="Arial" w:hAnsi="Arial"/>
          <w:sz w:val="18"/>
          <w:szCs w:val="18"/>
          <w:color w:val="auto"/>
        </w:rPr>
        <w:t>3.1</w:t>
        <w:tab/>
        <w:t>Amended and Restated Articles of Incorporation of Northeast Bancorp (incorporated by reference to Exhibit 3.1 of Northeast Bancorp's Current Report on Form 8-K filed on January 5, 2011).</w:t>
      </w:r>
    </w:p>
    <w:p>
      <w:pPr>
        <w:spacing w:after="0" w:line="186" w:lineRule="exact"/>
        <w:rPr>
          <w:sz w:val="20"/>
          <w:szCs w:val="20"/>
          <w:color w:val="auto"/>
        </w:rPr>
      </w:pPr>
    </w:p>
    <w:p>
      <w:pPr>
        <w:ind w:left="2220" w:right="120" w:hanging="489"/>
        <w:spacing w:after="0" w:line="259" w:lineRule="auto"/>
        <w:tabs>
          <w:tab w:leader="none" w:pos="2200" w:val="left"/>
        </w:tabs>
        <w:rPr>
          <w:sz w:val="20"/>
          <w:szCs w:val="20"/>
          <w:color w:val="auto"/>
        </w:rPr>
      </w:pPr>
      <w:r>
        <w:rPr>
          <w:rFonts w:ascii="Arial" w:cs="Arial" w:eastAsia="Arial" w:hAnsi="Arial"/>
          <w:sz w:val="18"/>
          <w:szCs w:val="18"/>
          <w:color w:val="auto"/>
        </w:rPr>
        <w:t>3.2</w:t>
        <w:tab/>
        <w:t>Articles of Amendment to the Amended and Restated Articles of Incorporation of Northeast Bancorp (incorporated by reference to Exhibit 3.1 of Northeast Bancorp's Current Report on Form 8-K filed on March 22, 2011).</w:t>
      </w:r>
    </w:p>
    <w:p>
      <w:pPr>
        <w:spacing w:after="0" w:line="194" w:lineRule="exact"/>
        <w:rPr>
          <w:sz w:val="20"/>
          <w:szCs w:val="20"/>
          <w:color w:val="auto"/>
        </w:rPr>
      </w:pPr>
    </w:p>
    <w:p>
      <w:pPr>
        <w:jc w:val="both"/>
        <w:ind w:left="2220" w:right="880" w:hanging="489"/>
        <w:spacing w:after="0" w:line="259" w:lineRule="auto"/>
        <w:tabs>
          <w:tab w:leader="none" w:pos="2200" w:val="left"/>
        </w:tabs>
        <w:rPr>
          <w:sz w:val="20"/>
          <w:szCs w:val="20"/>
          <w:color w:val="auto"/>
        </w:rPr>
      </w:pPr>
      <w:r>
        <w:rPr>
          <w:rFonts w:ascii="Arial" w:cs="Arial" w:eastAsia="Arial" w:hAnsi="Arial"/>
          <w:sz w:val="18"/>
          <w:szCs w:val="18"/>
          <w:color w:val="auto"/>
        </w:rPr>
        <w:t>3.3</w:t>
        <w:tab/>
        <w:t>Articles of Amendment to the Amended and Restated Articles of Incorporation of Northeast Bancorp (incorporated by reference to Exhibit 3.1 of Northeast Bancorp's Current Report on Form 8-K filed on November 29, 2012).</w:t>
      </w:r>
    </w:p>
    <w:p>
      <w:pPr>
        <w:spacing w:after="0" w:line="194" w:lineRule="exact"/>
        <w:rPr>
          <w:sz w:val="20"/>
          <w:szCs w:val="20"/>
          <w:color w:val="auto"/>
        </w:rPr>
      </w:pPr>
    </w:p>
    <w:p>
      <w:pPr>
        <w:ind w:left="2220" w:right="460" w:hanging="489"/>
        <w:spacing w:after="0" w:line="268" w:lineRule="auto"/>
        <w:tabs>
          <w:tab w:leader="none" w:pos="2200" w:val="left"/>
        </w:tabs>
        <w:rPr>
          <w:sz w:val="20"/>
          <w:szCs w:val="20"/>
          <w:color w:val="auto"/>
        </w:rPr>
      </w:pPr>
      <w:r>
        <w:rPr>
          <w:rFonts w:ascii="Arial" w:cs="Arial" w:eastAsia="Arial" w:hAnsi="Arial"/>
          <w:sz w:val="18"/>
          <w:szCs w:val="18"/>
          <w:color w:val="auto"/>
        </w:rPr>
        <w:t>3.4</w:t>
        <w:tab/>
        <w:t>Amended and Restated Bylaws of Northeast Bancorp (incorporated by reference to Exhibit 3.2 of Northeast Bancorp's Current Report on Form 8-K filed on January 5, 2011).</w:t>
      </w:r>
    </w:p>
    <w:p>
      <w:pPr>
        <w:spacing w:after="0" w:line="186" w:lineRule="exact"/>
        <w:rPr>
          <w:sz w:val="20"/>
          <w:szCs w:val="20"/>
          <w:color w:val="auto"/>
        </w:rPr>
      </w:pPr>
    </w:p>
    <w:p>
      <w:pPr>
        <w:ind w:left="2220" w:right="40" w:hanging="489"/>
        <w:spacing w:after="0" w:line="259" w:lineRule="auto"/>
        <w:tabs>
          <w:tab w:leader="none" w:pos="2200" w:val="left"/>
        </w:tabs>
        <w:rPr>
          <w:sz w:val="20"/>
          <w:szCs w:val="20"/>
          <w:color w:val="auto"/>
        </w:rPr>
      </w:pPr>
      <w:r>
        <w:rPr>
          <w:rFonts w:ascii="Arial" w:cs="Arial" w:eastAsia="Arial" w:hAnsi="Arial"/>
          <w:sz w:val="18"/>
          <w:szCs w:val="18"/>
          <w:color w:val="auto"/>
        </w:rPr>
        <w:t>4.1</w:t>
        <w:tab/>
        <w:t>Registration Rights Schedule to the Agreement and Plan of Merger, dated as of March 30, 2010, by and between Northeast Bancorp and FHB Formation LLC (incorporated by reference to Amendment No. 1 on Form 10-K/A of Northeast Bancorp filed on March 19, 2012).</w:t>
      </w:r>
    </w:p>
    <w:p>
      <w:pPr>
        <w:spacing w:after="0" w:line="194" w:lineRule="exact"/>
        <w:rPr>
          <w:sz w:val="20"/>
          <w:szCs w:val="20"/>
          <w:color w:val="auto"/>
        </w:rPr>
      </w:pPr>
    </w:p>
    <w:p>
      <w:pPr>
        <w:jc w:val="both"/>
        <w:ind w:left="2220" w:hanging="576"/>
        <w:spacing w:after="0" w:line="259" w:lineRule="auto"/>
        <w:tabs>
          <w:tab w:leader="none" w:pos="2200" w:val="left"/>
        </w:tabs>
        <w:rPr>
          <w:sz w:val="20"/>
          <w:szCs w:val="20"/>
          <w:color w:val="auto"/>
        </w:rPr>
      </w:pPr>
      <w:r>
        <w:rPr>
          <w:rFonts w:ascii="Arial" w:cs="Arial" w:eastAsia="Arial" w:hAnsi="Arial"/>
          <w:sz w:val="18"/>
          <w:szCs w:val="18"/>
          <w:color w:val="auto"/>
        </w:rPr>
        <w:t>10.1+</w:t>
        <w:tab/>
        <w:t>Form of Indemnification Agreement, dated as of December 29, 2010, by and between Northeast Bancorp and each of the members of the Board (incorporated by reference to Exhibit 10.1 of Northeast Bancorp's Current Report on Form 8-K filed on January 5, 2011).</w:t>
      </w:r>
    </w:p>
    <w:p>
      <w:pPr>
        <w:spacing w:after="0" w:line="194" w:lineRule="exact"/>
        <w:rPr>
          <w:sz w:val="20"/>
          <w:szCs w:val="20"/>
          <w:color w:val="auto"/>
        </w:rPr>
      </w:pPr>
    </w:p>
    <w:p>
      <w:pPr>
        <w:ind w:left="2220" w:right="20" w:hanging="576"/>
        <w:spacing w:after="0" w:line="259" w:lineRule="auto"/>
        <w:tabs>
          <w:tab w:leader="none" w:pos="2200" w:val="left"/>
        </w:tabs>
        <w:rPr>
          <w:sz w:val="20"/>
          <w:szCs w:val="20"/>
          <w:color w:val="auto"/>
        </w:rPr>
      </w:pPr>
      <w:r>
        <w:rPr>
          <w:rFonts w:ascii="Arial" w:cs="Arial" w:eastAsia="Arial" w:hAnsi="Arial"/>
          <w:sz w:val="18"/>
          <w:szCs w:val="18"/>
          <w:color w:val="auto"/>
        </w:rPr>
        <w:t>10.2+</w:t>
        <w:tab/>
        <w:t>Employment Agreement, dated December 30, 2010, by and between Northeast Bancorp and Richard Wayne (incorporated by reference to Exhibit 10.2 of Northeast Bancorp's Current Report on Form 8-K filed on January 5, 2011).</w:t>
      </w:r>
    </w:p>
    <w:p>
      <w:pPr>
        <w:spacing w:after="0" w:line="194" w:lineRule="exact"/>
        <w:rPr>
          <w:sz w:val="20"/>
          <w:szCs w:val="20"/>
          <w:color w:val="auto"/>
        </w:rPr>
      </w:pPr>
    </w:p>
    <w:p>
      <w:pPr>
        <w:ind w:left="2220" w:right="20" w:hanging="576"/>
        <w:spacing w:after="0" w:line="259" w:lineRule="auto"/>
        <w:tabs>
          <w:tab w:leader="none" w:pos="2200" w:val="left"/>
        </w:tabs>
        <w:rPr>
          <w:sz w:val="20"/>
          <w:szCs w:val="20"/>
          <w:color w:val="auto"/>
        </w:rPr>
      </w:pPr>
      <w:r>
        <w:rPr>
          <w:rFonts w:ascii="Arial" w:cs="Arial" w:eastAsia="Arial" w:hAnsi="Arial"/>
          <w:sz w:val="18"/>
          <w:szCs w:val="18"/>
          <w:color w:val="auto"/>
        </w:rPr>
        <w:t>10.3+</w:t>
        <w:tab/>
        <w:t>Employment Agreement, dated December 30, 2010, by and between Northeast Bancorp and Claire Bean (incorporated by reference to Exhibit 10.3 of Northeast Bancorp's Current Report on Form 8-K filed on January 5, 2011).</w:t>
      </w: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20" w:right="1200" w:hanging="576"/>
        <w:spacing w:after="0" w:line="259" w:lineRule="auto"/>
        <w:tabs>
          <w:tab w:leader="none" w:pos="2200" w:val="left"/>
        </w:tabs>
        <w:rPr>
          <w:sz w:val="20"/>
          <w:szCs w:val="20"/>
          <w:color w:val="auto"/>
        </w:rPr>
      </w:pPr>
      <w:r>
        <w:rPr>
          <w:rFonts w:ascii="Arial" w:cs="Arial" w:eastAsia="Arial" w:hAnsi="Arial"/>
          <w:sz w:val="18"/>
          <w:szCs w:val="18"/>
          <w:color w:val="auto"/>
        </w:rPr>
        <w:t>10.4+</w:t>
        <w:tab/>
        <w:t>Non-Qualified Time-Based Stock Option Agreement, dated December 29, 2010, by and between Northeast Bancorp and Richard Wayne (incorporated by reference to Exhibit 10.5 of Northeast Bancorp's Current Report on Form 8-K filed on January 5, 2011).</w:t>
      </w:r>
    </w:p>
    <w:p>
      <w:pPr>
        <w:spacing w:after="0" w:line="194" w:lineRule="exact"/>
        <w:rPr>
          <w:sz w:val="20"/>
          <w:szCs w:val="20"/>
          <w:color w:val="auto"/>
        </w:rPr>
      </w:pPr>
    </w:p>
    <w:p>
      <w:pPr>
        <w:ind w:left="2220" w:right="1200" w:hanging="576"/>
        <w:spacing w:after="0" w:line="259" w:lineRule="auto"/>
        <w:tabs>
          <w:tab w:leader="none" w:pos="2200" w:val="left"/>
        </w:tabs>
        <w:rPr>
          <w:sz w:val="20"/>
          <w:szCs w:val="20"/>
          <w:color w:val="auto"/>
        </w:rPr>
      </w:pPr>
      <w:r>
        <w:rPr>
          <w:rFonts w:ascii="Arial" w:cs="Arial" w:eastAsia="Arial" w:hAnsi="Arial"/>
          <w:sz w:val="18"/>
          <w:szCs w:val="18"/>
          <w:color w:val="auto"/>
        </w:rPr>
        <w:t>10.5+</w:t>
        <w:tab/>
        <w:t>Non-Qualified Performance-Based Stock Option Agreement, dated March 22, 2013, by and between Northeast Bancorp and Richard Wayne (incorporated by reference to Exhibit 10.1 of Northeast Bancorp's Current Report on Form 8-K filed on March 26, 2013).</w:t>
      </w:r>
    </w:p>
    <w:p>
      <w:pPr>
        <w:spacing w:after="0" w:line="194" w:lineRule="exact"/>
        <w:rPr>
          <w:sz w:val="20"/>
          <w:szCs w:val="20"/>
          <w:color w:val="auto"/>
        </w:rPr>
      </w:pPr>
    </w:p>
    <w:p>
      <w:pPr>
        <w:ind w:left="2220" w:right="1440" w:hanging="576"/>
        <w:spacing w:after="0" w:line="259" w:lineRule="auto"/>
        <w:tabs>
          <w:tab w:leader="none" w:pos="2200" w:val="left"/>
        </w:tabs>
        <w:rPr>
          <w:sz w:val="20"/>
          <w:szCs w:val="20"/>
          <w:color w:val="auto"/>
        </w:rPr>
      </w:pPr>
      <w:r>
        <w:rPr>
          <w:rFonts w:ascii="Arial" w:cs="Arial" w:eastAsia="Arial" w:hAnsi="Arial"/>
          <w:sz w:val="18"/>
          <w:szCs w:val="18"/>
          <w:color w:val="auto"/>
        </w:rPr>
        <w:t>10.6+</w:t>
        <w:tab/>
        <w:t>Non-Qualified Time-Based Stock Option Agreement, dated December 29, 2010, by and between Northeast Bancorp and Claire Bean (incorporated by reference to Exhibit 10.7 of Northeast Bancorp's Current Report on Form 8-K filed on January 5, 2011).</w:t>
      </w:r>
    </w:p>
    <w:p>
      <w:pPr>
        <w:spacing w:after="0" w:line="194" w:lineRule="exact"/>
        <w:rPr>
          <w:sz w:val="20"/>
          <w:szCs w:val="20"/>
          <w:color w:val="auto"/>
        </w:rPr>
      </w:pPr>
    </w:p>
    <w:p>
      <w:pPr>
        <w:jc w:val="both"/>
        <w:ind w:left="2220" w:right="1400" w:hanging="576"/>
        <w:spacing w:after="0" w:line="259" w:lineRule="auto"/>
        <w:tabs>
          <w:tab w:leader="none" w:pos="2200" w:val="left"/>
        </w:tabs>
        <w:rPr>
          <w:sz w:val="20"/>
          <w:szCs w:val="20"/>
          <w:color w:val="auto"/>
        </w:rPr>
      </w:pPr>
      <w:r>
        <w:rPr>
          <w:rFonts w:ascii="Arial" w:cs="Arial" w:eastAsia="Arial" w:hAnsi="Arial"/>
          <w:sz w:val="18"/>
          <w:szCs w:val="18"/>
          <w:color w:val="auto"/>
        </w:rPr>
        <w:t>10.7+</w:t>
        <w:tab/>
        <w:t>Non-Qualified Performance-Based Stock Option Agreement, dated March 22, 2013, by and between Northeast Bancorp and Claire Bean (incorporated by reference to Exhibit 10.2 of Northeast Bancorp's Current Report on Form 8-K filed on March 26, 2013).</w:t>
      </w:r>
    </w:p>
    <w:p>
      <w:pPr>
        <w:spacing w:after="0" w:line="194" w:lineRule="exact"/>
        <w:rPr>
          <w:sz w:val="20"/>
          <w:szCs w:val="20"/>
          <w:color w:val="auto"/>
        </w:rPr>
      </w:pPr>
    </w:p>
    <w:p>
      <w:pPr>
        <w:ind w:left="2220" w:right="1300" w:hanging="576"/>
        <w:spacing w:after="0" w:line="259" w:lineRule="auto"/>
        <w:tabs>
          <w:tab w:leader="none" w:pos="2200" w:val="left"/>
        </w:tabs>
        <w:rPr>
          <w:sz w:val="20"/>
          <w:szCs w:val="20"/>
          <w:color w:val="auto"/>
        </w:rPr>
      </w:pPr>
      <w:r>
        <w:rPr>
          <w:rFonts w:ascii="Arial" w:cs="Arial" w:eastAsia="Arial" w:hAnsi="Arial"/>
          <w:sz w:val="18"/>
          <w:szCs w:val="18"/>
          <w:color w:val="auto"/>
        </w:rPr>
        <w:t>10.8+</w:t>
        <w:tab/>
        <w:t>Non-Qualified Stock Option Agreement, dated December 30, 2010, by and between Northeast Bancorp and Robert Glauber (incorporated by reference to Exhibit 10.11 of Northeast Bancorp's Current Report on Form 8-K filed on January 5, 2011).</w:t>
      </w:r>
    </w:p>
    <w:p>
      <w:pPr>
        <w:spacing w:after="0" w:line="194" w:lineRule="exact"/>
        <w:rPr>
          <w:sz w:val="20"/>
          <w:szCs w:val="20"/>
          <w:color w:val="auto"/>
        </w:rPr>
      </w:pPr>
    </w:p>
    <w:p>
      <w:pPr>
        <w:ind w:left="2220" w:right="1220" w:hanging="576"/>
        <w:spacing w:after="0" w:line="259" w:lineRule="auto"/>
        <w:tabs>
          <w:tab w:leader="none" w:pos="2200" w:val="left"/>
        </w:tabs>
        <w:rPr>
          <w:sz w:val="20"/>
          <w:szCs w:val="20"/>
          <w:color w:val="auto"/>
        </w:rPr>
      </w:pPr>
      <w:r>
        <w:rPr>
          <w:rFonts w:ascii="Arial" w:cs="Arial" w:eastAsia="Arial" w:hAnsi="Arial"/>
          <w:sz w:val="18"/>
          <w:szCs w:val="18"/>
          <w:color w:val="auto"/>
        </w:rPr>
        <w:t>10.9+</w:t>
        <w:tab/>
        <w:t>Amended and Restated Performance-Based Stock Appreciation Rights Agreement, dated March 24, 2011, by and between Northeast Bancorp and Matthew Botein (incorporated by reference to Exhibit 10.1 of Northeast Bancorp's Current Report on Form 8-K filed on March 30, 2011).</w:t>
      </w:r>
    </w:p>
    <w:p>
      <w:pPr>
        <w:spacing w:after="0" w:line="194" w:lineRule="exact"/>
        <w:rPr>
          <w:sz w:val="20"/>
          <w:szCs w:val="20"/>
          <w:color w:val="auto"/>
        </w:rPr>
      </w:pPr>
    </w:p>
    <w:p>
      <w:pPr>
        <w:ind w:left="2220" w:right="1160" w:hanging="664"/>
        <w:spacing w:after="0" w:line="259" w:lineRule="auto"/>
        <w:tabs>
          <w:tab w:leader="none" w:pos="2200" w:val="left"/>
        </w:tabs>
        <w:rPr>
          <w:sz w:val="20"/>
          <w:szCs w:val="20"/>
          <w:color w:val="auto"/>
        </w:rPr>
      </w:pPr>
      <w:r>
        <w:rPr>
          <w:rFonts w:ascii="Arial" w:cs="Arial" w:eastAsia="Arial" w:hAnsi="Arial"/>
          <w:sz w:val="18"/>
          <w:szCs w:val="18"/>
          <w:color w:val="auto"/>
        </w:rPr>
        <w:t>10.10+</w:t>
        <w:tab/>
        <w:t>Non-Qualified Time-Based Stock Option Agreement, dated March 24, 2011, by and between Northeast Bancorp and Matthew Botein (incorporated by reference to Exhibit 10.2 of Northeast Bancorp's Current Report on Form 8-K filed on March 30, 2011).</w:t>
      </w:r>
    </w:p>
    <w:p>
      <w:pPr>
        <w:spacing w:after="0" w:line="194" w:lineRule="exact"/>
        <w:rPr>
          <w:sz w:val="20"/>
          <w:szCs w:val="20"/>
          <w:color w:val="auto"/>
        </w:rPr>
      </w:pPr>
    </w:p>
    <w:p>
      <w:pPr>
        <w:ind w:left="2220" w:right="1140" w:hanging="658"/>
        <w:spacing w:after="0" w:line="259" w:lineRule="auto"/>
        <w:tabs>
          <w:tab w:leader="none" w:pos="2200" w:val="left"/>
        </w:tabs>
        <w:rPr>
          <w:sz w:val="20"/>
          <w:szCs w:val="20"/>
          <w:color w:val="auto"/>
        </w:rPr>
      </w:pPr>
      <w:r>
        <w:rPr>
          <w:rFonts w:ascii="Arial" w:cs="Arial" w:eastAsia="Arial" w:hAnsi="Arial"/>
          <w:sz w:val="18"/>
          <w:szCs w:val="18"/>
          <w:color w:val="auto"/>
        </w:rPr>
        <w:t>10.11+</w:t>
        <w:tab/>
        <w:t>Non-Qualified Performance-Based Stock Option Agreement, dated March 24, 2011, by and between Northeast Bancorp and Matthew Botein (incorporated by reference to Exhibit 10.3 of Northeast Bancorp's Current Report on Form 8-K filed on March 30, 2011).</w:t>
      </w:r>
    </w:p>
    <w:p>
      <w:pPr>
        <w:spacing w:after="0" w:line="194" w:lineRule="exact"/>
        <w:rPr>
          <w:sz w:val="20"/>
          <w:szCs w:val="20"/>
          <w:color w:val="auto"/>
        </w:rPr>
      </w:pPr>
    </w:p>
    <w:p>
      <w:pPr>
        <w:ind w:left="1780"/>
        <w:spacing w:after="0"/>
        <w:tabs>
          <w:tab w:leader="none" w:pos="22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Subsidiaries of Northeast Bancorp</w:t>
      </w:r>
    </w:p>
    <w:p>
      <w:pPr>
        <w:spacing w:after="0" w:line="225" w:lineRule="exact"/>
        <w:rPr>
          <w:sz w:val="20"/>
          <w:szCs w:val="20"/>
          <w:color w:val="auto"/>
        </w:rPr>
      </w:pPr>
    </w:p>
    <w:p>
      <w:pPr>
        <w:ind w:left="1660"/>
        <w:spacing w:after="0"/>
        <w:tabs>
          <w:tab w:leader="none" w:pos="22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225" w:lineRule="exact"/>
        <w:rPr>
          <w:sz w:val="20"/>
          <w:szCs w:val="20"/>
          <w:color w:val="auto"/>
        </w:rPr>
      </w:pPr>
    </w:p>
    <w:p>
      <w:pPr>
        <w:ind w:left="2220" w:right="1400" w:hanging="576"/>
        <w:spacing w:after="0" w:line="268" w:lineRule="auto"/>
        <w:tabs>
          <w:tab w:leader="none" w:pos="2200" w:val="left"/>
        </w:tabs>
        <w:rPr>
          <w:sz w:val="20"/>
          <w:szCs w:val="20"/>
          <w:color w:val="auto"/>
        </w:rPr>
      </w:pPr>
      <w:r>
        <w:rPr>
          <w:rFonts w:ascii="Arial" w:cs="Arial" w:eastAsia="Arial" w:hAnsi="Arial"/>
          <w:sz w:val="18"/>
          <w:szCs w:val="18"/>
          <w:color w:val="auto"/>
        </w:rPr>
        <w:t>31.1*</w:t>
        <w:tab/>
        <w:t>Rule 13a-14(a)/15d-14(a) Certification of the Chief Executive Officer pursuant to Section 302 of the Sarbanes-Oxley Act of 2002.</w:t>
      </w:r>
    </w:p>
    <w:p>
      <w:pPr>
        <w:spacing w:after="0" w:line="186" w:lineRule="exact"/>
        <w:rPr>
          <w:sz w:val="20"/>
          <w:szCs w:val="20"/>
          <w:color w:val="auto"/>
        </w:rPr>
      </w:pPr>
    </w:p>
    <w:p>
      <w:pPr>
        <w:ind w:left="2220" w:right="1440" w:hanging="576"/>
        <w:spacing w:after="0" w:line="268" w:lineRule="auto"/>
        <w:tabs>
          <w:tab w:leader="none" w:pos="2200" w:val="left"/>
        </w:tabs>
        <w:rPr>
          <w:sz w:val="20"/>
          <w:szCs w:val="20"/>
          <w:color w:val="auto"/>
        </w:rPr>
      </w:pPr>
      <w:r>
        <w:rPr>
          <w:rFonts w:ascii="Arial" w:cs="Arial" w:eastAsia="Arial" w:hAnsi="Arial"/>
          <w:sz w:val="18"/>
          <w:szCs w:val="18"/>
          <w:color w:val="auto"/>
        </w:rPr>
        <w:t>31.2*</w:t>
        <w:tab/>
        <w:t>Rule 13a-14(a)/15d-14(a) Certification of the Chief Financial Officer pursuant to Section 302 of the Sarbanes-Oxley Act of 2002.</w:t>
      </w:r>
    </w:p>
    <w:p>
      <w:pPr>
        <w:spacing w:after="0" w:line="186" w:lineRule="exact"/>
        <w:rPr>
          <w:sz w:val="20"/>
          <w:szCs w:val="20"/>
          <w:color w:val="auto"/>
        </w:rPr>
      </w:pPr>
    </w:p>
    <w:p>
      <w:pPr>
        <w:ind w:left="2220" w:right="1260" w:hanging="576"/>
        <w:spacing w:after="0" w:line="268" w:lineRule="auto"/>
        <w:rPr>
          <w:sz w:val="20"/>
          <w:szCs w:val="20"/>
          <w:color w:val="auto"/>
        </w:rPr>
      </w:pPr>
      <w:r>
        <w:rPr>
          <w:rFonts w:ascii="Arial" w:cs="Arial" w:eastAsia="Arial" w:hAnsi="Arial"/>
          <w:sz w:val="18"/>
          <w:szCs w:val="18"/>
          <w:color w:val="auto"/>
        </w:rPr>
        <w:t>32.1** Rule 13a-14(b) Certifications of the Chief Executive Officer and Chief Financial Officer Pursuant to Section 906 of the Sarbanes-Oxley Act of 2002.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jc w:val="right"/>
              <w:ind w:right="52"/>
              <w:spacing w:after="0"/>
              <w:rPr>
                <w:sz w:val="20"/>
                <w:szCs w:val="20"/>
                <w:color w:val="auto"/>
              </w:rPr>
            </w:pPr>
            <w:r>
              <w:rPr>
                <w:rFonts w:ascii="Arial" w:cs="Arial" w:eastAsia="Arial" w:hAnsi="Arial"/>
                <w:sz w:val="18"/>
                <w:szCs w:val="18"/>
                <w:color w:val="auto"/>
              </w:rPr>
              <w:t>101.INS</w:t>
            </w:r>
          </w:p>
        </w:tc>
        <w:tc>
          <w:tcPr>
            <w:tcW w:w="932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432"/>
        </w:trPr>
        <w:tc>
          <w:tcPr>
            <w:tcW w:w="2100" w:type="dxa"/>
            <w:vAlign w:val="bottom"/>
          </w:tcPr>
          <w:p>
            <w:pPr>
              <w:jc w:val="right"/>
              <w:ind w:right="52"/>
              <w:spacing w:after="0"/>
              <w:rPr>
                <w:sz w:val="20"/>
                <w:szCs w:val="20"/>
                <w:color w:val="auto"/>
              </w:rPr>
            </w:pPr>
            <w:r>
              <w:rPr>
                <w:rFonts w:ascii="Arial" w:cs="Arial" w:eastAsia="Arial" w:hAnsi="Arial"/>
                <w:sz w:val="18"/>
                <w:szCs w:val="18"/>
                <w:color w:val="auto"/>
              </w:rPr>
              <w:t>101.SCH</w:t>
            </w:r>
          </w:p>
        </w:tc>
        <w:tc>
          <w:tcPr>
            <w:tcW w:w="932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100" w:type="dxa"/>
            <w:vAlign w:val="bottom"/>
          </w:tcPr>
          <w:p>
            <w:pPr>
              <w:jc w:val="right"/>
              <w:ind w:right="52"/>
              <w:spacing w:after="0"/>
              <w:rPr>
                <w:sz w:val="20"/>
                <w:szCs w:val="20"/>
                <w:color w:val="auto"/>
              </w:rPr>
            </w:pPr>
            <w:r>
              <w:rPr>
                <w:rFonts w:ascii="Arial" w:cs="Arial" w:eastAsia="Arial" w:hAnsi="Arial"/>
                <w:sz w:val="18"/>
                <w:szCs w:val="18"/>
                <w:color w:val="auto"/>
              </w:rPr>
              <w:t>101.CAL</w:t>
            </w:r>
          </w:p>
        </w:tc>
        <w:tc>
          <w:tcPr>
            <w:tcW w:w="932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2100" w:type="dxa"/>
            <w:vAlign w:val="bottom"/>
          </w:tcPr>
          <w:p>
            <w:pPr>
              <w:jc w:val="right"/>
              <w:ind w:right="52"/>
              <w:spacing w:after="0"/>
              <w:rPr>
                <w:sz w:val="20"/>
                <w:szCs w:val="20"/>
                <w:color w:val="auto"/>
              </w:rPr>
            </w:pPr>
            <w:r>
              <w:rPr>
                <w:rFonts w:ascii="Arial" w:cs="Arial" w:eastAsia="Arial" w:hAnsi="Arial"/>
                <w:sz w:val="18"/>
                <w:szCs w:val="18"/>
                <w:color w:val="auto"/>
              </w:rPr>
              <w:t>101.DEF</w:t>
            </w:r>
          </w:p>
        </w:tc>
        <w:tc>
          <w:tcPr>
            <w:tcW w:w="932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2100" w:type="dxa"/>
            <w:vAlign w:val="bottom"/>
          </w:tcPr>
          <w:p>
            <w:pPr>
              <w:jc w:val="right"/>
              <w:ind w:right="52"/>
              <w:spacing w:after="0"/>
              <w:rPr>
                <w:sz w:val="20"/>
                <w:szCs w:val="20"/>
                <w:color w:val="auto"/>
              </w:rPr>
            </w:pPr>
            <w:r>
              <w:rPr>
                <w:rFonts w:ascii="Arial" w:cs="Arial" w:eastAsia="Arial" w:hAnsi="Arial"/>
                <w:sz w:val="18"/>
                <w:szCs w:val="18"/>
                <w:color w:val="auto"/>
              </w:rPr>
              <w:t>101.LAB</w:t>
            </w:r>
          </w:p>
        </w:tc>
        <w:tc>
          <w:tcPr>
            <w:tcW w:w="932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648"/>
        </w:trPr>
        <w:tc>
          <w:tcPr>
            <w:tcW w:w="2100" w:type="dxa"/>
            <w:vAlign w:val="bottom"/>
          </w:tcPr>
          <w:p>
            <w:pPr>
              <w:spacing w:after="0"/>
              <w:rPr>
                <w:sz w:val="24"/>
                <w:szCs w:val="24"/>
                <w:color w:val="auto"/>
              </w:rPr>
            </w:pPr>
          </w:p>
        </w:tc>
        <w:tc>
          <w:tcPr>
            <w:tcW w:w="9320" w:type="dxa"/>
            <w:vAlign w:val="bottom"/>
          </w:tcPr>
          <w:p>
            <w:pPr>
              <w:ind w:left="3480"/>
              <w:spacing w:after="0"/>
              <w:rPr>
                <w:sz w:val="20"/>
                <w:szCs w:val="20"/>
                <w:color w:val="auto"/>
              </w:rPr>
            </w:pPr>
            <w:r>
              <w:rPr>
                <w:rFonts w:ascii="Arial" w:cs="Arial" w:eastAsia="Arial" w:hAnsi="Arial"/>
                <w:sz w:val="18"/>
                <w:szCs w:val="18"/>
                <w:color w:val="auto"/>
              </w:rPr>
              <w:t>122</w:t>
            </w:r>
          </w:p>
        </w:tc>
      </w:tr>
      <w:tr>
        <w:trPr>
          <w:trHeight w:val="228"/>
        </w:trPr>
        <w:tc>
          <w:tcPr>
            <w:tcW w:w="2100" w:type="dxa"/>
            <w:vAlign w:val="bottom"/>
            <w:tcBorders>
              <w:bottom w:val="single" w:sz="8" w:color="808080"/>
            </w:tcBorders>
          </w:tcPr>
          <w:p>
            <w:pPr>
              <w:spacing w:after="0"/>
              <w:rPr>
                <w:sz w:val="19"/>
                <w:szCs w:val="19"/>
                <w:color w:val="auto"/>
              </w:rPr>
            </w:pPr>
          </w:p>
        </w:tc>
        <w:tc>
          <w:tcPr>
            <w:tcW w:w="9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3519"/>
        <w:spacing w:after="0"/>
        <w:tabs>
          <w:tab w:leader="none" w:pos="44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9" w:lineRule="exact"/>
        <w:rPr>
          <w:sz w:val="20"/>
          <w:szCs w:val="20"/>
          <w:color w:val="auto"/>
        </w:rPr>
      </w:pPr>
    </w:p>
    <w:p>
      <w:pPr>
        <w:ind w:left="5580" w:right="4379" w:hanging="4431"/>
        <w:spacing w:after="0" w:line="670" w:lineRule="auto"/>
        <w:tabs>
          <w:tab w:leader="none" w:pos="1687"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Management contract or compensatory plan or agreement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NORTHEAST BANCORP</w:t>
      </w:r>
    </w:p>
    <w:p>
      <w:pPr>
        <w:spacing w:after="0" w:line="252" w:lineRule="exact"/>
        <w:rPr>
          <w:sz w:val="20"/>
          <w:szCs w:val="20"/>
          <w:color w:val="auto"/>
        </w:rPr>
      </w:pPr>
    </w:p>
    <w:p>
      <w:pPr>
        <w:ind w:left="1140"/>
        <w:spacing w:after="0"/>
        <w:tabs>
          <w:tab w:leader="none" w:pos="5680" w:val="left"/>
          <w:tab w:leader="none" w:pos="7340" w:val="left"/>
        </w:tabs>
        <w:rPr>
          <w:sz w:val="20"/>
          <w:szCs w:val="20"/>
          <w:color w:val="auto"/>
        </w:rPr>
      </w:pPr>
      <w:r>
        <w:rPr>
          <w:rFonts w:ascii="Arial" w:cs="Arial" w:eastAsia="Arial" w:hAnsi="Arial"/>
          <w:sz w:val="18"/>
          <w:szCs w:val="18"/>
          <w:color w:val="auto"/>
        </w:rPr>
        <w:t>Date: September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Richard Wayne</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RICHARD WAYNE</w:t>
            </w:r>
          </w:p>
        </w:tc>
        <w:tc>
          <w:tcPr>
            <w:tcW w:w="3780" w:type="dxa"/>
            <w:vAlign w:val="bottom"/>
          </w:tcPr>
          <w:p>
            <w:pPr>
              <w:ind w:left="160"/>
              <w:spacing w:after="0"/>
              <w:rPr>
                <w:sz w:val="20"/>
                <w:szCs w:val="20"/>
                <w:color w:val="auto"/>
              </w:rPr>
            </w:pPr>
            <w:r>
              <w:rPr>
                <w:rFonts w:ascii="Arial" w:cs="Arial" w:eastAsia="Arial" w:hAnsi="Arial"/>
                <w:sz w:val="18"/>
                <w:szCs w:val="18"/>
                <w:color w:val="auto"/>
                <w:w w:val="98"/>
              </w:rPr>
              <w:t>Chief Executive Officer and Director (Principal</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28,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Executive Officer)</w:t>
            </w: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Richard Wayne</w:t>
            </w: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BRIAN SHAUGHNESSY</w:t>
            </w:r>
          </w:p>
        </w:tc>
        <w:tc>
          <w:tcPr>
            <w:tcW w:w="3780" w:type="dxa"/>
            <w:vAlign w:val="bottom"/>
          </w:tcPr>
          <w:p>
            <w:pPr>
              <w:ind w:left="160"/>
              <w:spacing w:after="0"/>
              <w:rPr>
                <w:sz w:val="20"/>
                <w:szCs w:val="20"/>
                <w:color w:val="auto"/>
              </w:rPr>
            </w:pPr>
            <w:r>
              <w:rPr>
                <w:rFonts w:ascii="Arial" w:cs="Arial" w:eastAsia="Arial" w:hAnsi="Arial"/>
                <w:sz w:val="18"/>
                <w:szCs w:val="18"/>
                <w:color w:val="auto"/>
              </w:rPr>
              <w:t>Chief Financial Officer (Principal Financial</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28,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Officer and Principal Accounting Officer)</w:t>
            </w: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Brian Shaughnessy</w:t>
            </w: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ROBERT GLAUBER</w:t>
            </w:r>
          </w:p>
        </w:tc>
        <w:tc>
          <w:tcPr>
            <w:tcW w:w="3780" w:type="dxa"/>
            <w:vAlign w:val="bottom"/>
          </w:tcPr>
          <w:p>
            <w:pPr>
              <w:ind w:left="160"/>
              <w:spacing w:after="0"/>
              <w:rPr>
                <w:sz w:val="20"/>
                <w:szCs w:val="20"/>
                <w:color w:val="auto"/>
              </w:rPr>
            </w:pPr>
            <w:r>
              <w:rPr>
                <w:rFonts w:ascii="Arial" w:cs="Arial" w:eastAsia="Arial" w:hAnsi="Arial"/>
                <w:sz w:val="18"/>
                <w:szCs w:val="18"/>
                <w:color w:val="auto"/>
              </w:rPr>
              <w:t>Chairman of the Board</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28,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7"/>
              </w:rPr>
              <w:t>Robert Glauber</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/s/ MATTHEW BOTEIN</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28,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Matthew Botein</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CHERYL DORSEY</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28,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Cheryl Dorsey</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PETER MCCLEAN</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28,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7"/>
              </w:rPr>
              <w:t>Peter McClean</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/s/ JOHN C. ORESTIS</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28,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7"/>
              </w:rPr>
              <w:t>John C. Orestis</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780" w:type="dxa"/>
            <w:vAlign w:val="bottom"/>
          </w:tcPr>
          <w:p>
            <w:pPr>
              <w:ind w:left="1020"/>
              <w:spacing w:after="0"/>
              <w:rPr>
                <w:sz w:val="20"/>
                <w:szCs w:val="20"/>
                <w:color w:val="auto"/>
              </w:rPr>
            </w:pPr>
            <w:r>
              <w:rPr>
                <w:rFonts w:ascii="Arial" w:cs="Arial" w:eastAsia="Arial" w:hAnsi="Arial"/>
                <w:sz w:val="18"/>
                <w:szCs w:val="18"/>
                <w:color w:val="auto"/>
              </w:rPr>
              <w:t>124</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DAVID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right"/>
        <w:ind w:right="219"/>
        <w:spacing w:after="0"/>
        <w:tabs>
          <w:tab w:leader="none" w:pos="5260" w:val="left"/>
          <w:tab w:leader="none" w:pos="1400" w:val="left"/>
        </w:tabs>
        <w:rPr>
          <w:sz w:val="20"/>
          <w:szCs w:val="20"/>
          <w:color w:val="auto"/>
        </w:rPr>
      </w:pPr>
      <w:r>
        <w:rPr>
          <w:rFonts w:ascii="Arial" w:cs="Arial" w:eastAsia="Arial" w:hAnsi="Arial"/>
          <w:sz w:val="18"/>
          <w:szCs w:val="18"/>
          <w:color w:val="auto"/>
        </w:rPr>
        <w:t>David Tanner</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September 28, 2015</w:t>
      </w:r>
    </w:p>
    <w:p>
      <w:pPr>
        <w:spacing w:after="0" w:line="25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JUDITH E. WALLINGFORD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1609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78" w:lineRule="exact"/>
        <w:rPr>
          <w:sz w:val="20"/>
          <w:szCs w:val="20"/>
          <w:color w:val="auto"/>
        </w:rPr>
      </w:pPr>
    </w:p>
    <w:p>
      <w:pPr>
        <w:jc w:val="right"/>
        <w:ind w:right="219"/>
        <w:spacing w:after="0"/>
        <w:tabs>
          <w:tab w:leader="none" w:pos="5260" w:val="left"/>
          <w:tab w:leader="none" w:pos="1400" w:val="left"/>
        </w:tabs>
        <w:rPr>
          <w:sz w:val="20"/>
          <w:szCs w:val="20"/>
          <w:color w:val="auto"/>
        </w:rPr>
      </w:pPr>
      <w:r>
        <w:rPr>
          <w:rFonts w:ascii="Arial" w:cs="Arial" w:eastAsia="Arial" w:hAnsi="Arial"/>
          <w:sz w:val="18"/>
          <w:szCs w:val="18"/>
          <w:color w:val="auto"/>
        </w:rPr>
        <w:t>Judith E. Wallingford</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September 28, 2015</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6" w:name="page127"/>
    <w:bookmarkEnd w:id="1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spacing w:after="0"/>
        <w:rPr>
          <w:rFonts w:ascii="Arial" w:cs="Arial" w:eastAsia="Arial" w:hAnsi="Arial"/>
          <w:sz w:val="22"/>
          <w:szCs w:val="22"/>
          <w:color w:val="0000EE"/>
        </w:rPr>
      </w:pPr>
      <w:hyperlink w:anchor="page1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Registrant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4"/>
                <w:szCs w:val="14"/>
                <w:color w:val="auto"/>
              </w:rPr>
            </w:pPr>
          </w:p>
        </w:tc>
        <w:tc>
          <w:tcPr>
            <w:tcW w:w="20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Jurisdiction</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160" w:type="dxa"/>
            <w:vAlign w:val="bottom"/>
          </w:tcPr>
          <w:p>
            <w:pPr>
              <w:spacing w:after="0"/>
              <w:rPr>
                <w:sz w:val="12"/>
                <w:szCs w:val="12"/>
                <w:color w:val="auto"/>
              </w:rPr>
            </w:pPr>
          </w:p>
        </w:tc>
        <w:tc>
          <w:tcPr>
            <w:tcW w:w="208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5"/>
              </w:rPr>
              <w:t>of Voting</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60" w:type="dxa"/>
            <w:vAlign w:val="bottom"/>
          </w:tcPr>
          <w:p>
            <w:pPr>
              <w:spacing w:after="0"/>
              <w:rPr>
                <w:sz w:val="12"/>
                <w:szCs w:val="12"/>
                <w:color w:val="auto"/>
              </w:rPr>
            </w:pPr>
          </w:p>
        </w:tc>
        <w:tc>
          <w:tcPr>
            <w:tcW w:w="208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61"/>
        </w:trPr>
        <w:tc>
          <w:tcPr>
            <w:tcW w:w="736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of Subsidiary</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Incorporation</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Formed</w:t>
            </w:r>
          </w:p>
        </w:tc>
        <w:tc>
          <w:tcPr>
            <w:tcW w:w="160" w:type="dxa"/>
            <w:vAlign w:val="bottom"/>
          </w:tcPr>
          <w:p>
            <w:pPr>
              <w:spacing w:after="0"/>
              <w:rPr>
                <w:sz w:val="14"/>
                <w:szCs w:val="14"/>
                <w:color w:val="auto"/>
              </w:rPr>
            </w:pPr>
          </w:p>
        </w:tc>
        <w:tc>
          <w:tcPr>
            <w:tcW w:w="20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 Data Services, Inc.</w:t>
            </w:r>
          </w:p>
        </w:tc>
        <w:tc>
          <w:tcPr>
            <w:tcW w:w="9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5"/>
              </w:rPr>
              <w:t>Maine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Northeast Bank (and its 100% owned subsidiaries: Northeast Bank Insurance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Group, Inc.; 200 Elm Realty, LLC; 500 Pine Realty, LLC; 17 Dogwood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Realty, LLC)</w:t>
            </w:r>
          </w:p>
        </w:tc>
        <w:tc>
          <w:tcPr>
            <w:tcW w:w="960" w:type="dxa"/>
            <w:vAlign w:val="bottom"/>
          </w:tcPr>
          <w:p>
            <w:pPr>
              <w:ind w:left="520"/>
              <w:spacing w:after="0"/>
              <w:rPr>
                <w:sz w:val="20"/>
                <w:szCs w:val="20"/>
                <w:color w:val="auto"/>
              </w:rPr>
            </w:pPr>
            <w:r>
              <w:rPr>
                <w:rFonts w:ascii="Arial" w:cs="Arial" w:eastAsia="Arial" w:hAnsi="Arial"/>
                <w:sz w:val="18"/>
                <w:szCs w:val="18"/>
                <w:color w:val="auto"/>
                <w:w w:val="85"/>
              </w:rPr>
              <w:t>Maine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1987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center"/>
        <w:ind w:right="8379"/>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Exhibit 21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28">
        <w:r>
          <w:rPr>
            <w:rFonts w:ascii="Arial" w:cs="Arial" w:eastAsia="Arial" w:hAnsi="Arial"/>
            <w:sz w:val="15"/>
            <w:szCs w:val="15"/>
            <w:u w:val="single" w:color="auto"/>
            <w:color w:val="0000EE"/>
          </w:rPr>
          <w:t>Subsidiaries of Registrant</w:t>
        </w:r>
      </w:hyperlink>
    </w:p>
    <w:p>
      <w:pPr>
        <w:sectPr>
          <w:pgSz w:w="11900" w:h="16838" w:orient="portrait"/>
          <w:cols w:equalWidth="0" w:num="1">
            <w:col w:w="10219"/>
          </w:cols>
          <w:pgMar w:left="240" w:top="820" w:right="1440" w:bottom="1440" w:gutter="0" w:footer="0" w:header="0"/>
        </w:sectPr>
      </w:pPr>
    </w:p>
    <w:bookmarkStart w:id="129" w:name="page130"/>
    <w:bookmarkEnd w:id="129"/>
    <w:p>
      <w:pPr>
        <w:spacing w:after="0"/>
        <w:rPr>
          <w:rFonts w:ascii="Arial" w:cs="Arial" w:eastAsia="Arial" w:hAnsi="Arial"/>
          <w:sz w:val="22"/>
          <w:szCs w:val="22"/>
          <w:color w:val="0000EE"/>
        </w:rPr>
      </w:pPr>
      <w:hyperlink w:anchor="page1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500" w:firstLine="3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 S-8: Nos. 333-135452, 333-171466 and 333-186356) of Northeast Bancorp and subsidiary of our report dated September 28, 2015, with respect to the consolidated financial statements of Northeast Bancorp and subsidiary, included in this Annual Report (Form 10-K) for the year ended June 30, 2015.</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0">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31" w:name="page132"/>
    <w:bookmarkEnd w:id="131"/>
    <w:p>
      <w:pPr>
        <w:spacing w:after="0"/>
        <w:rPr>
          <w:rFonts w:ascii="Arial" w:cs="Arial" w:eastAsia="Arial" w:hAnsi="Arial"/>
          <w:sz w:val="22"/>
          <w:szCs w:val="22"/>
          <w:color w:val="0000EE"/>
        </w:rPr>
      </w:pPr>
      <w:hyperlink w:anchor="page1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39"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5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207" w:lineRule="exact"/>
        <w:rPr>
          <w:rFonts w:ascii="Arial" w:cs="Arial" w:eastAsia="Arial" w:hAnsi="Arial"/>
          <w:sz w:val="18"/>
          <w:szCs w:val="18"/>
          <w:color w:val="auto"/>
        </w:rPr>
      </w:pPr>
    </w:p>
    <w:p>
      <w:pPr>
        <w:ind w:left="540" w:right="580" w:hanging="532"/>
        <w:spacing w:after="0" w:line="332"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580" w:val="left"/>
        </w:tabs>
        <w:rPr>
          <w:sz w:val="20"/>
          <w:szCs w:val="20"/>
          <w:color w:val="auto"/>
        </w:rPr>
      </w:pPr>
      <w:r>
        <w:rPr>
          <w:rFonts w:ascii="Arial" w:cs="Arial" w:eastAsia="Arial" w:hAnsi="Arial"/>
          <w:sz w:val="18"/>
          <w:szCs w:val="18"/>
          <w:color w:val="auto"/>
        </w:rPr>
        <w:t>September 28, 2015</w:t>
      </w:r>
      <w:r>
        <w:rPr>
          <w:sz w:val="20"/>
          <w:szCs w:val="20"/>
          <w:color w:val="auto"/>
        </w:rPr>
        <w:tab/>
      </w:r>
      <w:r>
        <w:rPr>
          <w:rFonts w:ascii="Arial" w:cs="Arial" w:eastAsia="Arial" w:hAnsi="Arial"/>
          <w:sz w:val="16"/>
          <w:szCs w:val="16"/>
          <w:color w:val="auto"/>
        </w:rPr>
        <w:t>/s/ 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62230</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Richard Wayne</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32">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33" w:name="page134"/>
    <w:bookmarkEnd w:id="133"/>
    <w:p>
      <w:pPr>
        <w:spacing w:after="0"/>
        <w:rPr>
          <w:rFonts w:ascii="Arial" w:cs="Arial" w:eastAsia="Arial" w:hAnsi="Arial"/>
          <w:sz w:val="22"/>
          <w:szCs w:val="22"/>
          <w:color w:val="0000EE"/>
        </w:rPr>
      </w:pPr>
      <w:hyperlink w:anchor="page1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Brian Shaughnessy, certify that:</w:t>
      </w:r>
    </w:p>
    <w:p>
      <w:pPr>
        <w:spacing w:after="0" w:line="239"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5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207" w:lineRule="exact"/>
        <w:rPr>
          <w:rFonts w:ascii="Arial" w:cs="Arial" w:eastAsia="Arial" w:hAnsi="Arial"/>
          <w:sz w:val="18"/>
          <w:szCs w:val="18"/>
          <w:color w:val="auto"/>
        </w:rPr>
      </w:pPr>
    </w:p>
    <w:p>
      <w:pPr>
        <w:ind w:left="540" w:right="580" w:hanging="532"/>
        <w:spacing w:after="0" w:line="33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September 28, 2015</w:t>
      </w:r>
      <w:r>
        <w:rPr>
          <w:sz w:val="20"/>
          <w:szCs w:val="20"/>
          <w:color w:val="auto"/>
        </w:rPr>
        <w:tab/>
      </w:r>
      <w:r>
        <w:rPr>
          <w:rFonts w:ascii="Arial" w:cs="Arial" w:eastAsia="Arial" w:hAnsi="Arial"/>
          <w:sz w:val="16"/>
          <w:szCs w:val="16"/>
          <w:color w:val="auto"/>
        </w:rPr>
        <w:t>/s/ BRIAN 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Brian Shaughnessy</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34">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35" w:name="page136"/>
    <w:bookmarkEnd w:id="135"/>
    <w:p>
      <w:pPr>
        <w:spacing w:after="0"/>
        <w:rPr>
          <w:rFonts w:ascii="Arial" w:cs="Arial" w:eastAsia="Arial" w:hAnsi="Arial"/>
          <w:sz w:val="22"/>
          <w:szCs w:val="22"/>
          <w:color w:val="0000EE"/>
        </w:rPr>
      </w:pPr>
      <w:hyperlink w:anchor="page13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13a-14(b) and 18 U.S.C. Section 1350</w:t>
      </w:r>
    </w:p>
    <w:p>
      <w:pPr>
        <w:spacing w:after="0" w:line="21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connection with the report of Northeast Bancorp (the "Company") on Form 10-K for the annual period ending June 30, 2015 as filed with the Securities and Exchange Commission on the date hereof (the "Report"), each of the undersigned officers of the Company hereby certify, pursuant to Exchange Act Rule 13a-14(b) and 18 U.S.C. 1350, that to the best of such officer's knowledge:</w:t>
      </w:r>
    </w:p>
    <w:p>
      <w:pPr>
        <w:spacing w:after="0" w:line="194" w:lineRule="exact"/>
        <w:rPr>
          <w:sz w:val="20"/>
          <w:szCs w:val="20"/>
          <w:color w:val="auto"/>
        </w:rPr>
      </w:pPr>
    </w:p>
    <w:p>
      <w:pPr>
        <w:ind w:left="1240" w:hanging="34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40" w:firstLine="359"/>
        <w:spacing w:after="0" w:line="268" w:lineRule="auto"/>
        <w:tabs>
          <w:tab w:leader="none" w:pos="12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86"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September 28, 2015</w:t>
      </w:r>
      <w:r>
        <w:rPr>
          <w:sz w:val="20"/>
          <w:szCs w:val="20"/>
          <w:color w:val="auto"/>
        </w:rPr>
        <w:tab/>
      </w:r>
      <w:r>
        <w:rPr>
          <w:rFonts w:ascii="Arial" w:cs="Arial" w:eastAsia="Arial" w:hAnsi="Arial"/>
          <w:sz w:val="16"/>
          <w:szCs w:val="16"/>
          <w:color w:val="auto"/>
        </w:rPr>
        <w:t>/s/ 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71120</wp:posOffset>
            </wp:positionV>
            <wp:extent cx="2907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Richard Wayne</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Executive Officer</w:t>
      </w:r>
    </w:p>
    <w:p>
      <w:pPr>
        <w:spacing w:after="0" w:line="24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71120</wp:posOffset>
            </wp:positionV>
            <wp:extent cx="2907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Brian Shaughnessy</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6">
        <w:r>
          <w:rPr>
            <w:rFonts w:ascii="Arial" w:cs="Arial" w:eastAsia="Arial" w:hAnsi="Arial"/>
            <w:sz w:val="16"/>
            <w:szCs w:val="16"/>
            <w:u w:val="single" w:color="auto"/>
            <w:color w:val="0000EE"/>
          </w:rPr>
          <w:t>Certification Pursuant to Exchange Act Rule 13a-14(b) and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2"/>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lvl w:ilvl="1">
      <w:lvlJc w:val="left"/>
      <w:lvlText w:val="(%2)"/>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lvl w:ilvl="1">
      <w:lvlJc w:val="left"/>
      <w:lvlText w:val="(%2)"/>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
    </w:lvl>
    <w:lvl w:ilvl="1">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lowerLetter"/>
      <w:start w:val="2"/>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2019-12-29T15:55:01Z</dcterms:created>
  <dcterms:modified xsi:type="dcterms:W3CDTF">2019-12-29T15:55:01Z</dcterms:modified>
</cp:coreProperties>
</file>