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1-14588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Northeast Bancorp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7"/>
              </w:rPr>
              <w:t>Maine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01-0425066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500 Canal Street, Lewiston, Maine</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04240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(207) 786-3245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6800" w:space="720"/>
            <w:col w:w="3900"/>
          </w:cols>
          <w:pgMar w:left="240" w:top="233"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April 30, 2015 the registrant had outstanding 8,894,721 shares of voting common stock, $1.00 par value per share and 911,488 shares of non-voting common stock, $1.00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12"/>
        </w:trPr>
        <w:tc>
          <w:tcPr>
            <w:tcW w:w="9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592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454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gridSpan w:val="3"/>
          </w:tcPr>
          <w:p>
            <w:pPr>
              <w:spacing w:after="0" w:line="19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5040" w:type="dxa"/>
            <w:vAlign w:val="bottom"/>
            <w:gridSpan w:val="13"/>
          </w:tcPr>
          <w:p>
            <w:pPr>
              <w:ind w:left="320"/>
              <w:spacing w:after="0" w:line="19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Statements (unaudited)</w:t>
              </w:r>
            </w:hyperlink>
          </w:p>
        </w:tc>
        <w:tc>
          <w:tcPr>
            <w:tcW w:w="454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Consolidated Balance Sheets</w:t>
              </w:r>
            </w:hyperlink>
          </w:p>
        </w:tc>
        <w:tc>
          <w:tcPr>
            <w:tcW w:w="300" w:type="dxa"/>
            <w:vAlign w:val="bottom"/>
            <w:tcBorders>
              <w:top w:val="single" w:sz="8" w:color="0000EE"/>
            </w:tcBorders>
          </w:tcPr>
          <w:p>
            <w:pPr>
              <w:spacing w:after="0"/>
              <w:rPr>
                <w:sz w:val="17"/>
                <w:szCs w:val="17"/>
                <w:color w:val="auto"/>
              </w:rPr>
            </w:pPr>
          </w:p>
        </w:tc>
        <w:tc>
          <w:tcPr>
            <w:tcW w:w="2160" w:type="dxa"/>
            <w:vAlign w:val="bottom"/>
            <w:gridSpan w:val="7"/>
          </w:tcPr>
          <w:p>
            <w:pPr>
              <w:spacing w:after="0"/>
              <w:rPr>
                <w:sz w:val="17"/>
                <w:szCs w:val="17"/>
                <w:color w:val="auto"/>
              </w:rPr>
            </w:pPr>
          </w:p>
        </w:tc>
        <w:tc>
          <w:tcPr>
            <w:tcW w:w="454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gridSpan w:val="10"/>
          </w:tcPr>
          <w:p>
            <w:pPr>
              <w:spacing w:after="0" w:line="19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March 31, 2015 and June 30, 2014</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20"/>
        </w:trPr>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Borders>
              <w:bottom w:val="single" w:sz="8" w:color="0000EE"/>
            </w:tcBorders>
            <w:gridSpan w:val="6"/>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Consolidated Statements of Income</w:t>
              </w:r>
            </w:hyperlink>
          </w:p>
        </w:tc>
        <w:tc>
          <w:tcPr>
            <w:tcW w:w="1920" w:type="dxa"/>
            <w:vAlign w:val="bottom"/>
            <w:gridSpan w:val="6"/>
          </w:tcPr>
          <w:p>
            <w:pPr>
              <w:spacing w:after="0"/>
              <w:rPr>
                <w:sz w:val="24"/>
                <w:szCs w:val="24"/>
                <w:color w:val="auto"/>
              </w:rPr>
            </w:pPr>
          </w:p>
        </w:tc>
        <w:tc>
          <w:tcPr>
            <w:tcW w:w="454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Three Months Ended March 31, 2015 and 2014</w:t>
              </w:r>
            </w:hyperlink>
          </w:p>
        </w:tc>
        <w:tc>
          <w:tcPr>
            <w:tcW w:w="960" w:type="dxa"/>
            <w:vAlign w:val="bottom"/>
            <w:gridSpan w:val="2"/>
          </w:tcPr>
          <w:p>
            <w:pPr>
              <w:spacing w:after="0"/>
              <w:rPr>
                <w:sz w:val="17"/>
                <w:szCs w:val="17"/>
                <w:color w:val="auto"/>
              </w:rPr>
            </w:pPr>
          </w:p>
        </w:tc>
        <w:tc>
          <w:tcPr>
            <w:tcW w:w="454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Nine Months Ended March 31, 2015 and 2014</w:t>
              </w:r>
            </w:hyperlink>
          </w:p>
        </w:tc>
        <w:tc>
          <w:tcPr>
            <w:tcW w:w="1020" w:type="dxa"/>
            <w:vAlign w:val="bottom"/>
            <w:gridSpan w:val="3"/>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412"/>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bottom w:val="single" w:sz="8" w:color="0000EE"/>
            </w:tcBorders>
            <w:gridSpan w:val="11"/>
          </w:tcPr>
          <w:p>
            <w:pPr>
              <w:spacing w:after="0"/>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Consolidated Statements of Comprehensive Income</w:t>
              </w:r>
            </w:hyperlink>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Three Months Ended March 31, 2015 and 2014</w:t>
              </w:r>
            </w:hyperlink>
          </w:p>
        </w:tc>
        <w:tc>
          <w:tcPr>
            <w:tcW w:w="960" w:type="dxa"/>
            <w:vAlign w:val="bottom"/>
            <w:gridSpan w:val="2"/>
          </w:tcPr>
          <w:p>
            <w:pPr>
              <w:spacing w:after="0"/>
              <w:rPr>
                <w:sz w:val="17"/>
                <w:szCs w:val="17"/>
                <w:color w:val="auto"/>
              </w:rPr>
            </w:pPr>
          </w:p>
        </w:tc>
        <w:tc>
          <w:tcPr>
            <w:tcW w:w="454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Nine Months Ended March 31, 2015 and 2014</w:t>
              </w:r>
            </w:hyperlink>
          </w:p>
        </w:tc>
        <w:tc>
          <w:tcPr>
            <w:tcW w:w="1020" w:type="dxa"/>
            <w:vAlign w:val="bottom"/>
            <w:gridSpan w:val="3"/>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412"/>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13"/>
          </w:tcPr>
          <w:p>
            <w:pPr>
              <w:ind w:left="320"/>
              <w:spacing w:after="0"/>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Consolidated Statements of Changes in Stockholders’ Equity</w:t>
              </w:r>
            </w:hyperlink>
          </w:p>
        </w:tc>
        <w:tc>
          <w:tcPr>
            <w:tcW w:w="454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5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Nine Months Ended March 31, 2015 and 2014</w:t>
              </w:r>
            </w:hyperlink>
          </w:p>
        </w:tc>
        <w:tc>
          <w:tcPr>
            <w:tcW w:w="1100" w:type="dxa"/>
            <w:vAlign w:val="bottom"/>
            <w:tcBorders>
              <w:top w:val="single" w:sz="8" w:color="0000EE"/>
            </w:tcBorders>
            <w:gridSpan w:val="4"/>
          </w:tcPr>
          <w:p>
            <w:pPr>
              <w:spacing w:after="0"/>
              <w:rPr>
                <w:sz w:val="17"/>
                <w:szCs w:val="17"/>
                <w:color w:val="auto"/>
              </w:rPr>
            </w:pPr>
          </w:p>
        </w:tc>
        <w:tc>
          <w:tcPr>
            <w:tcW w:w="4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w:t>
            </w:r>
          </w:p>
        </w:tc>
      </w:tr>
      <w:tr>
        <w:trPr>
          <w:trHeight w:val="412"/>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tcBorders>
              <w:bottom w:val="single" w:sz="8" w:color="0000EE"/>
            </w:tcBorders>
            <w:gridSpan w:val="7"/>
          </w:tcPr>
          <w:p>
            <w:pPr>
              <w:spacing w:after="0"/>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Consolidated Statements of Cash Flows</w:t>
              </w:r>
            </w:hyperlink>
          </w:p>
        </w:tc>
        <w:tc>
          <w:tcPr>
            <w:tcW w:w="1640" w:type="dxa"/>
            <w:vAlign w:val="bottom"/>
            <w:gridSpan w:val="5"/>
          </w:tcPr>
          <w:p>
            <w:pPr>
              <w:spacing w:after="0"/>
              <w:rPr>
                <w:sz w:val="24"/>
                <w:szCs w:val="24"/>
                <w:color w:val="auto"/>
              </w:rPr>
            </w:pPr>
          </w:p>
        </w:tc>
        <w:tc>
          <w:tcPr>
            <w:tcW w:w="454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gridSpan w:val="10"/>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Nine Months Ended March 31, 2015 and 2014</w:t>
              </w:r>
            </w:hyperlink>
          </w:p>
        </w:tc>
        <w:tc>
          <w:tcPr>
            <w:tcW w:w="4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w:t>
            </w:r>
          </w:p>
        </w:tc>
      </w:tr>
      <w:tr>
        <w:trPr>
          <w:trHeight w:val="20"/>
        </w:trPr>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60" w:type="dxa"/>
            <w:vAlign w:val="bottom"/>
            <w:gridSpan w:val="5"/>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Notes to Consolidated Financial Statements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0"/>
        </w:trPr>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200" w:type="dxa"/>
            <w:vAlign w:val="bottom"/>
            <w:gridSpan w:val="2"/>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7960" w:type="dxa"/>
            <w:vAlign w:val="bottom"/>
            <w:gridSpan w:val="5"/>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Management’s Discussion and Analysis of Financial Condition and Results of Operations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2"/>
        </w:trPr>
        <w:tc>
          <w:tcPr>
            <w:tcW w:w="120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3.</w:t>
              </w:r>
            </w:hyperlink>
          </w:p>
        </w:tc>
        <w:tc>
          <w:tcPr>
            <w:tcW w:w="684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Quantitative and Qualitative Disclosure about Market Risk</w:t>
              </w:r>
            </w:hyperlink>
          </w:p>
        </w:tc>
        <w:tc>
          <w:tcPr>
            <w:tcW w:w="1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0"/>
        </w:trPr>
        <w:tc>
          <w:tcPr>
            <w:tcW w:w="5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200" w:type="dxa"/>
            <w:vAlign w:val="bottom"/>
            <w:gridSpan w:val="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4.</w:t>
              </w:r>
            </w:hyperlink>
          </w:p>
        </w:tc>
        <w:tc>
          <w:tcPr>
            <w:tcW w:w="7960" w:type="dxa"/>
            <w:vAlign w:val="bottom"/>
            <w:gridSpan w:val="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Controls and Procedures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0"/>
        </w:trPr>
        <w:tc>
          <w:tcPr>
            <w:tcW w:w="5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940" w:val="left"/>
        </w:tabs>
        <w:rPr>
          <w:rFonts w:ascii="Arial" w:cs="Arial" w:eastAsia="Arial" w:hAnsi="Arial"/>
          <w:sz w:val="17"/>
          <w:szCs w:val="17"/>
          <w:b w:val="1"/>
          <w:bCs w:val="1"/>
          <w:u w:val="single" w:color="auto"/>
          <w:color w:val="0000EE"/>
        </w:rPr>
      </w:pPr>
      <w:hyperlink w:anchor="page32">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32">
        <w:r>
          <w:rPr>
            <w:rFonts w:ascii="Arial" w:cs="Arial" w:eastAsia="Arial" w:hAnsi="Arial"/>
            <w:sz w:val="17"/>
            <w:szCs w:val="17"/>
            <w:b w:val="1"/>
            <w:bCs w:val="1"/>
            <w:u w:val="single" w:color="auto"/>
            <w:color w:val="0000EE"/>
          </w:rPr>
          <w:t>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gridSpan w:val="4"/>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1.</w:t>
              </w:r>
            </w:hyperlink>
          </w:p>
        </w:tc>
        <w:tc>
          <w:tcPr>
            <w:tcW w:w="5360" w:type="dxa"/>
            <w:vAlign w:val="bottom"/>
            <w:gridSpan w:val="9"/>
          </w:tcPr>
          <w:p>
            <w:pPr>
              <w:ind w:left="4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Legal Proceedings</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b w:val="1"/>
                <w:bCs w:val="1"/>
                <w:color w:val="0000EE"/>
                <w:w w:val="94"/>
              </w:rPr>
            </w:pPr>
            <w:hyperlink w:anchor="page32">
              <w:r>
                <w:rPr>
                  <w:rFonts w:ascii="Arial" w:cs="Arial" w:eastAsia="Arial" w:hAnsi="Arial"/>
                  <w:sz w:val="18"/>
                  <w:szCs w:val="18"/>
                  <w:b w:val="1"/>
                  <w:bCs w:val="1"/>
                  <w:color w:val="0000EE"/>
                  <w:w w:val="94"/>
                </w:rPr>
                <w:t>Item 1A.</w:t>
              </w:r>
            </w:hyperlink>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gridSpan w:val="8"/>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Risk Factors</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2.</w:t>
              </w:r>
            </w:hyperlink>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gridSpan w:val="8"/>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Unregistered Sales of Equity Securities and Use of Proceeds</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3.</w:t>
              </w:r>
            </w:hyperlink>
          </w:p>
        </w:tc>
        <w:tc>
          <w:tcPr>
            <w:tcW w:w="5360" w:type="dxa"/>
            <w:vAlign w:val="bottom"/>
            <w:gridSpan w:val="9"/>
          </w:tcPr>
          <w:p>
            <w:pPr>
              <w:ind w:left="4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Defaults Upon Senior Securities</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4.</w:t>
              </w:r>
            </w:hyperlink>
          </w:p>
        </w:tc>
        <w:tc>
          <w:tcPr>
            <w:tcW w:w="5360" w:type="dxa"/>
            <w:vAlign w:val="bottom"/>
            <w:gridSpan w:val="9"/>
          </w:tcPr>
          <w:p>
            <w:pPr>
              <w:ind w:left="4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Mine Safety Disclosures</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5.</w:t>
              </w:r>
            </w:hyperlink>
          </w:p>
        </w:tc>
        <w:tc>
          <w:tcPr>
            <w:tcW w:w="5360" w:type="dxa"/>
            <w:vAlign w:val="bottom"/>
            <w:gridSpan w:val="9"/>
          </w:tcPr>
          <w:p>
            <w:pPr>
              <w:ind w:left="4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6.</w:t>
              </w:r>
            </w:hyperlink>
          </w:p>
        </w:tc>
        <w:tc>
          <w:tcPr>
            <w:tcW w:w="5360" w:type="dxa"/>
            <w:vAlign w:val="bottom"/>
            <w:gridSpan w:val="9"/>
          </w:tcPr>
          <w:p>
            <w:pPr>
              <w:ind w:left="4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Exhibits</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940" w:type="dxa"/>
            <w:vAlign w:val="bottom"/>
            <w:gridSpan w:val="6"/>
          </w:tcPr>
          <w:p>
            <w:pPr>
              <w:jc w:val="right"/>
              <w:ind w:right="98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12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8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PART 1- FINANCIAL INFORMATION</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15"/>
          </w:tcPr>
          <w:p>
            <w:pPr>
              <w:spacing w:after="0"/>
              <w:rPr>
                <w:sz w:val="20"/>
                <w:szCs w:val="20"/>
                <w:color w:val="auto"/>
              </w:rPr>
            </w:pPr>
            <w:r>
              <w:rPr>
                <w:rFonts w:ascii="Arial" w:cs="Arial" w:eastAsia="Arial" w:hAnsi="Arial"/>
                <w:sz w:val="18"/>
                <w:szCs w:val="18"/>
                <w:color w:val="auto"/>
              </w:rPr>
              <w:t>Item 1. Financial Statements (Unaudited)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480" w:type="dxa"/>
            <w:vAlign w:val="bottom"/>
            <w:gridSpan w:val="15"/>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480" w:type="dxa"/>
            <w:vAlign w:val="bottom"/>
            <w:gridSpan w:val="15"/>
          </w:tcPr>
          <w:p>
            <w:pPr>
              <w:spacing w:after="0"/>
              <w:rPr>
                <w:sz w:val="20"/>
                <w:szCs w:val="20"/>
                <w:color w:val="auto"/>
              </w:rPr>
            </w:pPr>
            <w:r>
              <w:rPr>
                <w:rFonts w:ascii="Arial" w:cs="Arial" w:eastAsia="Arial" w:hAnsi="Arial"/>
                <w:sz w:val="18"/>
                <w:szCs w:val="18"/>
                <w:b w:val="1"/>
                <w:bCs w:val="1"/>
                <w:color w:val="auto"/>
              </w:rPr>
              <w:t>CONSOLIDATED BALANCE SHEETS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6"/>
          </w:tcPr>
          <w:p>
            <w:pPr>
              <w:spacing w:after="0"/>
              <w:rPr>
                <w:sz w:val="20"/>
                <w:szCs w:val="20"/>
                <w:color w:val="auto"/>
              </w:rPr>
            </w:pPr>
            <w:r>
              <w:rPr>
                <w:rFonts w:ascii="Arial" w:cs="Arial" w:eastAsia="Arial" w:hAnsi="Arial"/>
                <w:sz w:val="18"/>
                <w:szCs w:val="18"/>
                <w:color w:val="auto"/>
              </w:rPr>
              <w:t>(Unaudited)</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15"/>
          </w:tcPr>
          <w:p>
            <w:pPr>
              <w:spacing w:after="0"/>
              <w:rPr>
                <w:sz w:val="20"/>
                <w:szCs w:val="20"/>
                <w:color w:val="auto"/>
              </w:rPr>
            </w:pPr>
            <w:r>
              <w:rPr>
                <w:rFonts w:ascii="Arial" w:cs="Arial" w:eastAsia="Arial" w:hAnsi="Arial"/>
                <w:sz w:val="18"/>
                <w:szCs w:val="18"/>
                <w:color w:val="auto"/>
              </w:rPr>
              <w:t>(Dollars in thousands, except share data)</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2015</w:t>
            </w:r>
          </w:p>
        </w:tc>
        <w:tc>
          <w:tcPr>
            <w:tcW w:w="220" w:type="dxa"/>
            <w:vAlign w:val="bottom"/>
          </w:tcPr>
          <w:p>
            <w:pPr>
              <w:spacing w:after="0"/>
              <w:rPr>
                <w:sz w:val="24"/>
                <w:szCs w:val="24"/>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340" w:type="dxa"/>
            <w:vAlign w:val="bottom"/>
            <w:tcBorders>
              <w:top w:val="single" w:sz="8" w:color="CCEEFF"/>
            </w:tcBorders>
            <w:gridSpan w:val="6"/>
            <w:shd w:val="clear" w:color="auto" w:fill="CCEEFF"/>
          </w:tcPr>
          <w:p>
            <w:pPr>
              <w:jc w:val="center"/>
              <w:ind w:right="3120"/>
              <w:spacing w:after="0" w:line="196" w:lineRule="exact"/>
              <w:rPr>
                <w:sz w:val="20"/>
                <w:szCs w:val="20"/>
                <w:color w:val="auto"/>
              </w:rPr>
            </w:pPr>
            <w:r>
              <w:rPr>
                <w:rFonts w:ascii="Arial" w:cs="Arial" w:eastAsia="Arial" w:hAnsi="Arial"/>
                <w:sz w:val="18"/>
                <w:szCs w:val="18"/>
                <w:color w:val="auto"/>
                <w:w w:val="85"/>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Arial" w:cs="Arial" w:eastAsia="Arial" w:hAnsi="Arial"/>
                <w:sz w:val="18"/>
                <w:szCs w:val="18"/>
                <w:color w:val="auto"/>
              </w:rPr>
              <w:t>Cash and due from banks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2,496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102,577</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14"/>
          </w:tcPr>
          <w:p>
            <w:pPr>
              <w:ind w:left="52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105,073</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82,259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14"/>
          </w:tcPr>
          <w:p>
            <w:pPr>
              <w:spacing w:after="0"/>
              <w:rPr>
                <w:sz w:val="20"/>
                <w:szCs w:val="20"/>
                <w:color w:val="auto"/>
              </w:rPr>
            </w:pPr>
            <w:r>
              <w:rPr>
                <w:rFonts w:ascii="Arial" w:cs="Arial" w:eastAsia="Arial" w:hAnsi="Arial"/>
                <w:sz w:val="18"/>
                <w:szCs w:val="18"/>
                <w:color w:val="auto"/>
              </w:rPr>
              <w:t>Available-for-sale securities, at fair value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105,523</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113,881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4,439</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Loans</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579,193</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14"/>
          </w:tcPr>
          <w:p>
            <w:pPr>
              <w:spacing w:after="0"/>
              <w:rPr>
                <w:sz w:val="20"/>
                <w:szCs w:val="20"/>
                <w:color w:val="auto"/>
              </w:rPr>
            </w:pPr>
            <w:r>
              <w:rPr>
                <w:rFonts w:ascii="Arial" w:cs="Arial" w:eastAsia="Arial" w:hAnsi="Arial"/>
                <w:sz w:val="18"/>
                <w:szCs w:val="18"/>
                <w:color w:val="auto"/>
              </w:rPr>
              <w:t>Less: Allowance for loan losses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1,741</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CCEEFF"/>
            </w:tcBorders>
            <w:gridSpan w:val="5"/>
            <w:shd w:val="clear" w:color="auto" w:fill="CCEEFF"/>
          </w:tcPr>
          <w:p>
            <w:pPr>
              <w:ind w:left="520"/>
              <w:spacing w:after="0"/>
              <w:rPr>
                <w:sz w:val="20"/>
                <w:szCs w:val="20"/>
                <w:color w:val="auto"/>
              </w:rPr>
            </w:pPr>
            <w:r>
              <w:rPr>
                <w:rFonts w:ascii="Arial" w:cs="Arial" w:eastAsia="Arial" w:hAnsi="Arial"/>
                <w:sz w:val="18"/>
                <w:szCs w:val="18"/>
                <w:color w:val="auto"/>
              </w:rPr>
              <w:t>Loans, net</w:t>
            </w: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577,452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515,049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8"/>
              </w:rPr>
              <w:t>Premises and equipment, net</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14"/>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3,694</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Federal Home Loan Bank stock, at cost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4,102</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Arial" w:cs="Arial" w:eastAsia="Arial" w:hAnsi="Arial"/>
                <w:sz w:val="18"/>
                <w:szCs w:val="18"/>
                <w:color w:val="auto"/>
              </w:rPr>
              <w:t>Intangible assets, net</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Bank owned life insurance</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15,165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7,047</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320" w:type="dxa"/>
            <w:vAlign w:val="bottom"/>
            <w:gridSpan w:val="8"/>
            <w:vMerge w:val="restart"/>
          </w:tcPr>
          <w:p>
            <w:pPr>
              <w:jc w:val="center"/>
              <w:ind w:right="2140"/>
              <w:spacing w:after="0"/>
              <w:rPr>
                <w:sz w:val="20"/>
                <w:szCs w:val="20"/>
                <w:color w:val="auto"/>
              </w:rPr>
            </w:pPr>
            <w:r>
              <w:rPr>
                <w:rFonts w:ascii="Arial" w:cs="Arial" w:eastAsia="Arial" w:hAnsi="Arial"/>
                <w:sz w:val="18"/>
                <w:szCs w:val="18"/>
                <w:color w:val="auto"/>
                <w:w w:val="94"/>
              </w:rPr>
              <w:t>Liabilities and Stockholders’ Equity</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320" w:type="dxa"/>
            <w:vAlign w:val="bottom"/>
            <w:gridSpan w:val="8"/>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Liabilities</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tcPr>
          <w:p>
            <w:pPr>
              <w:ind w:left="160"/>
              <w:spacing w:after="0"/>
              <w:rPr>
                <w:sz w:val="20"/>
                <w:szCs w:val="20"/>
                <w:color w:val="auto"/>
              </w:rPr>
            </w:pPr>
            <w:r>
              <w:rPr>
                <w:rFonts w:ascii="Arial" w:cs="Arial" w:eastAsia="Arial" w:hAnsi="Arial"/>
                <w:sz w:val="18"/>
                <w:szCs w:val="18"/>
                <w:color w:val="auto"/>
              </w:rPr>
              <w:t>Deposits: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Demand</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50,870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14"/>
          </w:tcPr>
          <w:p>
            <w:pPr>
              <w:ind w:left="340"/>
              <w:spacing w:after="0"/>
              <w:rPr>
                <w:sz w:val="20"/>
                <w:szCs w:val="20"/>
                <w:color w:val="auto"/>
              </w:rPr>
            </w:pPr>
            <w:r>
              <w:rPr>
                <w:rFonts w:ascii="Arial" w:cs="Arial" w:eastAsia="Arial" w:hAnsi="Arial"/>
                <w:sz w:val="18"/>
                <w:szCs w:val="18"/>
                <w:color w:val="auto"/>
              </w:rPr>
              <w:t>Savings and interest checking</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98,050</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Money market</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163,004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tcPr>
          <w:p>
            <w:pPr>
              <w:ind w:left="340"/>
              <w:spacing w:after="0"/>
              <w:rPr>
                <w:sz w:val="20"/>
                <w:szCs w:val="20"/>
                <w:color w:val="auto"/>
              </w:rPr>
            </w:pPr>
            <w:r>
              <w:rPr>
                <w:rFonts w:ascii="Arial" w:cs="Arial" w:eastAsia="Arial" w:hAnsi="Arial"/>
                <w:sz w:val="18"/>
                <w:szCs w:val="18"/>
                <w:color w:val="auto"/>
              </w:rPr>
              <w:t>Time</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343,253</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341,948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CCEEFF"/>
            </w:tcBorders>
            <w:gridSpan w:val="5"/>
            <w:shd w:val="clear" w:color="auto" w:fill="CCEEFF"/>
          </w:tcPr>
          <w:p>
            <w:pPr>
              <w:ind w:left="520"/>
              <w:spacing w:after="0"/>
              <w:rPr>
                <w:sz w:val="20"/>
                <w:szCs w:val="20"/>
                <w:color w:val="auto"/>
              </w:rPr>
            </w:pPr>
            <w:r>
              <w:rPr>
                <w:rFonts w:ascii="Arial" w:cs="Arial" w:eastAsia="Arial" w:hAnsi="Arial"/>
                <w:sz w:val="18"/>
                <w:szCs w:val="18"/>
                <w:color w:val="auto"/>
              </w:rPr>
              <w:t>Total deposits</w:t>
            </w: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655,177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574,329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14"/>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30,216</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14"/>
          </w:tcPr>
          <w:p>
            <w:pPr>
              <w:ind w:left="160"/>
              <w:spacing w:after="0"/>
              <w:rPr>
                <w:sz w:val="20"/>
                <w:szCs w:val="20"/>
                <w:color w:val="auto"/>
              </w:rPr>
            </w:pPr>
            <w:r>
              <w:rPr>
                <w:rFonts w:ascii="Arial" w:cs="Arial" w:eastAsia="Arial" w:hAnsi="Arial"/>
                <w:sz w:val="18"/>
                <w:szCs w:val="18"/>
                <w:color w:val="auto"/>
              </w:rPr>
              <w:t>Wholesale repurchase agreements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10,077</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2,861</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14"/>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8,578</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Capital lease obligation</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1,416</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tcPr>
          <w:p>
            <w:pPr>
              <w:ind w:left="160"/>
              <w:spacing w:after="0"/>
              <w:rPr>
                <w:sz w:val="20"/>
                <w:szCs w:val="20"/>
                <w:color w:val="auto"/>
              </w:rPr>
            </w:pPr>
            <w:r>
              <w:rPr>
                <w:rFonts w:ascii="Arial" w:cs="Arial" w:eastAsia="Arial" w:hAnsi="Arial"/>
                <w:sz w:val="18"/>
                <w:szCs w:val="18"/>
                <w:color w:val="auto"/>
              </w:rPr>
              <w:t>Other liabilities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12,116</w:t>
            </w: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CCEEFF"/>
            </w:tcBorders>
            <w:gridSpan w:val="5"/>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720,441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649,865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tcPr>
          <w:p>
            <w:pPr>
              <w:spacing w:after="0"/>
              <w:rPr>
                <w:sz w:val="20"/>
                <w:szCs w:val="20"/>
                <w:color w:val="auto"/>
              </w:rPr>
            </w:pPr>
          </w:p>
        </w:tc>
        <w:tc>
          <w:tcPr>
            <w:tcW w:w="7460" w:type="dxa"/>
            <w:vAlign w:val="bottom"/>
            <w:tcBorders>
              <w:bottom w:val="single" w:sz="8" w:color="CCEEFF"/>
            </w:tcBorders>
            <w:gridSpan w:val="14"/>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-6880860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-6880860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750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$1.00 par value, 1,000,000 shares authorized; no shares issued and outstanding at</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March 31, 2015 and June 30, 2014</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7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Voting common stock, $1.00 par value, 25,000,000 shares authorized; 8,908,121 and 9,260,331</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at March 31, 2015 and June 30, 2014, respectively</w:t>
            </w: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8,908</w:t>
            </w:r>
          </w:p>
        </w:tc>
        <w:tc>
          <w:tcPr>
            <w:tcW w:w="5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9,260</w:t>
            </w:r>
          </w:p>
        </w:tc>
      </w:tr>
      <w:tr>
        <w:trPr>
          <w:trHeight w:val="202"/>
        </w:trPr>
        <w:tc>
          <w:tcPr>
            <w:tcW w:w="7500" w:type="dxa"/>
            <w:vAlign w:val="bottom"/>
          </w:tcPr>
          <w:p>
            <w:pPr>
              <w:ind w:left="180"/>
              <w:spacing w:after="0" w:line="201" w:lineRule="exact"/>
              <w:rPr>
                <w:sz w:val="20"/>
                <w:szCs w:val="20"/>
                <w:color w:val="auto"/>
              </w:rPr>
            </w:pPr>
            <w:r>
              <w:rPr>
                <w:rFonts w:ascii="Arial" w:cs="Arial" w:eastAsia="Arial" w:hAnsi="Arial"/>
                <w:sz w:val="18"/>
                <w:szCs w:val="18"/>
                <w:color w:val="auto"/>
                <w:w w:val="95"/>
              </w:rPr>
              <w:t>Non-voting common stock, $1.00 par value, 3,000,000 shares authorized; 911,488 and 880,963</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shares issued and outstanding at March 31, 2015 and June 30, 2014, respectively</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911</w:t>
            </w:r>
          </w:p>
        </w:tc>
        <w:tc>
          <w:tcPr>
            <w:tcW w:w="5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881</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87,348</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90,914</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16,968</w:t>
            </w:r>
          </w:p>
        </w:tc>
        <w:tc>
          <w:tcPr>
            <w:tcW w:w="5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12,294</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r>
      <w:tr>
        <w:trPr>
          <w:trHeight w:val="210"/>
        </w:trPr>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112,487</w:t>
            </w:r>
          </w:p>
        </w:tc>
        <w:tc>
          <w:tcPr>
            <w:tcW w:w="2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112,066</w:t>
            </w:r>
          </w:p>
        </w:tc>
        <w:tc>
          <w:tcPr>
            <w:tcW w:w="160" w:type="dxa"/>
            <w:vAlign w:val="bottom"/>
            <w:tcBorders>
              <w:bottom w:val="single" w:sz="8" w:color="CCEEFF"/>
            </w:tcBorders>
          </w:tcPr>
          <w:p>
            <w:pPr>
              <w:spacing w:after="0"/>
              <w:rPr>
                <w:sz w:val="18"/>
                <w:szCs w:val="18"/>
                <w:color w:val="auto"/>
              </w:rPr>
            </w:pPr>
          </w:p>
        </w:tc>
      </w:tr>
      <w:tr>
        <w:trPr>
          <w:trHeight w:val="210"/>
        </w:trPr>
        <w:tc>
          <w:tcPr>
            <w:tcW w:w="7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832,928</w:t>
            </w:r>
          </w:p>
        </w:tc>
        <w:tc>
          <w:tcPr>
            <w:tcW w:w="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761,931</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and dividend income: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10,619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8,403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32,487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and dividend income</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3,681</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566</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7"/>
              </w:rPr>
              <w:t>Net interest and dividend income before provision for loan losses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9,120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28,017</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9,076</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27,540</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Noninterest income: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Gain on sales of loans held for sale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1,384</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portfolio loans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160"/>
              <w:spacing w:after="0" w:line="201" w:lineRule="exact"/>
              <w:rPr>
                <w:sz w:val="20"/>
                <w:szCs w:val="20"/>
                <w:color w:val="auto"/>
              </w:rPr>
            </w:pPr>
            <w:r>
              <w:rPr>
                <w:rFonts w:ascii="Arial" w:cs="Arial" w:eastAsia="Arial" w:hAnsi="Arial"/>
                <w:sz w:val="18"/>
                <w:szCs w:val="18"/>
                <w:color w:val="auto"/>
                <w:w w:val="98"/>
              </w:rPr>
              <w:t>Gain recognized on real estate owned and other repossessed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collateral, net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income</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13,586</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1,153</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Legal settlement recovery</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expense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noninterest expense</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23,832</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7,786</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4,976</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w w:val="99"/>
              </w:rPr>
              <w:t>(Loss) income from discontinued operations before tax (benefit)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expense</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spacing w:after="0"/>
              <w:rPr>
                <w:sz w:val="20"/>
                <w:szCs w:val="20"/>
                <w:color w:val="auto"/>
              </w:rPr>
            </w:pPr>
            <w:r>
              <w:rPr>
                <w:rFonts w:ascii="Arial" w:cs="Arial" w:eastAsia="Arial" w:hAnsi="Arial"/>
                <w:sz w:val="18"/>
                <w:szCs w:val="18"/>
                <w:color w:val="auto"/>
              </w:rPr>
              <w:t>Net (loss) income from discontinued operations</w:t>
            </w: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9,833,033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10,432,494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10,049,983</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10,435,300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9,833,033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10,432,494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10,049,983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10,435,300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520"/>
              <w:spacing w:after="0"/>
              <w:rPr>
                <w:sz w:val="20"/>
                <w:szCs w:val="20"/>
                <w:color w:val="auto"/>
              </w:rPr>
            </w:pPr>
            <w:r>
              <w:rPr>
                <w:rFonts w:ascii="Arial" w:cs="Arial" w:eastAsia="Arial" w:hAnsi="Arial"/>
                <w:sz w:val="18"/>
                <w:szCs w:val="18"/>
                <w:color w:val="auto"/>
              </w:rPr>
              <w:t>Income from continuing operations</w:t>
            </w:r>
          </w:p>
        </w:tc>
        <w:tc>
          <w:tcPr>
            <w:tcW w:w="12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from discontinued operations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00" w:type="dxa"/>
            <w:vAlign w:val="bottom"/>
            <w:shd w:val="clear" w:color="auto" w:fill="CCEEFF"/>
          </w:tcPr>
          <w:p>
            <w:pPr>
              <w:ind w:left="160"/>
              <w:spacing w:after="0" w:line="170" w:lineRule="exact"/>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520"/>
              <w:spacing w:after="0"/>
              <w:rPr>
                <w:sz w:val="20"/>
                <w:szCs w:val="20"/>
                <w:color w:val="auto"/>
              </w:rPr>
            </w:pPr>
            <w:r>
              <w:rPr>
                <w:rFonts w:ascii="Arial" w:cs="Arial" w:eastAsia="Arial" w:hAnsi="Arial"/>
                <w:sz w:val="18"/>
                <w:szCs w:val="18"/>
                <w:color w:val="auto"/>
              </w:rPr>
              <w:t>Income from continuing operations</w:t>
            </w:r>
          </w:p>
        </w:tc>
        <w:tc>
          <w:tcPr>
            <w:tcW w:w="12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from discontinued operations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dividends declared per common share</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before tax:</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Change in net unrealized gain or loss on available-for-sale securities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Reclassification adjustment for net gains included in net income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Derivatives and hedging activities: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accumulated loss on effective cash flow hedges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Reclassification adjustments for net gains included in net income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derivatives and hedging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Total other comprehensive (loss) income, before tax</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Income tax (benefit) expense related to other comprehensive (loss)</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ind w:left="16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STOCKHOLDERS’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vMerge w:val="restart"/>
          </w:tcPr>
          <w:p>
            <w:pPr>
              <w:jc w:val="center"/>
              <w:ind w:left="335"/>
              <w:spacing w:after="0"/>
              <w:rPr>
                <w:sz w:val="20"/>
                <w:szCs w:val="20"/>
                <w:color w:val="auto"/>
              </w:rPr>
            </w:pPr>
            <w:r>
              <w:rPr>
                <w:rFonts w:ascii="Arial" w:cs="Arial" w:eastAsia="Arial" w:hAnsi="Arial"/>
                <w:sz w:val="14"/>
                <w:szCs w:val="14"/>
                <w:b w:val="1"/>
                <w:bCs w:val="1"/>
                <w:color w:val="auto"/>
                <w:w w:val="93"/>
              </w:rPr>
              <w:t>Non-</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040" w:type="dxa"/>
            <w:vAlign w:val="bottom"/>
          </w:tcPr>
          <w:p>
            <w:pPr>
              <w:spacing w:after="0"/>
              <w:rPr>
                <w:sz w:val="9"/>
                <w:szCs w:val="9"/>
                <w:color w:val="auto"/>
              </w:rPr>
            </w:pPr>
          </w:p>
        </w:tc>
        <w:tc>
          <w:tcPr>
            <w:tcW w:w="13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72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98"/>
              </w:rPr>
              <w:t>Voting Common Stock</w:t>
            </w:r>
          </w:p>
        </w:tc>
        <w:tc>
          <w:tcPr>
            <w:tcW w:w="108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10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15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voting Common Stock</w:t>
            </w: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Paid-</w:t>
            </w: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040" w:type="dxa"/>
            <w:vAlign w:val="bottom"/>
          </w:tcPr>
          <w:p>
            <w:pPr>
              <w:spacing w:after="0"/>
              <w:rPr>
                <w:sz w:val="9"/>
                <w:szCs w:val="9"/>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9"/>
                <w:szCs w:val="9"/>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9"/>
                <w:szCs w:val="9"/>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Amount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9"/>
                <w:szCs w:val="9"/>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9"/>
                <w:szCs w:val="9"/>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9"/>
                <w:szCs w:val="9"/>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in Capital</w:t>
            </w:r>
          </w:p>
        </w:tc>
        <w:tc>
          <w:tcPr>
            <w:tcW w:w="8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5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9,565,680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880,963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12,524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2,150</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Other comprehensive income, net of</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2"/>
        </w:trPr>
        <w:tc>
          <w:tcPr>
            <w:tcW w:w="3040" w:type="dxa"/>
            <w:vAlign w:val="bottom"/>
          </w:tcPr>
          <w:p>
            <w:pPr>
              <w:ind w:left="180"/>
              <w:spacing w:after="0" w:line="201" w:lineRule="exact"/>
              <w:rPr>
                <w:sz w:val="20"/>
                <w:szCs w:val="20"/>
                <w:color w:val="auto"/>
              </w:rPr>
            </w:pPr>
            <w:r>
              <w:rPr>
                <w:rFonts w:ascii="Arial" w:cs="Arial" w:eastAsia="Arial" w:hAnsi="Arial"/>
                <w:sz w:val="18"/>
                <w:szCs w:val="18"/>
                <w:color w:val="auto"/>
                <w:w w:val="96"/>
              </w:rPr>
              <w:t>Dividends on common stock at $0.27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360"/>
              <w:spacing w:after="0"/>
              <w:rPr>
                <w:sz w:val="20"/>
                <w:szCs w:val="20"/>
                <w:color w:val="auto"/>
              </w:rPr>
            </w:pPr>
            <w:r>
              <w:rPr>
                <w:rFonts w:ascii="Arial" w:cs="Arial" w:eastAsia="Arial" w:hAnsi="Arial"/>
                <w:sz w:val="18"/>
                <w:szCs w:val="18"/>
                <w:color w:val="auto"/>
              </w:rPr>
              <w:t>per share</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(2,818)</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w w:val="95"/>
              </w:rPr>
              <w:t>Forfeiture of restricted common stock</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(14,149)</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9,551,531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880,963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Balance at June 30, 2014</w:t>
            </w: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12" w:orient="portrait"/>
          <w:cols w:equalWidth="0" w:num="1">
            <w:col w:w="11420"/>
          </w:cols>
          <w:pgMar w:left="240" w:top="140"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9,260,331</w:t>
            </w:r>
          </w:p>
        </w:tc>
        <w:tc>
          <w:tcPr>
            <w:tcW w:w="100" w:type="dxa"/>
            <w:vAlign w:val="bottom"/>
          </w:tcPr>
          <w:p>
            <w:pPr>
              <w:spacing w:after="0"/>
              <w:rPr>
                <w:sz w:val="20"/>
                <w:szCs w:val="20"/>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9,260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880,963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90,914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12,294</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(1,283</w:t>
            </w:r>
          </w:p>
        </w:tc>
        <w:tc>
          <w:tcPr>
            <w:tcW w:w="260" w:type="dxa"/>
            <w:vAlign w:val="bottom"/>
            <w:gridSpan w:val="2"/>
          </w:tcPr>
          <w:p>
            <w:pPr>
              <w:jc w:val="right"/>
              <w:ind w:right="65"/>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112,066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Common stock repurchased</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(479,936)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(3,912)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Conversion of voting common 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rPr>
              <w:t>to non- voting common stock</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(30,525)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30,525</w:t>
            </w:r>
          </w:p>
        </w:tc>
        <w:tc>
          <w:tcPr>
            <w:tcW w:w="28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Dividends on common stock at $0.03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 share</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Issuance of restricted common stock</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w w:val="95"/>
              </w:rPr>
              <w:t>Forfeiture of restricted common stock</w:t>
            </w:r>
          </w:p>
        </w:tc>
        <w:tc>
          <w:tcPr>
            <w:tcW w:w="3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(15,749)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8,908,121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911,488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87,348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112,487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gridSpan w:val="19"/>
          </w:tcPr>
          <w:p>
            <w:pPr>
              <w:spacing w:after="0"/>
              <w:rPr>
                <w:sz w:val="20"/>
                <w:szCs w:val="20"/>
                <w:color w:val="auto"/>
              </w:rPr>
            </w:pPr>
            <w:r>
              <w:rPr>
                <w:rFonts w:ascii="Arial" w:cs="Arial" w:eastAsia="Arial" w:hAnsi="Arial"/>
                <w:sz w:val="18"/>
                <w:szCs w:val="18"/>
                <w:i w:val="1"/>
                <w:iCs w:val="1"/>
                <w:color w:val="auto"/>
                <w:w w:val="91"/>
              </w:rPr>
              <w:t>The accompanying notes are an integral part of these unaudited consolidated financial statements.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140" w:type="dxa"/>
            <w:vAlign w:val="bottom"/>
            <w:tcBorders>
              <w:bottom w:val="single" w:sz="8" w:color="010101"/>
            </w:tcBorders>
            <w:gridSpan w:val="2"/>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2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680" w:type="dxa"/>
            <w:vAlign w:val="bottom"/>
            <w:gridSpan w:val="6"/>
          </w:tcPr>
          <w:p>
            <w:pPr>
              <w:spacing w:after="0"/>
              <w:rPr>
                <w:sz w:val="20"/>
                <w:szCs w:val="20"/>
                <w:color w:val="auto"/>
              </w:rPr>
            </w:pPr>
            <w:r>
              <w:rPr>
                <w:rFonts w:ascii="Arial" w:cs="Arial" w:eastAsia="Arial" w:hAnsi="Arial"/>
                <w:sz w:val="18"/>
                <w:szCs w:val="18"/>
                <w:b w:val="1"/>
                <w:bCs w:val="1"/>
                <w:color w:val="auto"/>
                <w:w w:val="99"/>
              </w:rPr>
              <w:t>NORTHEAST BANCORP AND SUBSIDIARY</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380" w:type="dxa"/>
            <w:vAlign w:val="bottom"/>
            <w:gridSpan w:val="10"/>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4"/>
          </w:tcPr>
          <w:p>
            <w:pPr>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7"/>
              </w:rPr>
              <w:t>Nine Months Ended March 31,</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450"/>
              <w:spacing w:after="0" w:line="142" w:lineRule="exact"/>
              <w:rPr>
                <w:sz w:val="20"/>
                <w:szCs w:val="20"/>
                <w:color w:val="auto"/>
              </w:rPr>
            </w:pPr>
            <w:r>
              <w:rPr>
                <w:rFonts w:ascii="Arial" w:cs="Arial" w:eastAsia="Arial" w:hAnsi="Arial"/>
                <w:sz w:val="14"/>
                <w:szCs w:val="14"/>
                <w:b w:val="1"/>
                <w:bCs w:val="1"/>
                <w:color w:val="auto"/>
                <w:w w:val="83"/>
              </w:rPr>
              <w:t>2014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4,976</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17"/>
            <w:shd w:val="clear" w:color="auto" w:fill="CCEEFF"/>
          </w:tcPr>
          <w:p>
            <w:pPr>
              <w:ind w:left="160"/>
              <w:spacing w:after="0"/>
              <w:rPr>
                <w:sz w:val="20"/>
                <w:szCs w:val="20"/>
                <w:color w:val="auto"/>
              </w:rPr>
            </w:pPr>
            <w:r>
              <w:rPr>
                <w:rFonts w:ascii="Arial" w:cs="Arial" w:eastAsia="Arial" w:hAnsi="Arial"/>
                <w:sz w:val="18"/>
                <w:szCs w:val="18"/>
                <w:color w:val="auto"/>
                <w:w w:val="91"/>
              </w:rPr>
              <w:t>Adjustments to reconcile net income to net cash provided by (used in) by operating activities: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17"/>
            <w:shd w:val="clear" w:color="auto" w:fill="CCEEFF"/>
          </w:tcPr>
          <w:p>
            <w:pPr>
              <w:ind w:left="340"/>
              <w:spacing w:after="0"/>
              <w:rPr>
                <w:sz w:val="20"/>
                <w:szCs w:val="20"/>
                <w:color w:val="auto"/>
              </w:rPr>
            </w:pPr>
            <w:r>
              <w:rPr>
                <w:rFonts w:ascii="Arial" w:cs="Arial" w:eastAsia="Arial" w:hAnsi="Arial"/>
                <w:sz w:val="18"/>
                <w:szCs w:val="18"/>
                <w:color w:val="auto"/>
                <w:w w:val="94"/>
              </w:rPr>
              <w:t>Gain on sale and impairment of real estate owned and other repossessed collateral, net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7"/>
          </w:tcPr>
          <w:p>
            <w:pPr>
              <w:ind w:left="340"/>
              <w:spacing w:after="0"/>
              <w:rPr>
                <w:sz w:val="20"/>
                <w:szCs w:val="20"/>
                <w:color w:val="auto"/>
              </w:rPr>
            </w:pPr>
            <w:r>
              <w:rPr>
                <w:rFonts w:ascii="Arial" w:cs="Arial" w:eastAsia="Arial" w:hAnsi="Arial"/>
                <w:sz w:val="18"/>
                <w:szCs w:val="18"/>
                <w:color w:val="auto"/>
                <w:w w:val="96"/>
              </w:rPr>
              <w:t>Accretion of fair value adjustments on loans,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(9,149)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w w:val="90"/>
              </w:rPr>
              <w:t>Accretion of fair value adjustments on deposits,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9"/>
          </w:tcPr>
          <w:p>
            <w:pPr>
              <w:ind w:left="340"/>
              <w:spacing w:after="0"/>
              <w:rPr>
                <w:sz w:val="20"/>
                <w:szCs w:val="20"/>
                <w:color w:val="auto"/>
              </w:rPr>
            </w:pPr>
            <w:r>
              <w:rPr>
                <w:rFonts w:ascii="Arial" w:cs="Arial" w:eastAsia="Arial" w:hAnsi="Arial"/>
                <w:sz w:val="18"/>
                <w:szCs w:val="18"/>
                <w:color w:val="auto"/>
                <w:w w:val="93"/>
              </w:rPr>
              <w:t>Accretion of fair value adjustments on borrowings,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Originations of loans held for sale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(68,734)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(62,911)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5"/>
          </w:tcPr>
          <w:p>
            <w:pPr>
              <w:ind w:left="340"/>
              <w:spacing w:after="0"/>
              <w:rPr>
                <w:sz w:val="20"/>
                <w:szCs w:val="20"/>
                <w:color w:val="auto"/>
              </w:rPr>
            </w:pPr>
            <w:r>
              <w:rPr>
                <w:rFonts w:ascii="Arial" w:cs="Arial" w:eastAsia="Arial" w:hAnsi="Arial"/>
                <w:sz w:val="18"/>
                <w:szCs w:val="18"/>
                <w:color w:val="auto"/>
                <w:w w:val="90"/>
              </w:rPr>
              <w:t>Net proceeds from sales of loans held for sale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77,624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62,823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Gain on sales of loans held for sale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rPr>
              <w:t>Gain on sales of portfolio loans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w w:val="98"/>
              </w:rPr>
              <w:t>Bank-owned life insurance income,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4"/>
              </w:rPr>
              <w:t>Depreciation of premises and equipment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w w:val="94"/>
              </w:rPr>
              <w:t>Loss on sale of premises and equipment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340"/>
              <w:spacing w:after="0"/>
              <w:rPr>
                <w:sz w:val="20"/>
                <w:szCs w:val="20"/>
                <w:color w:val="auto"/>
              </w:rPr>
            </w:pPr>
            <w:r>
              <w:rPr>
                <w:rFonts w:ascii="Arial" w:cs="Arial" w:eastAsia="Arial" w:hAnsi="Arial"/>
                <w:sz w:val="18"/>
                <w:szCs w:val="18"/>
                <w:color w:val="auto"/>
              </w:rPr>
              <w:t>Amortization of securities,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8"/>
              </w:rPr>
              <w:t>Changes in other assets and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5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gridSpan w:val="7"/>
          </w:tcPr>
          <w:p>
            <w:pPr>
              <w:ind w:left="160"/>
              <w:spacing w:after="0"/>
              <w:rPr>
                <w:sz w:val="20"/>
                <w:szCs w:val="20"/>
                <w:color w:val="auto"/>
              </w:rPr>
            </w:pPr>
            <w:r>
              <w:rPr>
                <w:rFonts w:ascii="Arial" w:cs="Arial" w:eastAsia="Arial" w:hAnsi="Arial"/>
                <w:sz w:val="18"/>
                <w:szCs w:val="18"/>
                <w:color w:val="auto"/>
                <w:w w:val="97"/>
              </w:rPr>
              <w:t>Net cash provided by (used in) operating activities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5,498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(4,115)</w:t>
            </w:r>
          </w:p>
        </w:tc>
        <w:tc>
          <w:tcPr>
            <w:tcW w:w="160" w:type="dxa"/>
            <w:vAlign w:val="bottom"/>
            <w:tcBorders>
              <w:bottom w:val="single" w:sz="8" w:color="CCEEFF"/>
            </w:tcBorders>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Purchases of available-for-sale securities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(42,340)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15"/>
          </w:tcPr>
          <w:p>
            <w:pPr>
              <w:ind w:left="160"/>
              <w:spacing w:after="0"/>
              <w:rPr>
                <w:sz w:val="20"/>
                <w:szCs w:val="20"/>
                <w:color w:val="auto"/>
              </w:rPr>
            </w:pPr>
            <w:r>
              <w:rPr>
                <w:rFonts w:ascii="Arial" w:cs="Arial" w:eastAsia="Arial" w:hAnsi="Arial"/>
                <w:sz w:val="18"/>
                <w:szCs w:val="18"/>
                <w:color w:val="auto"/>
                <w:w w:val="92"/>
              </w:rPr>
              <w:t>Proceeds from maturities and principal payments on available-for-sale securities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50,682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(57,896)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(46,267)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rPr>
              <w:t>Proceeds from sales of portfolio loans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w w:val="90"/>
              </w:rPr>
              <w:t>Loan originations, principal collections, and purchased loan paydowns,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(4,434)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(33,757)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rPr>
              <w:t>Purchases of premises and equipment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0"/>
              </w:rPr>
              <w:t>Proceeds from sales of premises and equipment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13"/>
          </w:tcPr>
          <w:p>
            <w:pPr>
              <w:ind w:left="160"/>
              <w:spacing w:after="0"/>
              <w:rPr>
                <w:sz w:val="20"/>
                <w:szCs w:val="20"/>
                <w:color w:val="auto"/>
              </w:rPr>
            </w:pPr>
            <w:r>
              <w:rPr>
                <w:rFonts w:ascii="Arial" w:cs="Arial" w:eastAsia="Arial" w:hAnsi="Arial"/>
                <w:sz w:val="18"/>
                <w:szCs w:val="18"/>
                <w:color w:val="auto"/>
                <w:w w:val="90"/>
              </w:rPr>
              <w:t>Proceeds from sales of real estate owned and other repossessed collateral</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(46,232)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(65,639)</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rPr>
              <w:t>Net increase in deposits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81,007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79,176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w w:val="99"/>
              </w:rPr>
              <w:t>Net (decrease) increase in short-term borrowings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rPr>
              <w:t>Proceeds from FHLB advances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Repayments of FHLB advances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5"/>
          </w:tcPr>
          <w:p>
            <w:pPr>
              <w:ind w:left="160"/>
              <w:spacing w:after="0"/>
              <w:rPr>
                <w:sz w:val="20"/>
                <w:szCs w:val="20"/>
                <w:color w:val="auto"/>
              </w:rPr>
            </w:pPr>
            <w:r>
              <w:rPr>
                <w:rFonts w:ascii="Arial" w:cs="Arial" w:eastAsia="Arial" w:hAnsi="Arial"/>
                <w:sz w:val="18"/>
                <w:szCs w:val="18"/>
                <w:color w:val="auto"/>
                <w:w w:val="88"/>
              </w:rPr>
              <w:t>Repayment of wholesale repurchase agreements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63,548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78,183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22,814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Cash and cash equivalents, beginning of period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82,259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65,934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105,073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74,363</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-8209915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-8209915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from loans to real estate owned and other repossessed collateral</w:t>
            </w:r>
          </w:p>
        </w:tc>
        <w:tc>
          <w:tcPr>
            <w:tcW w:w="19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2,104</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2,174</w:t>
            </w: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Transfers from real estate owned and other repossessed collateral to loans</w:t>
            </w:r>
          </w:p>
        </w:tc>
        <w:tc>
          <w:tcPr>
            <w:tcW w:w="19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1,155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207"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These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2014 (“Fiscal 2014”) included in the Company’s Annual Report on Form 10-K filed with the Securities and Exchange Commission.</w:t>
      </w:r>
    </w:p>
    <w:p>
      <w:pPr>
        <w:spacing w:after="0" w:line="17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January 2014, the FASB issued ASU No. 2014-01, </w:t>
      </w:r>
      <w:r>
        <w:rPr>
          <w:rFonts w:ascii="Arial" w:cs="Arial" w:eastAsia="Arial" w:hAnsi="Arial"/>
          <w:sz w:val="17"/>
          <w:szCs w:val="17"/>
          <w:i w:val="1"/>
          <w:iCs w:val="1"/>
          <w:color w:val="auto"/>
        </w:rPr>
        <w:t>Investments—Equity Method and Joint Ventures (Topic 323): Accounting for Investments in Qualified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Affordable Housing Projects </w:t>
      </w:r>
      <w:r>
        <w:rPr>
          <w:rFonts w:ascii="Arial" w:cs="Arial" w:eastAsia="Arial" w:hAnsi="Arial"/>
          <w:sz w:val="17"/>
          <w:szCs w:val="17"/>
          <w:color w:val="auto"/>
        </w:rPr>
        <w:t>(“ASU 2014-01”). The amendments in ASU 2014-01 provide guidance on accounting for investments by a reporting entity in</w:t>
      </w:r>
      <w:r>
        <w:rPr>
          <w:rFonts w:ascii="Arial" w:cs="Arial" w:eastAsia="Arial" w:hAnsi="Arial"/>
          <w:sz w:val="17"/>
          <w:szCs w:val="17"/>
          <w:i w:val="1"/>
          <w:iCs w:val="1"/>
          <w:color w:val="auto"/>
        </w:rPr>
        <w:t xml:space="preserve"> </w:t>
      </w:r>
      <w:r>
        <w:rPr>
          <w:rFonts w:ascii="Arial" w:cs="Arial" w:eastAsia="Arial" w:hAnsi="Arial"/>
          <w:sz w:val="17"/>
          <w:szCs w:val="17"/>
          <w:color w:val="auto"/>
        </w:rPr>
        <w:t>flow-through limited liability entities that manage or invest in affordable housing projects that qualify for the low-income housing tax credit. The amendments permit reporting entities to make an accounting policy election to account for their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(benefit). The amendments are effective for fiscal years, and interim periods within those years, beginning after December 31, 2014 and should be applied retrospectively to all periods presented. Early adoption is permitted. The Company does not expect ASU 2014-01 to have material impact on the consolidated financial statements.</w:t>
      </w:r>
    </w:p>
    <w:p>
      <w:pPr>
        <w:spacing w:after="0" w:line="18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May 2014, the Financial Accounting Standards Board (“FASB”) issued ASU 2014-09</w:t>
      </w:r>
      <w:r>
        <w:rPr>
          <w:rFonts w:ascii="Arial" w:cs="Arial" w:eastAsia="Arial" w:hAnsi="Arial"/>
          <w:sz w:val="16"/>
          <w:szCs w:val="16"/>
          <w:i w:val="1"/>
          <w:iCs w:val="1"/>
          <w:color w:val="auto"/>
        </w:rPr>
        <w:t>, Revenue from Contracts with Customers (Topic 606)</w:t>
      </w:r>
      <w:r>
        <w:rPr>
          <w:rFonts w:ascii="Arial" w:cs="Arial" w:eastAsia="Arial" w:hAnsi="Arial"/>
          <w:sz w:val="16"/>
          <w:szCs w:val="16"/>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2014-09 is effective January 1, 2017 and is not expected to have a significant impact on the Company’s financial statements.</w:t>
      </w:r>
    </w:p>
    <w:p>
      <w:pPr>
        <w:spacing w:after="0" w:line="16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In June 2014, the FASB issued ASU 2014-11, </w:t>
      </w:r>
      <w:r>
        <w:rPr>
          <w:rFonts w:ascii="Arial" w:cs="Arial" w:eastAsia="Arial" w:hAnsi="Arial"/>
          <w:sz w:val="17"/>
          <w:szCs w:val="17"/>
          <w:i w:val="1"/>
          <w:iCs w:val="1"/>
          <w:color w:val="auto"/>
        </w:rPr>
        <w:t>Transfers and Servicing (Topic 860): Repurchase-to-Maturity Transactions, Repurchase Financings,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w:t>
      </w:r>
      <w:r>
        <w:rPr>
          <w:rFonts w:ascii="Arial" w:cs="Arial" w:eastAsia="Arial" w:hAnsi="Arial"/>
          <w:sz w:val="17"/>
          <w:szCs w:val="17"/>
          <w:color w:val="auto"/>
        </w:rPr>
        <w:t>(“ASU 2014-11”). ASU 2014-11 requires that repurchase-to-maturity transactions be accounted for as secured borrowings consistent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other repurchase agreements. In addition, ASU 2014-11 requires separate accounting for repurchase financings, which entails the transfer of a financial asset executed contemporaneously with a repurchase agreement with the same counterparty. ASU 2014-11 requires entities to disclose certain information about transfers accounted for as sales in transactions that are economically similar to repurchase agreements. In addition, ASU 2014-11 requires disclosures related to collateral, remaining contractual tenor and of the potential risks associated with repurchase agreements, securities lending transactions and repurchase-to-maturity transactions. ASU 2014-11 is effective January 1, 2015 and is not expected to have a significant impact on the Company’s financial statements.</w:t>
      </w:r>
    </w:p>
    <w:p>
      <w:pPr>
        <w:spacing w:after="0" w:line="1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August 2014, the FASB issued ASU 2014-14, </w:t>
      </w:r>
      <w:r>
        <w:rPr>
          <w:rFonts w:ascii="Arial" w:cs="Arial" w:eastAsia="Arial" w:hAnsi="Arial"/>
          <w:sz w:val="16"/>
          <w:szCs w:val="16"/>
          <w:i w:val="1"/>
          <w:iCs w:val="1"/>
          <w:color w:val="auto"/>
        </w:rPr>
        <w:t>Receivables - Troubled Debt Restructurings by Creditors (Subtopic 310-40): Classification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Government-Guaranteed Mortgage Loans upon Foreclosure (“</w:t>
      </w:r>
      <w:r>
        <w:rPr>
          <w:rFonts w:ascii="Arial" w:cs="Arial" w:eastAsia="Arial" w:hAnsi="Arial"/>
          <w:sz w:val="16"/>
          <w:szCs w:val="16"/>
          <w:color w:val="auto"/>
        </w:rPr>
        <w:t>ASU 2014-14</w:t>
      </w:r>
      <w:r>
        <w:rPr>
          <w:rFonts w:ascii="Arial" w:cs="Arial" w:eastAsia="Arial" w:hAnsi="Arial"/>
          <w:sz w:val="16"/>
          <w:szCs w:val="16"/>
          <w:i w:val="1"/>
          <w:iCs w:val="1"/>
          <w:color w:val="auto"/>
        </w:rPr>
        <w:t>”)</w:t>
      </w:r>
      <w:r>
        <w:rPr>
          <w:rFonts w:ascii="Arial" w:cs="Arial" w:eastAsia="Arial" w:hAnsi="Arial"/>
          <w:sz w:val="16"/>
          <w:szCs w:val="16"/>
          <w:color w:val="auto"/>
        </w:rPr>
        <w:t>. ASU 2014-14 affects creditors that hold government-guaranteed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loans, including those guaranteed by the Federal Housing Administration (FHA) of the U.S. Department of Housing and Urban Development (HUD), and the U.S. Department of Veterans Affairs (VA). The update requires that, upon foreclosure, a guaranteed mortgage loan be derecognized and a separate other receivable be recognized when specific criteria are met. ASU 2014-14 is effective for fiscal years, and interim periods within those fiscal years, beginning after December 15, 2014. The adoption of this guidance is not expected to have a significant impact on the Company’s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28"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March 31, 2015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960" w:type="dxa"/>
            <w:vAlign w:val="bottom"/>
          </w:tcPr>
          <w:p>
            <w:pPr>
              <w:spacing w:after="0"/>
              <w:rPr>
                <w:sz w:val="10"/>
                <w:szCs w:val="10"/>
                <w:color w:val="auto"/>
              </w:rPr>
            </w:pPr>
          </w:p>
        </w:tc>
        <w:tc>
          <w:tcPr>
            <w:tcW w:w="1420" w:type="dxa"/>
            <w:vAlign w:val="bottom"/>
            <w:tcBorders>
              <w:top w:val="single" w:sz="8" w:color="auto"/>
            </w:tcBorders>
          </w:tcPr>
          <w:p>
            <w:pPr>
              <w:jc w:val="center"/>
              <w:ind w:right="11"/>
              <w:spacing w:after="0" w:line="119" w:lineRule="exact"/>
              <w:rPr>
                <w:sz w:val="20"/>
                <w:szCs w:val="20"/>
                <w:color w:val="auto"/>
              </w:rPr>
            </w:pPr>
            <w:r>
              <w:rPr>
                <w:rFonts w:ascii="Arial" w:cs="Arial" w:eastAsia="Arial" w:hAnsi="Arial"/>
                <w:sz w:val="13"/>
                <w:szCs w:val="13"/>
                <w:b w:val="1"/>
                <w:bCs w:val="1"/>
                <w:color w:val="auto"/>
              </w:rPr>
              <w:t>Amortized</w:t>
            </w:r>
          </w:p>
        </w:tc>
        <w:tc>
          <w:tcPr>
            <w:tcW w:w="1840" w:type="dxa"/>
            <w:vAlign w:val="bottom"/>
            <w:tcBorders>
              <w:top w:val="single" w:sz="8" w:color="auto"/>
            </w:tcBorders>
          </w:tcPr>
          <w:p>
            <w:pPr>
              <w:jc w:val="center"/>
              <w:ind w:left="3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920" w:type="dxa"/>
            <w:vAlign w:val="bottom"/>
            <w:tcBorders>
              <w:top w:val="single" w:sz="8" w:color="auto"/>
            </w:tcBorders>
          </w:tcPr>
          <w:p>
            <w:pPr>
              <w:jc w:val="center"/>
              <w:ind w:right="71"/>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r>
      <w:tr>
        <w:trPr>
          <w:trHeight w:val="171"/>
        </w:trPr>
        <w:tc>
          <w:tcPr>
            <w:tcW w:w="39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1840" w:type="dxa"/>
            <w:vAlign w:val="bottom"/>
          </w:tcPr>
          <w:p>
            <w:pPr>
              <w:jc w:val="center"/>
              <w:ind w:left="10"/>
              <w:spacing w:after="0"/>
              <w:rPr>
                <w:sz w:val="20"/>
                <w:szCs w:val="20"/>
                <w:color w:val="auto"/>
              </w:rPr>
            </w:pPr>
            <w:r>
              <w:rPr>
                <w:rFonts w:ascii="Arial" w:cs="Arial" w:eastAsia="Arial" w:hAnsi="Arial"/>
                <w:sz w:val="14"/>
                <w:szCs w:val="14"/>
                <w:b w:val="1"/>
                <w:bCs w:val="1"/>
                <w:color w:val="auto"/>
                <w:w w:val="92"/>
              </w:rPr>
              <w:t>Gains</w:t>
            </w:r>
          </w:p>
        </w:tc>
        <w:tc>
          <w:tcPr>
            <w:tcW w:w="1920" w:type="dxa"/>
            <w:vAlign w:val="bottom"/>
          </w:tcPr>
          <w:p>
            <w:pPr>
              <w:jc w:val="center"/>
              <w:ind w:right="51"/>
              <w:spacing w:after="0"/>
              <w:rPr>
                <w:sz w:val="20"/>
                <w:szCs w:val="20"/>
                <w:color w:val="auto"/>
              </w:rPr>
            </w:pPr>
            <w:r>
              <w:rPr>
                <w:rFonts w:ascii="Arial" w:cs="Arial" w:eastAsia="Arial" w:hAnsi="Arial"/>
                <w:sz w:val="14"/>
                <w:szCs w:val="14"/>
                <w:b w:val="1"/>
                <w:bCs w:val="1"/>
                <w:color w:val="auto"/>
                <w:w w:val="82"/>
              </w:rPr>
              <w:t>Losses</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r>
      <w:tr>
        <w:trPr>
          <w:trHeight w:val="152"/>
        </w:trPr>
        <w:tc>
          <w:tcPr>
            <w:tcW w:w="3960" w:type="dxa"/>
            <w:vAlign w:val="bottom"/>
            <w:tcBorders>
              <w:bottom w:val="single" w:sz="8" w:color="CCEEFF"/>
            </w:tcBorders>
          </w:tcPr>
          <w:p>
            <w:pPr>
              <w:spacing w:after="0"/>
              <w:rPr>
                <w:sz w:val="13"/>
                <w:szCs w:val="13"/>
                <w:color w:val="auto"/>
              </w:rPr>
            </w:pPr>
          </w:p>
        </w:tc>
        <w:tc>
          <w:tcPr>
            <w:tcW w:w="1420" w:type="dxa"/>
            <w:vAlign w:val="bottom"/>
            <w:tcBorders>
              <w:top w:val="single" w:sz="8" w:color="auto"/>
              <w:bottom w:val="single" w:sz="8" w:color="CCEEFF"/>
            </w:tcBorders>
          </w:tcPr>
          <w:p>
            <w:pPr>
              <w:spacing w:after="0"/>
              <w:rPr>
                <w:sz w:val="13"/>
                <w:szCs w:val="13"/>
                <w:color w:val="auto"/>
              </w:rPr>
            </w:pPr>
          </w:p>
        </w:tc>
        <w:tc>
          <w:tcPr>
            <w:tcW w:w="3760" w:type="dxa"/>
            <w:vAlign w:val="bottom"/>
            <w:tcBorders>
              <w:top w:val="single" w:sz="8" w:color="auto"/>
              <w:bottom w:val="single" w:sz="8" w:color="CCEEFF"/>
            </w:tcBorders>
            <w:gridSpan w:val="2"/>
          </w:tcPr>
          <w:p>
            <w:pPr>
              <w:ind w:left="11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360" w:type="dxa"/>
            <w:vAlign w:val="bottom"/>
            <w:tcBorders>
              <w:top w:val="single" w:sz="8" w:color="auto"/>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48,246</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48,283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57,721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57,240</w:t>
            </w:r>
          </w:p>
        </w:tc>
      </w:tr>
      <w:tr>
        <w:trPr>
          <w:trHeight w:val="223"/>
        </w:trPr>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105,523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3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right"/>
              <w:ind w:right="1420"/>
              <w:spacing w:after="0"/>
              <w:rPr>
                <w:sz w:val="20"/>
                <w:szCs w:val="20"/>
                <w:color w:val="auto"/>
              </w:rPr>
            </w:pPr>
            <w:r>
              <w:rPr>
                <w:rFonts w:ascii="Arial" w:cs="Arial" w:eastAsia="Arial" w:hAnsi="Arial"/>
                <w:sz w:val="14"/>
                <w:szCs w:val="14"/>
                <w:b w:val="1"/>
                <w:bCs w:val="1"/>
                <w:color w:val="auto"/>
              </w:rPr>
              <w:t>June 30, 2014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19"/>
        </w:trPr>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Gross Unrealized</w:t>
            </w:r>
          </w:p>
        </w:tc>
        <w:tc>
          <w:tcPr>
            <w:tcW w:w="160" w:type="dxa"/>
            <w:vAlign w:val="bottom"/>
          </w:tcPr>
          <w:p>
            <w:pPr>
              <w:spacing w:after="0"/>
              <w:rPr>
                <w:sz w:val="10"/>
                <w:szCs w:val="10"/>
                <w:color w:val="auto"/>
              </w:rPr>
            </w:pPr>
          </w:p>
        </w:tc>
        <w:tc>
          <w:tcPr>
            <w:tcW w:w="16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Gross Unrealized</w:t>
            </w:r>
          </w:p>
        </w:tc>
        <w:tc>
          <w:tcPr>
            <w:tcW w:w="300" w:type="dxa"/>
            <w:vAlign w:val="bottom"/>
          </w:tcPr>
          <w:p>
            <w:pPr>
              <w:spacing w:after="0"/>
              <w:rPr>
                <w:sz w:val="10"/>
                <w:szCs w:val="10"/>
                <w:color w:val="auto"/>
              </w:rPr>
            </w:pPr>
          </w:p>
        </w:tc>
        <w:tc>
          <w:tcPr>
            <w:tcW w:w="1060" w:type="dxa"/>
            <w:vAlign w:val="bottom"/>
          </w:tcPr>
          <w:p>
            <w:pPr>
              <w:jc w:val="right"/>
              <w:ind w:right="455"/>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r>
      <w:tr>
        <w:trPr>
          <w:trHeight w:val="171"/>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r>
      <w:tr>
        <w:trPr>
          <w:trHeight w:val="142"/>
        </w:trPr>
        <w:tc>
          <w:tcPr>
            <w:tcW w:w="39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80" w:type="dxa"/>
            <w:vAlign w:val="bottom"/>
            <w:tcBorders>
              <w:top w:val="single" w:sz="8" w:color="auto"/>
            </w:tcBorders>
            <w:gridSpan w:val="5"/>
          </w:tcPr>
          <w:p>
            <w:pPr>
              <w:jc w:val="right"/>
              <w:ind w:right="11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48,415</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48,418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66,744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(1,284)</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65,463</w:t>
            </w:r>
          </w:p>
        </w:tc>
      </w:tr>
      <w:tr>
        <w:trPr>
          <w:trHeight w:val="223"/>
        </w:trPr>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and nine months ended March 31, 2015 or 2014. At March 31, 2015, investment securities with a fair value of approximately $34.2 million were pledged as collateral to secure outstanding borrowings.</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w w:val="96"/>
              </w:rPr>
              <w:t>March 31, 2015</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gridSpan w:val="8"/>
          </w:tcPr>
          <w:p>
            <w:pPr>
              <w:jc w:val="right"/>
              <w:ind w:right="780"/>
              <w:spacing w:after="0" w:line="142" w:lineRule="exact"/>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8"/>
          </w:tcPr>
          <w:p>
            <w:pPr>
              <w:jc w:val="center"/>
              <w:ind w:right="400"/>
              <w:spacing w:after="0" w:line="142" w:lineRule="exact"/>
              <w:rPr>
                <w:sz w:val="20"/>
                <w:szCs w:val="20"/>
                <w:color w:val="auto"/>
              </w:rPr>
            </w:pPr>
            <w:r>
              <w:rPr>
                <w:rFonts w:ascii="Arial" w:cs="Arial" w:eastAsia="Arial" w:hAnsi="Arial"/>
                <w:sz w:val="14"/>
                <w:szCs w:val="14"/>
                <w:b w:val="1"/>
                <w:bCs w:val="1"/>
                <w:color w:val="auto"/>
                <w:w w:val="94"/>
              </w:rPr>
              <w:t>More than 12 Months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right"/>
              <w:ind w:right="45"/>
              <w:spacing w:after="0" w:line="142" w:lineRule="exact"/>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9"/>
        </w:trPr>
        <w:tc>
          <w:tcPr>
            <w:tcW w:w="2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8"/>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6,058</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w w:val="93"/>
              </w:rPr>
              <w:t>2,085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52,938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55,023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(507)</w:t>
            </w:r>
          </w:p>
        </w:tc>
        <w:tc>
          <w:tcPr>
            <w:tcW w:w="4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4"/>
              </w:rPr>
              <w:t>8,143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2"/>
              </w:rPr>
              <w:t>June 30, 2014</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gridSpan w:val="8"/>
          </w:tcPr>
          <w:p>
            <w:pPr>
              <w:jc w:val="right"/>
              <w:ind w:right="760"/>
              <w:spacing w:after="0" w:line="142" w:lineRule="exact"/>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8"/>
          </w:tcPr>
          <w:p>
            <w:pPr>
              <w:jc w:val="right"/>
              <w:ind w:right="720"/>
              <w:spacing w:after="0" w:line="142" w:lineRule="exact"/>
              <w:rPr>
                <w:sz w:val="20"/>
                <w:szCs w:val="20"/>
                <w:color w:val="auto"/>
              </w:rPr>
            </w:pPr>
            <w:r>
              <w:rPr>
                <w:rFonts w:ascii="Arial" w:cs="Arial" w:eastAsia="Arial" w:hAnsi="Arial"/>
                <w:sz w:val="14"/>
                <w:szCs w:val="14"/>
                <w:b w:val="1"/>
                <w:bCs w:val="1"/>
                <w:color w:val="auto"/>
              </w:rPr>
              <w:t>More than 12 Months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right"/>
              <w:ind w:right="25"/>
              <w:spacing w:after="0" w:line="142" w:lineRule="exact"/>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9"/>
        </w:trPr>
        <w:tc>
          <w:tcPr>
            <w:tcW w:w="2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8"/>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24,141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24,141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Agency mortgage-backed securities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62,734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(1,284)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62,734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(1,284)</w:t>
            </w:r>
          </w:p>
        </w:tc>
        <w:tc>
          <w:tcPr>
            <w:tcW w:w="40" w:type="dxa"/>
            <w:vAlign w:val="bottom"/>
          </w:tcPr>
          <w:p>
            <w:pPr>
              <w:spacing w:after="0"/>
              <w:rPr>
                <w:sz w:val="18"/>
                <w:szCs w:val="18"/>
                <w:color w:val="auto"/>
              </w:rPr>
            </w:pPr>
          </w:p>
        </w:tc>
      </w:tr>
      <w:tr>
        <w:trPr>
          <w:trHeight w:val="223"/>
        </w:trPr>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62,734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86,875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nine months ended March 31, 2015 or 2014.</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At March 31, 2015, the Company had twenty-two securities in a continuous loss position for greater than twelve months. At March 31, 2015, all of the Company’s available-for-sale securities were issued or guaranteed by either government agencies or government-sponsored enterprises. The decline in fair value of the Company’s available-for-sale securities at March 31, 2015 is attributable to changes in interest rates.</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At March 31, 2015, it is more likely than not that the Company will not sell or be required to sell the investment securities before recovery of its amortized cost. As such, management does not believe any of the Company’s available-for-sale securities are other-than-temporarily impaired at March 31, 2015.</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March 31, 2015. Actual maturities may differ from contractual maturities because borrowers may have the right to call or prepay obligations with or without call or prepayment penalties.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Fair</w:t>
            </w:r>
          </w:p>
        </w:tc>
        <w:tc>
          <w:tcPr>
            <w:tcW w:w="3100" w:type="dxa"/>
            <w:vAlign w:val="bottom"/>
          </w:tcPr>
          <w:p>
            <w:pPr>
              <w:spacing w:after="0"/>
              <w:rPr>
                <w:sz w:val="13"/>
                <w:szCs w:val="13"/>
                <w:color w:val="auto"/>
              </w:rPr>
            </w:pPr>
          </w:p>
        </w:tc>
      </w:tr>
      <w:tr>
        <w:trPr>
          <w:trHeight w:val="171"/>
        </w:trPr>
        <w:tc>
          <w:tcPr>
            <w:tcW w:w="3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31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73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24,028</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24,045</w:t>
            </w:r>
          </w:p>
        </w:tc>
        <w:tc>
          <w:tcPr>
            <w:tcW w:w="310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24,218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24,237</w:t>
            </w:r>
          </w:p>
        </w:tc>
        <w:tc>
          <w:tcPr>
            <w:tcW w:w="3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28,263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28,188</w:t>
            </w:r>
          </w:p>
        </w:tc>
        <w:tc>
          <w:tcPr>
            <w:tcW w:w="310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Due after ten years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29,458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29,053</w:t>
            </w:r>
          </w:p>
        </w:tc>
        <w:tc>
          <w:tcPr>
            <w:tcW w:w="3100" w:type="dxa"/>
            <w:vAlign w:val="bottom"/>
          </w:tcPr>
          <w:p>
            <w:pPr>
              <w:spacing w:after="0"/>
              <w:rPr>
                <w:sz w:val="18"/>
                <w:szCs w:val="18"/>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676"/>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32"/>
        </w:trPr>
        <w:tc>
          <w:tcPr>
            <w:tcW w:w="39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 — 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w:t>
      </w:r>
    </w:p>
    <w:p>
      <w:pPr>
        <w:sectPr>
          <w:pgSz w:w="11900" w:h="16921" w:orient="portrait"/>
          <w:cols w:equalWidth="0" w:num="1">
            <w:col w:w="11460"/>
          </w:cols>
          <w:pgMar w:left="240" w:top="140" w:right="199" w:bottom="0" w:gutter="0" w:footer="0" w:header="0"/>
        </w:sectPr>
      </w:pPr>
    </w:p>
    <w:bookmarkStart w:id="7" w:name="page8"/>
    <w:bookmarkEnd w:id="7"/>
    <w:p>
      <w:pPr>
        <w:ind w:right="220"/>
        <w:spacing w:after="0" w:line="291" w:lineRule="auto"/>
        <w:rPr>
          <w:sz w:val="20"/>
          <w:szCs w:val="20"/>
          <w:color w:val="auto"/>
        </w:rPr>
      </w:pPr>
      <w:r>
        <w:rPr>
          <w:rFonts w:ascii="Arial" w:cs="Arial" w:eastAsia="Arial" w:hAnsi="Arial"/>
          <w:sz w:val="16"/>
          <w:szCs w:val="16"/>
          <w:color w:val="auto"/>
        </w:rPr>
        <w:t>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March 31, 2015</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2014</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9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Originated</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Purchased</w:t>
            </w: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Originated</w:t>
            </w: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6"/>
          </w:tcPr>
          <w:p>
            <w:pPr>
              <w:jc w:val="right"/>
              <w:ind w:right="8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110,314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2,143</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112,457</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116,972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120,659</w:t>
            </w:r>
          </w:p>
        </w:tc>
        <w:tc>
          <w:tcPr>
            <w:tcW w:w="40" w:type="dxa"/>
            <w:vAlign w:val="bottom"/>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Home equity</w:t>
            </w: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24,321</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27,975</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27,975</w:t>
            </w: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134,483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193,284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116,617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199,481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316,098</w:t>
            </w:r>
          </w:p>
        </w:tc>
        <w:tc>
          <w:tcPr>
            <w:tcW w:w="40" w:type="dxa"/>
            <w:vAlign w:val="bottom"/>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106,015</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106,271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41,518</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41,800</w:t>
            </w:r>
          </w:p>
        </w:tc>
        <w:tc>
          <w:tcPr>
            <w:tcW w:w="4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8,377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9,884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9,884</w:t>
            </w:r>
          </w:p>
        </w:tc>
        <w:tc>
          <w:tcPr>
            <w:tcW w:w="40" w:type="dxa"/>
            <w:vAlign w:val="bottom"/>
          </w:tcPr>
          <w:p>
            <w:pPr>
              <w:spacing w:after="0"/>
              <w:rPr>
                <w:sz w:val="18"/>
                <w:szCs w:val="18"/>
                <w:color w:val="auto"/>
              </w:rPr>
            </w:pPr>
          </w:p>
        </w:tc>
      </w:tr>
      <w:tr>
        <w:trPr>
          <w:trHeight w:val="210"/>
        </w:trPr>
        <w:tc>
          <w:tcPr>
            <w:tcW w:w="292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383,510</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195,683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579,193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312,966</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516,416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11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268"/>
              <w:spacing w:after="0"/>
              <w:rPr>
                <w:sz w:val="20"/>
                <w:szCs w:val="20"/>
                <w:color w:val="auto"/>
              </w:rPr>
            </w:pPr>
            <w:r>
              <w:rPr>
                <w:rFonts w:ascii="Arial" w:cs="Arial" w:eastAsia="Arial" w:hAnsi="Arial"/>
                <w:sz w:val="14"/>
                <w:szCs w:val="14"/>
                <w:b w:val="1"/>
                <w:bCs w:val="1"/>
                <w:color w:val="auto"/>
                <w:w w:val="94"/>
              </w:rPr>
              <w:t>March 31, 2015</w:t>
            </w: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left="109"/>
              <w:spacing w:after="0" w:line="119" w:lineRule="exact"/>
              <w:rPr>
                <w:sz w:val="20"/>
                <w:szCs w:val="20"/>
                <w:color w:val="auto"/>
              </w:rPr>
            </w:pPr>
            <w:r>
              <w:rPr>
                <w:rFonts w:ascii="Arial" w:cs="Arial" w:eastAsia="Arial" w:hAnsi="Arial"/>
                <w:sz w:val="13"/>
                <w:szCs w:val="13"/>
                <w:b w:val="1"/>
                <w:bCs w:val="1"/>
                <w:color w:val="auto"/>
                <w:w w:val="96"/>
              </w:rPr>
              <w:t>Past Due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Past Due</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30-59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60-89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3"/>
              </w:rPr>
              <w:t>90 Days or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rPr>
              <w:t>More-Still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More-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Past</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Days</w:t>
            </w:r>
          </w:p>
        </w:tc>
        <w:tc>
          <w:tcPr>
            <w:tcW w:w="120" w:type="dxa"/>
            <w:vAlign w:val="bottom"/>
          </w:tcPr>
          <w:p>
            <w:pPr>
              <w:spacing w:after="0"/>
              <w:rPr>
                <w:sz w:val="14"/>
                <w:szCs w:val="14"/>
                <w:color w:val="auto"/>
              </w:rPr>
            </w:pPr>
          </w:p>
        </w:tc>
        <w:tc>
          <w:tcPr>
            <w:tcW w:w="880" w:type="dxa"/>
            <w:vAlign w:val="bottom"/>
          </w:tcPr>
          <w:p>
            <w:pPr>
              <w:jc w:val="center"/>
              <w:ind w:left="89"/>
              <w:spacing w:after="0"/>
              <w:rPr>
                <w:sz w:val="20"/>
                <w:szCs w:val="20"/>
                <w:color w:val="auto"/>
              </w:rPr>
            </w:pPr>
            <w:r>
              <w:rPr>
                <w:rFonts w:ascii="Arial" w:cs="Arial" w:eastAsia="Arial" w:hAnsi="Arial"/>
                <w:sz w:val="14"/>
                <w:szCs w:val="14"/>
                <w:b w:val="1"/>
                <w:bCs w:val="1"/>
                <w:color w:val="auto"/>
                <w:w w:val="92"/>
              </w:rPr>
              <w:t>Accruing</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Nonaccrual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6"/>
          </w:tcPr>
          <w:p>
            <w:pPr>
              <w:jc w:val="center"/>
              <w:ind w:right="5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Originated portfolio:</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Residential real estate</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394</w:t>
            </w:r>
          </w:p>
        </w:tc>
        <w:tc>
          <w:tcPr>
            <w:tcW w:w="100" w:type="dxa"/>
            <w:vAlign w:val="bottom"/>
          </w:tcPr>
          <w:p>
            <w:pPr>
              <w:spacing w:after="0"/>
              <w:rPr>
                <w:sz w:val="12"/>
                <w:szCs w:val="12"/>
                <w:color w:val="auto"/>
              </w:rPr>
            </w:pPr>
          </w:p>
        </w:tc>
        <w:tc>
          <w:tcPr>
            <w:tcW w:w="1000" w:type="dxa"/>
            <w:vAlign w:val="bottom"/>
            <w:gridSpan w:val="2"/>
          </w:tcPr>
          <w:p>
            <w:pPr>
              <w:jc w:val="right"/>
              <w:ind w:right="729"/>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1,140</w:t>
            </w:r>
          </w:p>
        </w:tc>
        <w:tc>
          <w:tcPr>
            <w:tcW w:w="3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1,904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108,410</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110,314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3,163</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Home equity</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24,310</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24,321</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Commercial real estate</w:t>
            </w:r>
          </w:p>
        </w:tc>
        <w:tc>
          <w:tcPr>
            <w:tcW w:w="2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435</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1,536</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132,947</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134,483</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Commercial business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106,013</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106,015</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Consumer</w:t>
            </w:r>
          </w:p>
        </w:tc>
        <w:tc>
          <w:tcPr>
            <w:tcW w:w="2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194</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343</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8,034</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8,377</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originated portfolio</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1,001</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3,796</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379,714</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383,510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4,600</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Purchased portfolio:</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Residential real estate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2,143</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2,143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Commercial business</w:t>
            </w:r>
          </w:p>
        </w:tc>
        <w:tc>
          <w:tcPr>
            <w:tcW w:w="2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256</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Commercial real estate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5,868</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5,204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11,072</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182,212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193,284</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5,850</w:t>
            </w: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purchased portfolio</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5,868</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5,204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11,072</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184,611</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195,683</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5,850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Total loans</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6,869</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29"/>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7,322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14,868</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564,325</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579,193</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10,450</w:t>
            </w: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left="288"/>
              <w:spacing w:after="0"/>
              <w:rPr>
                <w:sz w:val="20"/>
                <w:szCs w:val="20"/>
                <w:color w:val="auto"/>
              </w:rPr>
            </w:pPr>
            <w:r>
              <w:rPr>
                <w:rFonts w:ascii="Arial" w:cs="Arial" w:eastAsia="Arial" w:hAnsi="Arial"/>
                <w:sz w:val="14"/>
                <w:szCs w:val="14"/>
                <w:b w:val="1"/>
                <w:bCs w:val="1"/>
                <w:color w:val="auto"/>
                <w:w w:val="92"/>
              </w:rPr>
              <w:t>June 30, 2014</w:t>
            </w: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left="109"/>
              <w:spacing w:after="0" w:line="119" w:lineRule="exact"/>
              <w:rPr>
                <w:sz w:val="20"/>
                <w:szCs w:val="20"/>
                <w:color w:val="auto"/>
              </w:rPr>
            </w:pPr>
            <w:r>
              <w:rPr>
                <w:rFonts w:ascii="Arial" w:cs="Arial" w:eastAsia="Arial" w:hAnsi="Arial"/>
                <w:sz w:val="13"/>
                <w:szCs w:val="13"/>
                <w:b w:val="1"/>
                <w:bCs w:val="1"/>
                <w:color w:val="auto"/>
                <w:w w:val="96"/>
              </w:rPr>
              <w:t>Past Due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Past Due</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30-59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60-89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3"/>
              </w:rPr>
              <w:t>90 Days or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rPr>
              <w:t>More-Still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More-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Past</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Days</w:t>
            </w:r>
          </w:p>
        </w:tc>
        <w:tc>
          <w:tcPr>
            <w:tcW w:w="120" w:type="dxa"/>
            <w:vAlign w:val="bottom"/>
          </w:tcPr>
          <w:p>
            <w:pPr>
              <w:spacing w:after="0"/>
              <w:rPr>
                <w:sz w:val="14"/>
                <w:szCs w:val="14"/>
                <w:color w:val="auto"/>
              </w:rPr>
            </w:pPr>
          </w:p>
        </w:tc>
        <w:tc>
          <w:tcPr>
            <w:tcW w:w="880" w:type="dxa"/>
            <w:vAlign w:val="bottom"/>
          </w:tcPr>
          <w:p>
            <w:pPr>
              <w:jc w:val="center"/>
              <w:ind w:left="89"/>
              <w:spacing w:after="0"/>
              <w:rPr>
                <w:sz w:val="20"/>
                <w:szCs w:val="20"/>
                <w:color w:val="auto"/>
              </w:rPr>
            </w:pPr>
            <w:r>
              <w:rPr>
                <w:rFonts w:ascii="Arial" w:cs="Arial" w:eastAsia="Arial" w:hAnsi="Arial"/>
                <w:sz w:val="14"/>
                <w:szCs w:val="14"/>
                <w:b w:val="1"/>
                <w:bCs w:val="1"/>
                <w:color w:val="auto"/>
                <w:w w:val="92"/>
              </w:rPr>
              <w:t>Accruing</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Nonaccrual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6"/>
          </w:tcPr>
          <w:p>
            <w:pPr>
              <w:jc w:val="center"/>
              <w:ind w:right="5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Originated portfolio:</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Residential real estate</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728</w:t>
            </w:r>
          </w:p>
        </w:tc>
        <w:tc>
          <w:tcPr>
            <w:tcW w:w="100" w:type="dxa"/>
            <w:vAlign w:val="bottom"/>
          </w:tcPr>
          <w:p>
            <w:pPr>
              <w:spacing w:after="0"/>
              <w:rPr>
                <w:sz w:val="12"/>
                <w:szCs w:val="12"/>
                <w:color w:val="auto"/>
              </w:rPr>
            </w:pPr>
          </w:p>
        </w:tc>
        <w:tc>
          <w:tcPr>
            <w:tcW w:w="1000" w:type="dxa"/>
            <w:vAlign w:val="bottom"/>
            <w:gridSpan w:val="2"/>
          </w:tcPr>
          <w:p>
            <w:pPr>
              <w:jc w:val="right"/>
              <w:ind w:right="729"/>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1,573</w:t>
            </w:r>
          </w:p>
        </w:tc>
        <w:tc>
          <w:tcPr>
            <w:tcW w:w="3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2,523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114,449</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116,972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1,743</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Home equity</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236</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27,739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27,975</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Commercial real estate</w:t>
            </w:r>
          </w:p>
        </w:tc>
        <w:tc>
          <w:tcPr>
            <w:tcW w:w="2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891</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115,726</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116,617</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Commercial business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41,518</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41,518</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Consumer</w:t>
            </w:r>
          </w:p>
        </w:tc>
        <w:tc>
          <w:tcPr>
            <w:tcW w:w="2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188</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261</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9,623</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9,884</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originated portfolio</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645</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2,371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3,911</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309,055</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312,966</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3,209</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Purchased portfolio:</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Residential real estate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3,687</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3,687</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Commercial business</w:t>
            </w:r>
          </w:p>
        </w:tc>
        <w:tc>
          <w:tcPr>
            <w:tcW w:w="2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282</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Commercial real estate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1,995</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1,995</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197,486</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199,481</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4,116</w:t>
            </w: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purchased portfolio</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1,995</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1,995</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201,455</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203,450</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Total loans</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645</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29"/>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5,906</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510,510</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516,416</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7,325</w:t>
            </w: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8" w:name="page9"/>
    <w:bookmarkEnd w:id="8"/>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88" w:lineRule="exact"/>
        <w:rPr>
          <w:sz w:val="20"/>
          <w:szCs w:val="20"/>
          <w:color w:val="auto"/>
        </w:rPr>
      </w:pPr>
    </w:p>
    <w:p>
      <w:pPr>
        <w:ind w:left="480" w:right="2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80" w:right="40"/>
        <w:spacing w:after="0" w:line="259"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80" w:right="340"/>
        <w:spacing w:after="0" w:line="277" w:lineRule="auto"/>
        <w:rPr>
          <w:sz w:val="20"/>
          <w:szCs w:val="20"/>
          <w:color w:val="auto"/>
        </w:rPr>
      </w:pPr>
      <w:r>
        <w:rPr>
          <w:rFonts w:ascii="Arial" w:cs="Arial" w:eastAsia="Arial" w:hAnsi="Arial"/>
          <w:sz w:val="18"/>
          <w:szCs w:val="18"/>
          <w:color w:val="auto"/>
        </w:rPr>
        <w:t>of these loans. Adverse developments in either of these areas will have an adverse effect on the credit quality of this segment. For purposes of the allowance for loan losses, this segment also includes construction loans.</w:t>
      </w:r>
    </w:p>
    <w:p>
      <w:pPr>
        <w:spacing w:after="0" w:line="170" w:lineRule="exact"/>
        <w:rPr>
          <w:sz w:val="20"/>
          <w:szCs w:val="20"/>
          <w:color w:val="auto"/>
        </w:rPr>
      </w:pPr>
    </w:p>
    <w:p>
      <w:pPr>
        <w:jc w:val="both"/>
        <w:ind w:left="480" w:right="260"/>
        <w:spacing w:after="0" w:line="264"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480" w:right="22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80"/>
        <w:spacing w:after="0" w:line="290"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 and nonperforming loans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three and nine months ended March 31, 2015 or 2014.</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TDRs are individually reviewed for impairment.</w:t>
      </w:r>
    </w:p>
    <w:p>
      <w:pPr>
        <w:sectPr>
          <w:pgSz w:w="11900" w:h="16842" w:orient="portrait"/>
          <w:cols w:equalWidth="0" w:num="1">
            <w:col w:w="11400"/>
          </w:cols>
          <w:pgMar w:left="240" w:top="125" w:right="259" w:bottom="0" w:gutter="0" w:footer="0" w:header="0"/>
        </w:sectPr>
      </w:pPr>
    </w:p>
    <w:bookmarkStart w:id="9" w:name="page10"/>
    <w:bookmarkEnd w:id="9"/>
    <w:p>
      <w:pPr>
        <w:ind w:right="6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5"/>
              </w:rPr>
              <w:t>Three Months Ended March 31, 2015</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Purchased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5"/>
              </w:rPr>
              <w:t>Three Months Ended March 31, 2014</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Purchased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4"/>
              </w:rPr>
              <w:t>Nine Months Ended March 31, 2015</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Purchased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4"/>
              </w:rPr>
              <w:t>Nine Months Ended March 31, 2014</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Purchased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Residential</w:t>
            </w:r>
          </w:p>
        </w:tc>
        <w:tc>
          <w:tcPr>
            <w:tcW w:w="160" w:type="dxa"/>
            <w:vAlign w:val="bottom"/>
          </w:tcPr>
          <w:p>
            <w:pPr>
              <w:spacing w:after="0"/>
              <w:rPr>
                <w:sz w:val="10"/>
                <w:szCs w:val="10"/>
                <w:color w:val="auto"/>
              </w:rPr>
            </w:pPr>
          </w:p>
        </w:tc>
        <w:tc>
          <w:tcPr>
            <w:tcW w:w="12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Commercial</w:t>
            </w:r>
          </w:p>
        </w:tc>
        <w:tc>
          <w:tcPr>
            <w:tcW w:w="160" w:type="dxa"/>
            <w:vAlign w:val="bottom"/>
          </w:tcPr>
          <w:p>
            <w:pPr>
              <w:spacing w:after="0"/>
              <w:rPr>
                <w:sz w:val="10"/>
                <w:szCs w:val="10"/>
                <w:color w:val="auto"/>
              </w:rPr>
            </w:pPr>
          </w:p>
        </w:tc>
        <w:tc>
          <w:tcPr>
            <w:tcW w:w="13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Commercial</w:t>
            </w:r>
          </w:p>
        </w:tc>
        <w:tc>
          <w:tcPr>
            <w:tcW w:w="140" w:type="dxa"/>
            <w:vAlign w:val="bottom"/>
          </w:tcPr>
          <w:p>
            <w:pPr>
              <w:spacing w:after="0"/>
              <w:rPr>
                <w:sz w:val="10"/>
                <w:szCs w:val="10"/>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Consumer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Unallocated</w:t>
            </w:r>
          </w:p>
        </w:tc>
        <w:tc>
          <w:tcPr>
            <w:tcW w:w="12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Business</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5"/>
          </w:tcPr>
          <w:p>
            <w:pPr>
              <w:jc w:val="right"/>
              <w:ind w:righ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412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ASC 310-30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94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3,995</w:t>
            </w: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106,015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376,642</w:t>
            </w:r>
          </w:p>
        </w:tc>
        <w:tc>
          <w:tcPr>
            <w:tcW w:w="0" w:type="dxa"/>
            <w:vAlign w:val="bottom"/>
          </w:tcPr>
          <w:p>
            <w:pPr>
              <w:spacing w:after="0"/>
              <w:rPr>
                <w:sz w:val="1"/>
                <w:szCs w:val="1"/>
                <w:color w:val="auto"/>
              </w:rPr>
            </w:pPr>
          </w:p>
        </w:tc>
      </w:tr>
    </w:tbl>
    <w:p>
      <w:pPr>
        <w:sectPr>
          <w:pgSz w:w="11900" w:h="16838" w:orient="portrait"/>
          <w:cols w:equalWidth="0" w:num="1">
            <w:col w:w="11460"/>
          </w:cols>
          <w:pgMar w:left="240" w:top="341" w:right="199" w:bottom="0" w:gutter="0" w:footer="0" w:header="0"/>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ASC 310-30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187,845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187,845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134,635</w:t>
            </w:r>
          </w:p>
        </w:tc>
        <w:tc>
          <w:tcPr>
            <w:tcW w:w="200" w:type="dxa"/>
            <w:vAlign w:val="bottom"/>
            <w:tcBorders>
              <w:top w:val="single" w:sz="8" w:color="CCEEFF"/>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134,483</w:t>
            </w:r>
          </w:p>
        </w:tc>
        <w:tc>
          <w:tcPr>
            <w:tcW w:w="20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106,015</w:t>
            </w:r>
          </w:p>
        </w:tc>
        <w:tc>
          <w:tcPr>
            <w:tcW w:w="20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195,683</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$ 579,193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30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Commercial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2"/>
              </w:rPr>
              <w:t>Consumer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Unallocated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Real Estate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Real Estate</w:t>
            </w:r>
          </w:p>
        </w:tc>
        <w:tc>
          <w:tcPr>
            <w:tcW w:w="120" w:type="dxa"/>
            <w:vAlign w:val="bottom"/>
          </w:tcPr>
          <w:p>
            <w:pPr>
              <w:spacing w:after="0"/>
              <w:rPr>
                <w:sz w:val="14"/>
                <w:szCs w:val="14"/>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6"/>
              </w:rPr>
              <w:t>Business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7"/>
          </w:tcPr>
          <w:p>
            <w:pPr>
              <w:jc w:val="right"/>
              <w:ind w:righ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ASC 310-30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2,314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142,633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114,068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41,518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ASC 310-30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198,703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144,947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March 31, 2015</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10"/>
                <w:szCs w:val="10"/>
                <w:color w:val="auto"/>
              </w:rPr>
            </w:pPr>
          </w:p>
        </w:tc>
        <w:tc>
          <w:tcPr>
            <w:tcW w:w="11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Unpaid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Related</w:t>
            </w:r>
          </w:p>
        </w:tc>
        <w:tc>
          <w:tcPr>
            <w:tcW w:w="160" w:type="dxa"/>
            <w:vAlign w:val="bottom"/>
          </w:tcPr>
          <w:p>
            <w:pPr>
              <w:spacing w:after="0"/>
              <w:rPr>
                <w:sz w:val="10"/>
                <w:szCs w:val="10"/>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Related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Allowance</w:t>
            </w: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6,630</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8,703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4,148</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 a valuation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2,215</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ind w:left="520"/>
              <w:spacing w:after="0"/>
              <w:rPr>
                <w:sz w:val="20"/>
                <w:szCs w:val="20"/>
                <w:color w:val="auto"/>
              </w:rPr>
            </w:pPr>
            <w:r>
              <w:rPr>
                <w:rFonts w:ascii="Arial" w:cs="Arial" w:eastAsia="Arial" w:hAnsi="Arial"/>
                <w:sz w:val="18"/>
                <w:szCs w:val="18"/>
                <w:color w:val="auto"/>
              </w:rPr>
              <w:t>Total impaired loans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9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2015</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0"/>
                <w:szCs w:val="10"/>
                <w:color w:val="auto"/>
              </w:rPr>
            </w:pPr>
          </w:p>
        </w:tc>
        <w:tc>
          <w:tcPr>
            <w:tcW w:w="1080" w:type="dxa"/>
            <w:vAlign w:val="bottom"/>
          </w:tcPr>
          <w:p>
            <w:pPr>
              <w:jc w:val="center"/>
              <w:ind w:right="115"/>
              <w:spacing w:after="0" w:line="119" w:lineRule="exact"/>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Recognized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ind w:left="5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Originated: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3,532</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Originated: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1" w:name="page12"/>
    <w:bookmarkEnd w:id="11"/>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1,271</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1,925</w:t>
            </w:r>
          </w:p>
        </w:tc>
        <w:tc>
          <w:tcPr>
            <w:tcW w:w="6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3500" w:type="dxa"/>
            <w:vAlign w:val="bottom"/>
          </w:tcPr>
          <w:p>
            <w:pPr>
              <w:ind w:left="540"/>
              <w:spacing w:after="0"/>
              <w:rPr>
                <w:sz w:val="20"/>
                <w:szCs w:val="20"/>
                <w:color w:val="auto"/>
              </w:rPr>
            </w:pPr>
            <w:r>
              <w:rPr>
                <w:rFonts w:ascii="Arial" w:cs="Arial" w:eastAsia="Arial" w:hAnsi="Arial"/>
                <w:sz w:val="18"/>
                <w:szCs w:val="18"/>
                <w:color w:val="auto"/>
              </w:rPr>
              <w:t>Total impaired loans</w:t>
            </w:r>
          </w:p>
        </w:tc>
        <w:tc>
          <w:tcPr>
            <w:tcW w:w="1500" w:type="dxa"/>
            <w:vAlign w:val="bottom"/>
          </w:tcPr>
          <w:p>
            <w:pPr>
              <w:spacing w:after="0"/>
              <w:rPr>
                <w:sz w:val="18"/>
                <w:szCs w:val="18"/>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15,710</w:t>
            </w:r>
          </w:p>
        </w:tc>
        <w:tc>
          <w:tcPr>
            <w:tcW w:w="30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10,010</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95"/>
              </w:rPr>
              <w:t>Nine Months Ended March 31,</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2015</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15"/>
              <w:spacing w:after="0" w:line="119" w:lineRule="exact"/>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0"/>
                <w:szCs w:val="10"/>
                <w:color w:val="auto"/>
              </w:rPr>
            </w:pPr>
          </w:p>
        </w:tc>
        <w:tc>
          <w:tcPr>
            <w:tcW w:w="1100" w:type="dxa"/>
            <w:vAlign w:val="bottom"/>
          </w:tcPr>
          <w:p>
            <w:pPr>
              <w:jc w:val="center"/>
              <w:ind w:right="114"/>
              <w:spacing w:after="0" w:line="119" w:lineRule="exact"/>
              <w:rPr>
                <w:sz w:val="20"/>
                <w:szCs w:val="20"/>
                <w:color w:val="auto"/>
              </w:rPr>
            </w:pPr>
            <w:r>
              <w:rPr>
                <w:rFonts w:ascii="Arial" w:cs="Arial" w:eastAsia="Arial" w:hAnsi="Arial"/>
                <w:sz w:val="13"/>
                <w:szCs w:val="13"/>
                <w:b w:val="1"/>
                <w:bCs w:val="1"/>
                <w:color w:val="auto"/>
                <w:w w:val="97"/>
              </w:rPr>
              <w:t>Interest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Recognized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jc w:val="center"/>
              <w:ind w:right="6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Originated: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0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4,743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2,584</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Originated: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1,062</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ind w:left="520"/>
              <w:spacing w:after="0"/>
              <w:rPr>
                <w:sz w:val="20"/>
                <w:szCs w:val="20"/>
                <w:color w:val="auto"/>
              </w:rPr>
            </w:pPr>
            <w:r>
              <w:rPr>
                <w:rFonts w:ascii="Arial" w:cs="Arial" w:eastAsia="Arial" w:hAnsi="Arial"/>
                <w:sz w:val="18"/>
                <w:szCs w:val="18"/>
                <w:color w:val="auto"/>
              </w:rPr>
              <w:t>Total impaired loans</w:t>
            </w:r>
          </w:p>
        </w:tc>
        <w:tc>
          <w:tcPr>
            <w:tcW w:w="8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8,075</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7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business, and certain residential loans as follows: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ectPr>
          <w:pgSz w:w="11900" w:h="16892"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Loans rated 1- 6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rated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rated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rated 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Loans rated 10</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1680"/>
        <w:spacing w:after="0"/>
        <w:rPr>
          <w:sz w:val="20"/>
          <w:szCs w:val="20"/>
          <w:color w:val="auto"/>
        </w:rPr>
      </w:pPr>
      <w:r>
        <w:rPr>
          <w:rFonts w:ascii="Arial" w:cs="Arial" w:eastAsia="Arial" w:hAnsi="Arial"/>
          <w:sz w:val="14"/>
          <w:szCs w:val="14"/>
          <w:b w:val="1"/>
          <w:bCs w:val="1"/>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3395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jc w:val="center"/>
        <w:ind w:right="1680"/>
        <w:spacing w:after="0"/>
        <w:rPr>
          <w:sz w:val="20"/>
          <w:szCs w:val="20"/>
          <w:color w:val="auto"/>
        </w:rPr>
      </w:pPr>
      <w:r>
        <w:rPr>
          <w:rFonts w:ascii="Arial" w:cs="Arial" w:eastAsia="Arial" w:hAnsi="Arial"/>
          <w:sz w:val="14"/>
          <w:szCs w:val="14"/>
          <w:b w:val="1"/>
          <w:bCs w:val="1"/>
          <w:color w:val="auto"/>
        </w:rPr>
        <w:t>Originated Portfolio</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Residential(1)</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Purchased</w:t>
            </w: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Portfolio</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jc w:val="right"/>
              <w:ind w:right="80"/>
              <w:spacing w:after="0" w:line="128" w:lineRule="exact"/>
              <w:rPr>
                <w:sz w:val="20"/>
                <w:szCs w:val="20"/>
                <w:color w:val="auto"/>
              </w:rPr>
            </w:pPr>
            <w:r>
              <w:rPr>
                <w:rFonts w:ascii="Arial" w:cs="Arial" w:eastAsia="Arial" w:hAnsi="Arial"/>
                <w:sz w:val="14"/>
                <w:szCs w:val="14"/>
                <w:b w:val="1"/>
                <w:bCs w:val="1"/>
                <w:color w:val="auto"/>
                <w:w w:val="97"/>
              </w:rPr>
              <w:t>(Dollars in thousands)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128,268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105,852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9,676</w:t>
            </w:r>
          </w:p>
        </w:tc>
        <w:tc>
          <w:tcPr>
            <w:tcW w:w="22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183,897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427,693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4,412</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5,255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1,803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6,531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134,483</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195,683</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-857250</wp:posOffset>
            </wp:positionV>
            <wp:extent cx="627761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-582295</wp:posOffset>
            </wp:positionV>
            <wp:extent cx="627761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-307975</wp:posOffset>
            </wp:positionV>
            <wp:extent cx="627761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pacing w:after="0" w:line="193" w:lineRule="exact"/>
        <w:rPr>
          <w:sz w:val="20"/>
          <w:szCs w:val="20"/>
          <w:color w:val="auto"/>
        </w:rPr>
      </w:pPr>
    </w:p>
    <w:p>
      <w:pPr>
        <w:sectPr>
          <w:pgSz w:w="11900" w:h="16892" w:orient="portrait"/>
          <w:cols w:equalWidth="0" w:num="2">
            <w:col w:w="2220" w:space="720"/>
            <w:col w:w="8520"/>
          </w:cols>
          <w:pgMar w:left="240" w:top="140" w:right="199" w:bottom="0" w:gutter="0" w:footer="0" w:header="0"/>
          <w:type w:val="continuous"/>
        </w:sectPr>
      </w:pPr>
    </w:p>
    <w:p>
      <w:pPr>
        <w:jc w:val="center"/>
        <w:ind w:left="1300"/>
        <w:spacing w:after="0"/>
        <w:rPr>
          <w:sz w:val="20"/>
          <w:szCs w:val="20"/>
          <w:color w:val="auto"/>
        </w:rPr>
      </w:pPr>
      <w:r>
        <w:rPr>
          <w:rFonts w:ascii="Arial" w:cs="Arial" w:eastAsia="Arial" w:hAnsi="Arial"/>
          <w:sz w:val="14"/>
          <w:szCs w:val="14"/>
          <w:b w:val="1"/>
          <w:bCs w:val="1"/>
          <w:color w:val="auto"/>
        </w:rPr>
        <w:t>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6350</wp:posOffset>
            </wp:positionV>
            <wp:extent cx="4339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jc w:val="center"/>
        <w:ind w:left="1300"/>
        <w:spacing w:after="0"/>
        <w:rPr>
          <w:sz w:val="20"/>
          <w:szCs w:val="20"/>
          <w:color w:val="auto"/>
        </w:rPr>
      </w:pPr>
      <w:r>
        <w:rPr>
          <w:rFonts w:ascii="Arial" w:cs="Arial" w:eastAsia="Arial" w:hAnsi="Arial"/>
          <w:sz w:val="13"/>
          <w:szCs w:val="13"/>
          <w:b w:val="1"/>
          <w:bCs w:val="1"/>
          <w:color w:val="auto"/>
        </w:rPr>
        <w:t>Originated Portfolio</w:t>
      </w:r>
    </w:p>
    <w:p>
      <w:pPr>
        <w:spacing w:after="0" w:line="20" w:lineRule="exact"/>
        <w:rPr>
          <w:sz w:val="20"/>
          <w:szCs w:val="20"/>
          <w:color w:val="auto"/>
        </w:rPr>
      </w:pPr>
    </w:p>
    <w:p>
      <w:pPr>
        <w:sectPr>
          <w:pgSz w:w="11900" w:h="16892" w:orient="portrait"/>
          <w:cols w:equalWidth="0" w:num="1">
            <w:col w:w="11460"/>
          </w:cols>
          <w:pgMar w:left="240" w:top="140" w:right="19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26"/>
        </w:trPr>
        <w:tc>
          <w:tcPr>
            <w:tcW w:w="2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440"/>
              <w:spacing w:after="0" w:line="126" w:lineRule="exact"/>
              <w:rPr>
                <w:sz w:val="20"/>
                <w:szCs w:val="20"/>
                <w:color w:val="auto"/>
              </w:rPr>
            </w:pPr>
            <w:r>
              <w:rPr>
                <w:rFonts w:ascii="Arial" w:cs="Arial" w:eastAsia="Arial" w:hAnsi="Arial"/>
                <w:sz w:val="14"/>
                <w:szCs w:val="14"/>
                <w:b w:val="1"/>
                <w:bCs w:val="1"/>
                <w:color w:val="auto"/>
                <w:w w:val="94"/>
              </w:rPr>
              <w:t>Commercial</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4"/>
              </w:rPr>
              <w:t>Commercial</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Residential(1)</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540"/>
              <w:spacing w:after="0" w:line="126" w:lineRule="exact"/>
              <w:rPr>
                <w:sz w:val="20"/>
                <w:szCs w:val="20"/>
                <w:color w:val="auto"/>
              </w:rPr>
            </w:pPr>
            <w:r>
              <w:rPr>
                <w:rFonts w:ascii="Arial" w:cs="Arial" w:eastAsia="Arial" w:hAnsi="Arial"/>
                <w:sz w:val="14"/>
                <w:szCs w:val="14"/>
                <w:b w:val="1"/>
                <w:bCs w:val="1"/>
                <w:color w:val="auto"/>
                <w:w w:val="97"/>
              </w:rPr>
              <w:t>Purchased</w:t>
            </w: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Portfolio</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110,044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189,986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Loans rated 7</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4,880</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8,619</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Loans rated 9</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116,617</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203,450</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375,136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right="280" w:hanging="315"/>
        <w:spacing w:after="0" w:line="277" w:lineRule="auto"/>
        <w:tabs>
          <w:tab w:leader="none" w:pos="1627"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7"/>
              </w:rPr>
              <w:t>Nine Months Ended March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420" w:type="dxa"/>
            <w:vAlign w:val="bottom"/>
          </w:tcPr>
          <w:p>
            <w:pPr>
              <w:spacing w:after="0"/>
              <w:rPr>
                <w:sz w:val="12"/>
                <w:szCs w:val="12"/>
                <w:color w:val="auto"/>
              </w:rPr>
            </w:pPr>
          </w:p>
        </w:tc>
        <w:tc>
          <w:tcPr>
            <w:tcW w:w="1260" w:type="dxa"/>
            <w:vAlign w:val="bottom"/>
            <w:tcBorders>
              <w:bottom w:val="single" w:sz="8" w:color="auto"/>
            </w:tcBorders>
            <w:gridSpan w:val="4"/>
          </w:tcPr>
          <w:p>
            <w:pPr>
              <w:jc w:val="right"/>
              <w:ind w:right="7"/>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2420" w:type="dxa"/>
            <w:vAlign w:val="bottom"/>
          </w:tcPr>
          <w:p>
            <w:pPr>
              <w:spacing w:after="0"/>
              <w:rPr>
                <w:sz w:val="10"/>
                <w:szCs w:val="10"/>
                <w:color w:val="auto"/>
              </w:rPr>
            </w:pPr>
          </w:p>
        </w:tc>
        <w:tc>
          <w:tcPr>
            <w:tcW w:w="10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6"/>
              </w:rPr>
              <w:t>Recorded</w:t>
            </w:r>
          </w:p>
        </w:tc>
        <w:tc>
          <w:tcPr>
            <w:tcW w:w="220" w:type="dxa"/>
            <w:vAlign w:val="bottom"/>
          </w:tcPr>
          <w:p>
            <w:pPr>
              <w:spacing w:after="0"/>
              <w:rPr>
                <w:sz w:val="10"/>
                <w:szCs w:val="10"/>
                <w:color w:val="auto"/>
              </w:rPr>
            </w:pPr>
          </w:p>
        </w:tc>
        <w:tc>
          <w:tcPr>
            <w:tcW w:w="11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80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Recorded</w:t>
            </w:r>
          </w:p>
        </w:tc>
        <w:tc>
          <w:tcPr>
            <w:tcW w:w="240" w:type="dxa"/>
            <w:vAlign w:val="bottom"/>
          </w:tcPr>
          <w:p>
            <w:pPr>
              <w:spacing w:after="0"/>
              <w:rPr>
                <w:sz w:val="10"/>
                <w:szCs w:val="10"/>
                <w:color w:val="auto"/>
              </w:rPr>
            </w:pPr>
          </w:p>
        </w:tc>
        <w:tc>
          <w:tcPr>
            <w:tcW w:w="11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8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Recorded</w:t>
            </w:r>
          </w:p>
        </w:tc>
        <w:tc>
          <w:tcPr>
            <w:tcW w:w="220" w:type="dxa"/>
            <w:vAlign w:val="bottom"/>
          </w:tcPr>
          <w:p>
            <w:pPr>
              <w:spacing w:after="0"/>
              <w:rPr>
                <w:sz w:val="10"/>
                <w:szCs w:val="10"/>
                <w:color w:val="auto"/>
              </w:rPr>
            </w:pPr>
          </w:p>
        </w:tc>
        <w:tc>
          <w:tcPr>
            <w:tcW w:w="11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6"/>
              </w:rPr>
              <w:t>Recorded</w:t>
            </w:r>
          </w:p>
        </w:tc>
        <w:tc>
          <w:tcPr>
            <w:tcW w:w="100" w:type="dxa"/>
            <w:vAlign w:val="bottom"/>
          </w:tcPr>
          <w:p>
            <w:pPr>
              <w:spacing w:after="0"/>
              <w:rPr>
                <w:sz w:val="10"/>
                <w:szCs w:val="10"/>
                <w:color w:val="auto"/>
              </w:rPr>
            </w:pPr>
          </w:p>
        </w:tc>
      </w:tr>
      <w:tr>
        <w:trPr>
          <w:trHeight w:val="171"/>
        </w:trPr>
        <w:tc>
          <w:tcPr>
            <w:tcW w:w="24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Investment</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Investment</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Contracts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r>
      <w:tr>
        <w:trPr>
          <w:trHeight w:val="142"/>
        </w:trPr>
        <w:tc>
          <w:tcPr>
            <w:tcW w:w="2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Principal deferment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0"/>
        </w:trPr>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Three Months Ended 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297"/>
              <w:spacing w:after="0" w:line="129" w:lineRule="exact"/>
              <w:rPr>
                <w:sz w:val="20"/>
                <w:szCs w:val="20"/>
                <w:color w:val="auto"/>
              </w:rPr>
            </w:pPr>
            <w:r>
              <w:rPr>
                <w:rFonts w:ascii="Arial" w:cs="Arial" w:eastAsia="Arial" w:hAnsi="Arial"/>
                <w:sz w:val="13"/>
                <w:szCs w:val="13"/>
                <w:b w:val="1"/>
                <w:bCs w:val="1"/>
                <w:color w:val="auto"/>
              </w:rPr>
              <w:t>2015</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2014</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Recorded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3"/>
              </w:rPr>
              <w:t>Recorded</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tcPr>
          <w:p>
            <w:pPr>
              <w:jc w:val="center"/>
              <w:ind w:right="200"/>
              <w:spacing w:after="0" w:line="110" w:lineRule="exact"/>
              <w:rPr>
                <w:sz w:val="20"/>
                <w:szCs w:val="20"/>
                <w:color w:val="auto"/>
              </w:rPr>
            </w:pPr>
            <w:r>
              <w:rPr>
                <w:rFonts w:ascii="Arial" w:cs="Arial" w:eastAsia="Arial" w:hAnsi="Arial"/>
                <w:sz w:val="12"/>
                <w:szCs w:val="12"/>
                <w:b w:val="1"/>
                <w:bCs w:val="1"/>
                <w:color w:val="auto"/>
                <w:w w:val="93"/>
              </w:rPr>
              <w:t>Recorded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3"/>
              </w:rPr>
              <w:t>Recorded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tcPr>
          <w:p>
            <w:pPr>
              <w:jc w:val="center"/>
              <w:ind w:left="117"/>
              <w:spacing w:after="0" w:line="135" w:lineRule="exact"/>
              <w:rPr>
                <w:sz w:val="20"/>
                <w:szCs w:val="20"/>
                <w:color w:val="auto"/>
              </w:rPr>
            </w:pPr>
            <w:r>
              <w:rPr>
                <w:rFonts w:ascii="Arial" w:cs="Arial" w:eastAsia="Arial" w:hAnsi="Arial"/>
                <w:sz w:val="13"/>
                <w:szCs w:val="13"/>
                <w:b w:val="1"/>
                <w:bCs w:val="1"/>
                <w:color w:val="auto"/>
                <w:w w:val="89"/>
              </w:rPr>
              <w:t>Number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40" w:type="dxa"/>
            <w:vAlign w:val="bottom"/>
          </w:tcPr>
          <w:p>
            <w:pPr>
              <w:jc w:val="center"/>
              <w:ind w:left="117"/>
              <w:spacing w:after="0"/>
              <w:rPr>
                <w:sz w:val="20"/>
                <w:szCs w:val="20"/>
                <w:color w:val="auto"/>
              </w:rPr>
            </w:pPr>
            <w:r>
              <w:rPr>
                <w:rFonts w:ascii="Arial" w:cs="Arial" w:eastAsia="Arial" w:hAnsi="Arial"/>
                <w:sz w:val="13"/>
                <w:szCs w:val="13"/>
                <w:b w:val="1"/>
                <w:bCs w:val="1"/>
                <w:color w:val="auto"/>
                <w:w w:val="88"/>
              </w:rPr>
              <w:t>Contracts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Pre-Modification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7"/>
              </w:rPr>
              <w:t>Post-Modification</w:t>
            </w:r>
          </w:p>
        </w:tc>
        <w:tc>
          <w:tcPr>
            <w:tcW w:w="11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5"/>
              </w:rPr>
              <w:t>Contracts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0"/>
              </w:rPr>
              <w:t>Pre-Modification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Post-Modification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520" w:type="dxa"/>
            <w:vAlign w:val="bottom"/>
            <w:tcBorders>
              <w:top w:val="single" w:sz="8" w:color="auto"/>
            </w:tcBorders>
            <w:gridSpan w:val="7"/>
          </w:tcPr>
          <w:p>
            <w:pPr>
              <w:jc w:val="center"/>
              <w:spacing w:after="0" w:line="129" w:lineRule="exact"/>
              <w:rPr>
                <w:sz w:val="20"/>
                <w:szCs w:val="20"/>
                <w:color w:val="auto"/>
              </w:rPr>
            </w:pPr>
            <w:r>
              <w:rPr>
                <w:rFonts w:ascii="Arial" w:cs="Arial" w:eastAsia="Arial" w:hAnsi="Arial"/>
                <w:sz w:val="13"/>
                <w:szCs w:val="13"/>
                <w:b w:val="1"/>
                <w:bCs w:val="1"/>
                <w:color w:val="auto"/>
                <w:w w:val="87"/>
              </w:rPr>
              <w:t>(Dollars in thousands)</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Originated portfolio:</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Residential real estate</w:t>
            </w:r>
          </w:p>
        </w:tc>
        <w:tc>
          <w:tcPr>
            <w:tcW w:w="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231</w:t>
            </w:r>
          </w:p>
        </w:tc>
        <w:tc>
          <w:tcPr>
            <w:tcW w:w="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231</w:t>
            </w:r>
          </w:p>
        </w:tc>
        <w:tc>
          <w:tcPr>
            <w:tcW w:w="60" w:type="dxa"/>
            <w:vAlign w:val="bottom"/>
          </w:tcPr>
          <w:p>
            <w:pPr>
              <w:spacing w:after="0"/>
              <w:rPr>
                <w:sz w:val="11"/>
                <w:szCs w:val="11"/>
                <w:color w:val="auto"/>
              </w:rPr>
            </w:pPr>
          </w:p>
        </w:tc>
        <w:tc>
          <w:tcPr>
            <w:tcW w:w="11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164</w:t>
            </w:r>
          </w:p>
        </w:tc>
        <w:tc>
          <w:tcPr>
            <w:tcW w:w="2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Home equity</w:t>
            </w:r>
          </w:p>
        </w:tc>
        <w:tc>
          <w:tcPr>
            <w:tcW w:w="2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gridSpan w:val="4"/>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Commercial real estate</w:t>
            </w:r>
          </w:p>
        </w:tc>
        <w:tc>
          <w:tcPr>
            <w:tcW w:w="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141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Commercial business</w:t>
            </w:r>
          </w:p>
        </w:tc>
        <w:tc>
          <w:tcPr>
            <w:tcW w:w="2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gridSpan w:val="4"/>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Consumer</w:t>
            </w:r>
          </w:p>
        </w:tc>
        <w:tc>
          <w:tcPr>
            <w:tcW w:w="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36</w:t>
            </w:r>
          </w:p>
        </w:tc>
        <w:tc>
          <w:tcPr>
            <w:tcW w:w="60" w:type="dxa"/>
            <w:vAlign w:val="bottom"/>
          </w:tcPr>
          <w:p>
            <w:pPr>
              <w:spacing w:after="0"/>
              <w:rPr>
                <w:sz w:val="11"/>
                <w:szCs w:val="11"/>
                <w:color w:val="auto"/>
              </w:rPr>
            </w:pPr>
          </w:p>
        </w:tc>
        <w:tc>
          <w:tcPr>
            <w:tcW w:w="11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originated portfolio</w:t>
            </w: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267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267</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313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313</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Purchased portfolio:</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Residential real estate</w:t>
            </w:r>
          </w:p>
        </w:tc>
        <w:tc>
          <w:tcPr>
            <w:tcW w:w="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Commercial real estate</w:t>
            </w:r>
          </w:p>
        </w:tc>
        <w:tc>
          <w:tcPr>
            <w:tcW w:w="2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gridSpan w:val="4"/>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Total purchased portfolio</w:t>
            </w:r>
          </w:p>
        </w:tc>
        <w:tc>
          <w:tcPr>
            <w:tcW w:w="8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305</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Borders>
              <w:bottom w:val="single" w:sz="8" w:color="CCEEFF"/>
            </w:tcBorders>
            <w:shd w:val="clear" w:color="auto" w:fill="CCEEFF"/>
          </w:tcPr>
          <w:p>
            <w:pPr>
              <w:ind w:left="340"/>
              <w:spacing w:after="0" w:line="129" w:lineRule="exact"/>
              <w:rPr>
                <w:sz w:val="20"/>
                <w:szCs w:val="20"/>
                <w:color w:val="auto"/>
              </w:rPr>
            </w:pPr>
            <w:r>
              <w:rPr>
                <w:rFonts w:ascii="Arial" w:cs="Arial" w:eastAsia="Arial" w:hAnsi="Arial"/>
                <w:sz w:val="13"/>
                <w:szCs w:val="13"/>
                <w:color w:val="auto"/>
              </w:rPr>
              <w:t>Total</w:t>
            </w:r>
          </w:p>
        </w:tc>
        <w:tc>
          <w:tcPr>
            <w:tcW w:w="8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267</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267</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618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618</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89"/>
              </w:rPr>
              <w:t>Nine Months Ended March 31,</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2015</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297"/>
              <w:spacing w:after="0" w:line="129" w:lineRule="exact"/>
              <w:rPr>
                <w:sz w:val="20"/>
                <w:szCs w:val="20"/>
                <w:color w:val="auto"/>
              </w:rPr>
            </w:pPr>
            <w:r>
              <w:rPr>
                <w:rFonts w:ascii="Arial" w:cs="Arial" w:eastAsia="Arial" w:hAnsi="Arial"/>
                <w:sz w:val="13"/>
                <w:szCs w:val="13"/>
                <w:b w:val="1"/>
                <w:bCs w:val="1"/>
                <w:color w:val="auto"/>
              </w:rPr>
              <w:t>2014</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tcPr>
          <w:p>
            <w:pPr>
              <w:jc w:val="center"/>
              <w:ind w:right="260"/>
              <w:spacing w:after="0" w:line="110" w:lineRule="exact"/>
              <w:rPr>
                <w:sz w:val="20"/>
                <w:szCs w:val="20"/>
                <w:color w:val="auto"/>
              </w:rPr>
            </w:pPr>
            <w:r>
              <w:rPr>
                <w:rFonts w:ascii="Arial" w:cs="Arial" w:eastAsia="Arial" w:hAnsi="Arial"/>
                <w:sz w:val="12"/>
                <w:szCs w:val="12"/>
                <w:b w:val="1"/>
                <w:bCs w:val="1"/>
                <w:color w:val="auto"/>
                <w:w w:val="93"/>
              </w:rPr>
              <w:t>Recorded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3"/>
              </w:rPr>
              <w:t>Recorded</w:t>
            </w:r>
          </w:p>
        </w:tc>
        <w:tc>
          <w:tcPr>
            <w:tcW w:w="2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tcPr>
          <w:p>
            <w:pPr>
              <w:jc w:val="center"/>
              <w:ind w:right="280"/>
              <w:spacing w:after="0" w:line="110" w:lineRule="exact"/>
              <w:rPr>
                <w:sz w:val="20"/>
                <w:szCs w:val="20"/>
                <w:color w:val="auto"/>
              </w:rPr>
            </w:pPr>
            <w:r>
              <w:rPr>
                <w:rFonts w:ascii="Arial" w:cs="Arial" w:eastAsia="Arial" w:hAnsi="Arial"/>
                <w:sz w:val="12"/>
                <w:szCs w:val="12"/>
                <w:b w:val="1"/>
                <w:bCs w:val="1"/>
                <w:color w:val="auto"/>
                <w:w w:val="93"/>
              </w:rPr>
              <w:t>Recorded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jc w:val="center"/>
              <w:ind w:right="77"/>
              <w:spacing w:after="0" w:line="110" w:lineRule="exact"/>
              <w:rPr>
                <w:sz w:val="20"/>
                <w:szCs w:val="20"/>
                <w:color w:val="auto"/>
              </w:rPr>
            </w:pPr>
            <w:r>
              <w:rPr>
                <w:rFonts w:ascii="Arial" w:cs="Arial" w:eastAsia="Arial" w:hAnsi="Arial"/>
                <w:sz w:val="12"/>
                <w:szCs w:val="12"/>
                <w:b w:val="1"/>
                <w:bCs w:val="1"/>
                <w:color w:val="auto"/>
                <w:w w:val="93"/>
              </w:rPr>
              <w:t>Recorded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tcPr>
          <w:p>
            <w:pPr>
              <w:jc w:val="center"/>
              <w:ind w:left="117"/>
              <w:spacing w:after="0" w:line="135" w:lineRule="exact"/>
              <w:rPr>
                <w:sz w:val="20"/>
                <w:szCs w:val="20"/>
                <w:color w:val="auto"/>
              </w:rPr>
            </w:pPr>
            <w:r>
              <w:rPr>
                <w:rFonts w:ascii="Arial" w:cs="Arial" w:eastAsia="Arial" w:hAnsi="Arial"/>
                <w:sz w:val="13"/>
                <w:szCs w:val="13"/>
                <w:b w:val="1"/>
                <w:bCs w:val="1"/>
                <w:color w:val="auto"/>
                <w:w w:val="89"/>
              </w:rPr>
              <w:t>Number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tcPr>
          <w:p>
            <w:pPr>
              <w:jc w:val="center"/>
              <w:ind w:right="38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40" w:type="dxa"/>
            <w:vAlign w:val="bottom"/>
          </w:tcPr>
          <w:p>
            <w:pPr>
              <w:jc w:val="center"/>
              <w:ind w:left="117"/>
              <w:spacing w:after="0"/>
              <w:rPr>
                <w:sz w:val="20"/>
                <w:szCs w:val="20"/>
                <w:color w:val="auto"/>
              </w:rPr>
            </w:pPr>
            <w:r>
              <w:rPr>
                <w:rFonts w:ascii="Arial" w:cs="Arial" w:eastAsia="Arial" w:hAnsi="Arial"/>
                <w:sz w:val="13"/>
                <w:szCs w:val="13"/>
                <w:b w:val="1"/>
                <w:bCs w:val="1"/>
                <w:color w:val="auto"/>
                <w:w w:val="88"/>
              </w:rPr>
              <w:t>Contracts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0"/>
              </w:rPr>
              <w:t>Pre-Modification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87"/>
              </w:rPr>
              <w:t>Post-Modification</w:t>
            </w:r>
          </w:p>
        </w:tc>
        <w:tc>
          <w:tcPr>
            <w:tcW w:w="11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Contracts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0"/>
              </w:rPr>
              <w:t>Pre-Modification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Post-Modification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520" w:type="dxa"/>
            <w:vAlign w:val="bottom"/>
            <w:tcBorders>
              <w:top w:val="single" w:sz="8" w:color="auto"/>
            </w:tcBorders>
            <w:gridSpan w:val="7"/>
          </w:tcPr>
          <w:p>
            <w:pPr>
              <w:jc w:val="center"/>
              <w:spacing w:after="0" w:line="129" w:lineRule="exact"/>
              <w:rPr>
                <w:sz w:val="20"/>
                <w:szCs w:val="20"/>
                <w:color w:val="auto"/>
              </w:rPr>
            </w:pPr>
            <w:r>
              <w:rPr>
                <w:rFonts w:ascii="Arial" w:cs="Arial" w:eastAsia="Arial" w:hAnsi="Arial"/>
                <w:sz w:val="13"/>
                <w:szCs w:val="13"/>
                <w:b w:val="1"/>
                <w:bCs w:val="1"/>
                <w:color w:val="auto"/>
                <w:w w:val="87"/>
              </w:rPr>
              <w:t>(Dollars in thousands)</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Originated portfolio:</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Residential real estate</w:t>
            </w:r>
          </w:p>
        </w:tc>
        <w:tc>
          <w:tcPr>
            <w:tcW w:w="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w:t>
            </w:r>
          </w:p>
        </w:tc>
        <w:tc>
          <w:tcPr>
            <w:tcW w:w="240" w:type="dxa"/>
            <w:vAlign w:val="bottom"/>
            <w:gridSpan w:val="3"/>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1120" w:type="dxa"/>
            <w:vAlign w:val="bottom"/>
          </w:tcPr>
          <w:p>
            <w:pPr>
              <w:jc w:val="right"/>
              <w:spacing w:after="0" w:line="135" w:lineRule="exact"/>
              <w:rPr>
                <w:sz w:val="20"/>
                <w:szCs w:val="20"/>
                <w:color w:val="auto"/>
              </w:rPr>
            </w:pPr>
            <w:r>
              <w:rPr>
                <w:rFonts w:ascii="Arial" w:cs="Arial" w:eastAsia="Arial" w:hAnsi="Arial"/>
                <w:sz w:val="13"/>
                <w:szCs w:val="13"/>
                <w:color w:val="auto"/>
              </w:rPr>
              <w:t>1,164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gridSpan w:val="3"/>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1,164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w:t>
            </w:r>
          </w:p>
        </w:tc>
        <w:tc>
          <w:tcPr>
            <w:tcW w:w="60" w:type="dxa"/>
            <w:vAlign w:val="bottom"/>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164</w:t>
            </w:r>
          </w:p>
        </w:tc>
        <w:tc>
          <w:tcPr>
            <w:tcW w:w="80" w:type="dxa"/>
            <w:vAlign w:val="bottom"/>
          </w:tcPr>
          <w:p>
            <w:pPr>
              <w:spacing w:after="0"/>
              <w:rPr>
                <w:sz w:val="11"/>
                <w:szCs w:val="11"/>
                <w:color w:val="auto"/>
              </w:rPr>
            </w:pPr>
          </w:p>
        </w:tc>
        <w:tc>
          <w:tcPr>
            <w:tcW w:w="220" w:type="dxa"/>
            <w:vAlign w:val="bottom"/>
            <w:gridSpan w:val="3"/>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Home equity</w:t>
            </w:r>
          </w:p>
        </w:tc>
        <w:tc>
          <w:tcPr>
            <w:tcW w:w="2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gridSpan w:val="4"/>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Commercial real estate</w:t>
            </w:r>
          </w:p>
        </w:tc>
        <w:tc>
          <w:tcPr>
            <w:tcW w:w="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Commercial business</w:t>
            </w:r>
          </w:p>
        </w:tc>
        <w:tc>
          <w:tcPr>
            <w:tcW w:w="2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gridSpan w:val="4"/>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Consumer</w:t>
            </w:r>
          </w:p>
        </w:tc>
        <w:tc>
          <w:tcPr>
            <w:tcW w:w="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originated portfolio</w:t>
            </w: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1,434</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1,434</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16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Purchased portfolio:</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Residential real estate</w:t>
            </w:r>
          </w:p>
        </w:tc>
        <w:tc>
          <w:tcPr>
            <w:tcW w:w="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Commercial real estate</w:t>
            </w:r>
          </w:p>
        </w:tc>
        <w:tc>
          <w:tcPr>
            <w:tcW w:w="2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356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1,990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Total purchased portfolio</w:t>
            </w:r>
          </w:p>
        </w:tc>
        <w:tc>
          <w:tcPr>
            <w:tcW w:w="8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356</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356</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1,990</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2,029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Borders>
              <w:bottom w:val="single" w:sz="8" w:color="CCEEFF"/>
            </w:tcBorders>
            <w:shd w:val="clear" w:color="auto" w:fill="CCEEFF"/>
          </w:tcPr>
          <w:p>
            <w:pPr>
              <w:ind w:left="340"/>
              <w:spacing w:after="0" w:line="129" w:lineRule="exact"/>
              <w:rPr>
                <w:sz w:val="20"/>
                <w:szCs w:val="20"/>
                <w:color w:val="auto"/>
              </w:rPr>
            </w:pPr>
            <w:r>
              <w:rPr>
                <w:rFonts w:ascii="Arial" w:cs="Arial" w:eastAsia="Arial" w:hAnsi="Arial"/>
                <w:sz w:val="13"/>
                <w:szCs w:val="13"/>
                <w:color w:val="auto"/>
              </w:rPr>
              <w:t>Total</w:t>
            </w:r>
          </w:p>
        </w:tc>
        <w:tc>
          <w:tcPr>
            <w:tcW w:w="8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1,790</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1,790</w:t>
            </w: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2,779</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2,818</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considers TDRs past due 90 days or more to be in payment default. Three loans modified in a TDR in the last twelve months defaulted during the nine months ended March 31, 2015; the recorded investment of such loans was $82 thousand. No loans modified in a TDR in the last twelve months defaulted during the three months ended March 31, 2015. As of March 31, 2015, there were no further commitments to lend associated with loans modified in a TDR.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ectPr>
          <w:pgSz w:w="11900" w:h="16838" w:orient="portrait"/>
          <w:cols w:equalWidth="0" w:num="1">
            <w:col w:w="11420"/>
          </w:cols>
          <w:pgMar w:left="240" w:top="120" w:right="239" w:bottom="0" w:gutter="0" w:footer="0" w:header="0"/>
        </w:sectPr>
      </w:pPr>
    </w:p>
    <w:bookmarkStart w:id="13" w:name="page14"/>
    <w:bookmarkEnd w:id="13"/>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loans accounted for under ASC 310-30 that were acquired by the Company during the period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Pr>
          <w:p>
            <w:pPr>
              <w:spacing w:after="0"/>
              <w:rPr>
                <w:sz w:val="14"/>
                <w:szCs w:val="14"/>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2015</w:t>
            </w:r>
          </w:p>
        </w:tc>
      </w:tr>
      <w:tr>
        <w:trPr>
          <w:trHeight w:val="142"/>
        </w:trPr>
        <w:tc>
          <w:tcPr>
            <w:tcW w:w="4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gridSpan w:val="4"/>
          </w:tcPr>
          <w:p>
            <w:pPr>
              <w:jc w:val="right"/>
              <w:ind w:right="119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96,482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(1,956)</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Accretable yield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(3,622)</w:t>
            </w:r>
          </w:p>
        </w:tc>
        <w:tc>
          <w:tcPr>
            <w:tcW w:w="2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(36,987)</w:t>
            </w:r>
          </w:p>
        </w:tc>
      </w:tr>
      <w:tr>
        <w:trPr>
          <w:trHeight w:val="210"/>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Certain of the loans accounted for under ASC 310-30 that were acquired by the Company are not accounted for using the income recognition model because the Company cannot reasonably estimate cash flows expected to be collected. The carrying amounts of such loans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tcPr>
          <w:p>
            <w:pPr>
              <w:jc w:val="center"/>
              <w:ind w:right="442"/>
              <w:spacing w:after="0"/>
              <w:rPr>
                <w:sz w:val="20"/>
                <w:szCs w:val="20"/>
                <w:color w:val="auto"/>
              </w:rPr>
            </w:pPr>
            <w:r>
              <w:rPr>
                <w:rFonts w:ascii="Arial" w:cs="Arial" w:eastAsia="Arial" w:hAnsi="Arial"/>
                <w:sz w:val="14"/>
                <w:szCs w:val="14"/>
                <w:b w:val="1"/>
                <w:bCs w:val="1"/>
                <w:color w:val="auto"/>
                <w:w w:val="92"/>
              </w:rPr>
              <w:t>As of and for the Three</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As of and for the Nine</w:t>
            </w:r>
          </w:p>
        </w:tc>
      </w:tr>
      <w:tr>
        <w:trPr>
          <w:trHeight w:val="149"/>
        </w:trPr>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tcPr>
          <w:p>
            <w:pPr>
              <w:jc w:val="center"/>
              <w:ind w:right="462"/>
              <w:spacing w:after="0" w:line="149" w:lineRule="exact"/>
              <w:rPr>
                <w:sz w:val="20"/>
                <w:szCs w:val="20"/>
                <w:color w:val="auto"/>
              </w:rPr>
            </w:pPr>
            <w:r>
              <w:rPr>
                <w:rFonts w:ascii="Arial" w:cs="Arial" w:eastAsia="Arial" w:hAnsi="Arial"/>
                <w:sz w:val="14"/>
                <w:szCs w:val="14"/>
                <w:b w:val="1"/>
                <w:bCs w:val="1"/>
                <w:color w:val="auto"/>
                <w:w w:val="96"/>
              </w:rPr>
              <w:t>Months Ended March</w:t>
            </w: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Months Ended March</w:t>
            </w:r>
          </w:p>
        </w:tc>
      </w:tr>
      <w:tr>
        <w:trPr>
          <w:trHeight w:val="171"/>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right="442"/>
              <w:spacing w:after="0"/>
              <w:rPr>
                <w:sz w:val="20"/>
                <w:szCs w:val="20"/>
                <w:color w:val="auto"/>
              </w:rPr>
            </w:pPr>
            <w:r>
              <w:rPr>
                <w:rFonts w:ascii="Arial" w:cs="Arial" w:eastAsia="Arial" w:hAnsi="Arial"/>
                <w:sz w:val="14"/>
                <w:szCs w:val="14"/>
                <w:b w:val="1"/>
                <w:bCs w:val="1"/>
                <w:color w:val="auto"/>
                <w:w w:val="91"/>
              </w:rPr>
              <w:t>31, 2015</w:t>
            </w:r>
          </w:p>
        </w:tc>
        <w:tc>
          <w:tcPr>
            <w:tcW w:w="16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5"/>
              </w:rPr>
              <w:t>31, 2015</w:t>
            </w:r>
          </w:p>
        </w:tc>
        <w:tc>
          <w:tcPr>
            <w:tcW w:w="12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2"/>
          </w:tcPr>
          <w:p>
            <w:pPr>
              <w:jc w:val="right"/>
              <w:ind w:right="122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Loans at end of period</w:t>
            </w:r>
          </w:p>
        </w:tc>
        <w:tc>
          <w:tcPr>
            <w:tcW w:w="200" w:type="dxa"/>
            <w:vAlign w:val="bottom"/>
          </w:tcPr>
          <w:p>
            <w:pPr>
              <w:spacing w:after="0"/>
              <w:rPr>
                <w:sz w:val="20"/>
                <w:szCs w:val="20"/>
                <w:color w:val="auto"/>
              </w:rPr>
            </w:pPr>
          </w:p>
        </w:tc>
        <w:tc>
          <w:tcPr>
            <w:tcW w:w="2140" w:type="dxa"/>
            <w:vAlign w:val="bottom"/>
          </w:tcPr>
          <w:p>
            <w:pPr>
              <w:jc w:val="right"/>
              <w:ind w:right="262"/>
              <w:spacing w:after="0"/>
              <w:rPr>
                <w:sz w:val="20"/>
                <w:szCs w:val="20"/>
                <w:color w:val="auto"/>
              </w:rPr>
            </w:pPr>
            <w:r>
              <w:rPr>
                <w:rFonts w:ascii="Arial" w:cs="Arial" w:eastAsia="Arial" w:hAnsi="Arial"/>
                <w:sz w:val="18"/>
                <w:szCs w:val="18"/>
                <w:color w:val="auto"/>
              </w:rPr>
              <w:t>5,503</w:t>
            </w:r>
          </w:p>
        </w:tc>
        <w:tc>
          <w:tcPr>
            <w:tcW w:w="1620" w:type="dxa"/>
            <w:vAlign w:val="bottom"/>
          </w:tcPr>
          <w:p>
            <w:pPr>
              <w:jc w:val="right"/>
              <w:spacing w:after="0"/>
              <w:rPr>
                <w:sz w:val="20"/>
                <w:szCs w:val="20"/>
                <w:color w:val="auto"/>
              </w:rPr>
            </w:pPr>
            <w:r>
              <w:rPr>
                <w:rFonts w:ascii="Arial" w:cs="Arial" w:eastAsia="Arial" w:hAnsi="Arial"/>
                <w:sz w:val="18"/>
                <w:szCs w:val="18"/>
                <w:color w:val="auto"/>
              </w:rPr>
              <w:t>5,503</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the accretable yield for loans accounted for under ASC 310-30.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4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March 31, 2015</w:t>
            </w:r>
          </w:p>
        </w:tc>
      </w:tr>
      <w:tr>
        <w:trPr>
          <w:trHeight w:val="142"/>
        </w:trPr>
        <w:tc>
          <w:tcPr>
            <w:tcW w:w="4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700" w:type="dxa"/>
            <w:vAlign w:val="bottom"/>
            <w:tcBorders>
              <w:top w:val="single" w:sz="8" w:color="auto"/>
            </w:tcBorders>
            <w:gridSpan w:val="5"/>
          </w:tcPr>
          <w:p>
            <w:pPr>
              <w:jc w:val="right"/>
              <w:ind w:right="119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gridSpan w:val="2"/>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123,275</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109,040</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Acquisitions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3,622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36,987</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(12,943)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Reclassifications to accretable yield</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(18,747)</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End balance</w:t>
            </w:r>
          </w:p>
        </w:tc>
        <w:tc>
          <w:tcPr>
            <w:tcW w:w="18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114,409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114,409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2014</w:t>
            </w: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4"/>
          </w:tcPr>
          <w:p>
            <w:pPr>
              <w:jc w:val="right"/>
              <w:ind w:right="73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231,557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239,376</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Carrying amount</w:t>
            </w:r>
          </w:p>
        </w:tc>
        <w:tc>
          <w:tcPr>
            <w:tcW w:w="17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193,072</w:t>
            </w:r>
          </w:p>
        </w:tc>
        <w:tc>
          <w:tcPr>
            <w:tcW w:w="2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201,171</w:t>
            </w:r>
          </w:p>
        </w:tc>
        <w:tc>
          <w:tcPr>
            <w:tcW w:w="100" w:type="dxa"/>
            <w:vAlign w:val="bottom"/>
            <w:vMerge w:val="continue"/>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737"/>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4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23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80" w:type="dxa"/>
            <w:vAlign w:val="bottom"/>
            <w:gridSpan w:val="12"/>
          </w:tcPr>
          <w:p>
            <w:pPr>
              <w:jc w:val="right"/>
              <w:ind w:right="672"/>
              <w:spacing w:after="0"/>
              <w:rPr>
                <w:sz w:val="20"/>
                <w:szCs w:val="20"/>
                <w:color w:val="auto"/>
              </w:rPr>
            </w:pPr>
            <w:r>
              <w:rPr>
                <w:rFonts w:ascii="Arial" w:cs="Arial" w:eastAsia="Arial" w:hAnsi="Arial"/>
                <w:sz w:val="14"/>
                <w:szCs w:val="14"/>
                <w:b w:val="1"/>
                <w:bCs w:val="1"/>
                <w:color w:val="auto"/>
              </w:rPr>
              <w:t>(Dollars in thousands, except share and per share data)</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9,833,033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10,432,494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10,049,983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10,435,300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w w:val="98"/>
              </w:rPr>
              <w:t>Incremental shares from assumed exercise of dilutive securities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9,833,033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10,432,494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10,049,983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10,435,300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8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4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For the three and nine months ended March 31, 2015, the following stock options and warrants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ectPr>
          <w:pgSz w:w="11900" w:h="16900" w:orient="portrait"/>
          <w:cols w:equalWidth="0" w:num="1">
            <w:col w:w="11460"/>
          </w:cols>
          <w:pgMar w:left="240" w:top="125" w:right="199" w:bottom="0" w:gutter="0" w:footer="0" w:header="0"/>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328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 March 31,</w:t>
            </w:r>
          </w:p>
        </w:tc>
        <w:tc>
          <w:tcPr>
            <w:tcW w:w="3120" w:type="dxa"/>
            <w:vAlign w:val="bottom"/>
            <w:gridSpan w:val="4"/>
          </w:tcPr>
          <w:p>
            <w:pPr>
              <w:ind w:left="560"/>
              <w:spacing w:after="0"/>
              <w:rPr>
                <w:sz w:val="20"/>
                <w:szCs w:val="20"/>
                <w:color w:val="auto"/>
              </w:rPr>
            </w:pPr>
            <w:r>
              <w:rPr>
                <w:rFonts w:ascii="Arial" w:cs="Arial" w:eastAsia="Arial" w:hAnsi="Arial"/>
                <w:sz w:val="14"/>
                <w:szCs w:val="14"/>
                <w:b w:val="1"/>
                <w:bCs w:val="1"/>
                <w:color w:val="auto"/>
              </w:rPr>
              <w:t>Nine Months Ended March 31,</w:t>
            </w:r>
          </w:p>
        </w:tc>
      </w:tr>
      <w:tr>
        <w:trPr>
          <w:trHeight w:val="142"/>
        </w:trPr>
        <w:tc>
          <w:tcPr>
            <w:tcW w:w="1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77"/>
        </w:trPr>
        <w:tc>
          <w:tcPr>
            <w:tcW w:w="19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460"/>
          </w:cols>
          <w:pgMar w:left="240" w:top="125" w:right="199" w:bottom="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1,039,721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1,143,329</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1,059,721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1,148,777</w:t>
            </w:r>
          </w:p>
        </w:tc>
        <w:tc>
          <w:tcPr>
            <w:tcW w:w="310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Warrants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100" w:type="dxa"/>
            <w:vAlign w:val="bottom"/>
          </w:tcPr>
          <w:p>
            <w:pPr>
              <w:spacing w:after="0"/>
              <w:rPr>
                <w:sz w:val="18"/>
                <w:szCs w:val="18"/>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1,143,329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1,059,721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ind w:right="73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42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w:t>
      </w:r>
      <w:r>
        <w:rPr>
          <w:rFonts w:ascii="Arial" w:cs="Arial" w:eastAsia="Arial" w:hAnsi="Arial"/>
          <w:sz w:val="18"/>
          <w:szCs w:val="18"/>
          <w:color w:val="auto"/>
        </w:rPr>
        <w:t>- There were no transfers of assets and liabilities measured at fair value on a recurring or nonrecurring basis during the current period</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160"/>
        <w:spacing w:after="0" w:line="27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The valuation of the Company’s interest rate swaps and caps are determined using widely accepted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73" w:lineRule="exact"/>
        <w:rPr>
          <w:sz w:val="20"/>
          <w:szCs w:val="20"/>
          <w:color w:val="auto"/>
        </w:rPr>
      </w:pPr>
    </w:p>
    <w:p>
      <w:pPr>
        <w:jc w:val="both"/>
        <w:ind w:left="500" w:right="3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500" w:right="240"/>
        <w:spacing w:after="0" w:line="342" w:lineRule="auto"/>
        <w:rPr>
          <w:sz w:val="20"/>
          <w:szCs w:val="20"/>
          <w:color w:val="auto"/>
        </w:rPr>
      </w:pPr>
      <w:r>
        <w:rPr>
          <w:rFonts w:ascii="Arial" w:cs="Arial" w:eastAsia="Arial" w:hAnsi="Arial"/>
          <w:sz w:val="16"/>
          <w:szCs w:val="16"/>
          <w:i w:val="1"/>
          <w:iCs w:val="1"/>
          <w:color w:val="auto"/>
        </w:rPr>
        <w:t>Collateral Dependent Impaired Loans</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right="4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ectPr>
          <w:pgSz w:w="11900" w:h="16838" w:orient="portrait"/>
          <w:cols w:equalWidth="0" w:num="1">
            <w:col w:w="11460"/>
          </w:cols>
          <w:pgMar w:left="240" w:top="140" w:right="199" w:bottom="194" w:gutter="0" w:footer="0" w:header="0"/>
        </w:sectPr>
      </w:pPr>
    </w:p>
    <w:bookmarkStart w:id="15" w:name="page16"/>
    <w:bookmarkEnd w:id="15"/>
    <w:p>
      <w:pPr>
        <w:ind w:left="500" w:right="1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FHLB overnight deposits approximates their relative</w:t>
      </w:r>
      <w:r>
        <w:rPr>
          <w:rFonts w:ascii="Arial" w:cs="Arial" w:eastAsia="Arial" w:hAnsi="Arial"/>
          <w:sz w:val="18"/>
          <w:szCs w:val="18"/>
          <w:i w:val="1"/>
          <w:iCs w:val="1"/>
          <w:color w:val="auto"/>
        </w:rPr>
        <w:t xml:space="preserve"> </w:t>
      </w:r>
      <w:r>
        <w:rPr>
          <w:rFonts w:ascii="Arial" w:cs="Arial" w:eastAsia="Arial" w:hAnsi="Arial"/>
          <w:sz w:val="18"/>
          <w:szCs w:val="18"/>
          <w:color w:val="auto"/>
        </w:rPr>
        <w:t>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 stock </w:t>
      </w:r>
      <w:r>
        <w:rPr>
          <w:rFonts w:ascii="Arial" w:cs="Arial" w:eastAsia="Arial" w:hAnsi="Arial"/>
          <w:sz w:val="18"/>
          <w:szCs w:val="18"/>
          <w:color w:val="auto"/>
        </w:rPr>
        <w:t>- The carrying value of FHLB stock approximates fair value based on redemption provisions of the FHLB.</w:t>
      </w:r>
    </w:p>
    <w:p>
      <w:pPr>
        <w:spacing w:after="0" w:line="225" w:lineRule="exact"/>
        <w:rPr>
          <w:sz w:val="20"/>
          <w:szCs w:val="20"/>
          <w:color w:val="auto"/>
        </w:rPr>
      </w:pPr>
    </w:p>
    <w:p>
      <w:pPr>
        <w:ind w:left="500" w:right="480"/>
        <w:spacing w:after="0" w:line="302" w:lineRule="auto"/>
        <w:rPr>
          <w:sz w:val="20"/>
          <w:szCs w:val="20"/>
          <w:color w:val="auto"/>
        </w:rPr>
      </w:pPr>
      <w:r>
        <w:rPr>
          <w:rFonts w:ascii="Arial" w:cs="Arial" w:eastAsia="Arial" w:hAnsi="Arial"/>
          <w:sz w:val="16"/>
          <w:szCs w:val="16"/>
          <w:i w:val="1"/>
          <w:iCs w:val="1"/>
          <w:color w:val="auto"/>
        </w:rPr>
        <w:t>Loans</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right="4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w:t>
      </w:r>
    </w:p>
    <w:p>
      <w:pPr>
        <w:spacing w:after="0" w:line="181" w:lineRule="exact"/>
        <w:rPr>
          <w:sz w:val="20"/>
          <w:szCs w:val="20"/>
          <w:color w:val="auto"/>
        </w:rPr>
      </w:pPr>
    </w:p>
    <w:p>
      <w:pPr>
        <w:ind w:left="500" w:right="100" w:firstLine="9"/>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ind w:left="500" w:right="220"/>
        <w:spacing w:after="0" w:line="259"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 The fair value of the Company’s borrowings with the FHLB is estimated by discounting the cash flows through maturity or the next 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87" w:lineRule="exact"/>
        <w:rPr>
          <w:sz w:val="20"/>
          <w:szCs w:val="20"/>
          <w:color w:val="auto"/>
        </w:rPr>
      </w:pPr>
    </w:p>
    <w:p>
      <w:pPr>
        <w:ind w:left="500" w:right="32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2015</w:t>
            </w: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48,283</w:t>
            </w:r>
          </w:p>
        </w:tc>
        <w:tc>
          <w:tcPr>
            <w:tcW w:w="11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48,283</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57,240</w:t>
            </w:r>
          </w:p>
        </w:tc>
        <w:tc>
          <w:tcPr>
            <w:tcW w:w="11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57,240</w:t>
            </w:r>
          </w:p>
        </w:tc>
        <w:tc>
          <w:tcPr>
            <w:tcW w:w="42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212</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212</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swaps</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1,873</w:t>
            </w:r>
          </w:p>
        </w:tc>
        <w:tc>
          <w:tcPr>
            <w:tcW w:w="11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1,873</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2014</w:t>
            </w: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48,418</w:t>
            </w:r>
          </w:p>
        </w:tc>
        <w:tc>
          <w:tcPr>
            <w:tcW w:w="11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48,418</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65,463</w:t>
            </w:r>
          </w:p>
        </w:tc>
        <w:tc>
          <w:tcPr>
            <w:tcW w:w="110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65,463</w:t>
            </w:r>
          </w:p>
        </w:tc>
        <w:tc>
          <w:tcPr>
            <w:tcW w:w="42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714</w:t>
            </w:r>
          </w:p>
        </w:tc>
        <w:tc>
          <w:tcPr>
            <w:tcW w:w="11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714</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11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1,131</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w:t>
            </w:r>
          </w:p>
        </w:tc>
        <w:tc>
          <w:tcPr>
            <w:tcW w:w="4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w w:val="98"/>
              </w:rPr>
              <w:t>Real estate owned and other repossessed collateral</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3,694</w:t>
            </w:r>
          </w:p>
        </w:tc>
        <w:tc>
          <w:tcPr>
            <w:tcW w:w="440" w:type="dxa"/>
            <w:vAlign w:val="bottom"/>
          </w:tcPr>
          <w:p>
            <w:pPr>
              <w:spacing w:after="0"/>
              <w:rPr>
                <w:sz w:val="20"/>
                <w:szCs w:val="20"/>
                <w:color w:val="auto"/>
              </w:rPr>
            </w:pPr>
          </w:p>
        </w:tc>
        <w:tc>
          <w:tcPr>
            <w:tcW w:w="1240" w:type="dxa"/>
            <w:vAlign w:val="bottom"/>
          </w:tcPr>
          <w:p>
            <w:pPr>
              <w:ind w:left="9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3,694</w:t>
            </w:r>
          </w:p>
        </w:tc>
        <w:tc>
          <w:tcPr>
            <w:tcW w:w="440" w:type="dxa"/>
            <w:vAlign w:val="bottom"/>
          </w:tcPr>
          <w:p>
            <w:pPr>
              <w:spacing w:after="0"/>
              <w:rPr>
                <w:sz w:val="20"/>
                <w:szCs w:val="20"/>
                <w:color w:val="auto"/>
              </w:rPr>
            </w:pPr>
          </w:p>
        </w:tc>
      </w:tr>
      <w:tr>
        <w:trPr>
          <w:trHeight w:val="350"/>
        </w:trPr>
        <w:tc>
          <w:tcPr>
            <w:tcW w:w="4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2014</w:t>
            </w: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42"/>
        </w:trPr>
        <w:tc>
          <w:tcPr>
            <w:tcW w:w="4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11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1,467</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4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w w:val="98"/>
              </w:rPr>
              <w:t>Real estate owned and other repossessed collateral</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1,991</w:t>
            </w:r>
          </w:p>
        </w:tc>
        <w:tc>
          <w:tcPr>
            <w:tcW w:w="440" w:type="dxa"/>
            <w:vAlign w:val="bottom"/>
          </w:tcPr>
          <w:p>
            <w:pPr>
              <w:spacing w:after="0"/>
              <w:rPr>
                <w:sz w:val="20"/>
                <w:szCs w:val="20"/>
                <w:color w:val="auto"/>
              </w:rPr>
            </w:pPr>
          </w:p>
        </w:tc>
        <w:tc>
          <w:tcPr>
            <w:tcW w:w="1240" w:type="dxa"/>
            <w:vAlign w:val="bottom"/>
          </w:tcPr>
          <w:p>
            <w:pPr>
              <w:ind w:left="9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1,991</w:t>
            </w:r>
          </w:p>
        </w:tc>
        <w:tc>
          <w:tcPr>
            <w:tcW w:w="440" w:type="dxa"/>
            <w:vAlign w:val="bottom"/>
          </w:tcPr>
          <w:p>
            <w:pPr>
              <w:spacing w:after="0"/>
              <w:rPr>
                <w:sz w:val="20"/>
                <w:szCs w:val="20"/>
                <w:color w:val="auto"/>
              </w:rPr>
            </w:pPr>
          </w:p>
        </w:tc>
      </w:tr>
      <w:tr>
        <w:trPr>
          <w:trHeight w:val="418"/>
        </w:trPr>
        <w:tc>
          <w:tcPr>
            <w:tcW w:w="4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235"/>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32"/>
        </w:trPr>
        <w:tc>
          <w:tcPr>
            <w:tcW w:w="4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412"/>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w w:val="97"/>
              </w:rPr>
              <w:t>Fair Value Measurements at March 31, 2015</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392"/>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gridSpan w:val="2"/>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1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105,073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105,073</w:t>
            </w:r>
          </w:p>
        </w:tc>
        <w:tc>
          <w:tcPr>
            <w:tcW w:w="4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105,073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105,523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105,523</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105,523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4,102</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4,102</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4,102</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4,439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4,439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577,452</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583,837</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1,215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1,215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655,177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655,816</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655,816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FHLB advances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30,216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30,982</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30,982</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Wholesale repurchase agreements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10,077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10,198</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10,198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2,861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2,861</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2,861</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1,416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1,502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8,578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8,967</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1,873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1,873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412"/>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w w:val="98"/>
              </w:rPr>
              <w:t>Fair Value Measurements at June 30, 2014</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392"/>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gridSpan w:val="2"/>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1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82,259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82,259</w:t>
            </w:r>
          </w:p>
        </w:tc>
        <w:tc>
          <w:tcPr>
            <w:tcW w:w="4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82,259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113,881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113,881</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113,881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4,102</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4,102</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4,102</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11,945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11,945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515,049</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522,154</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1,216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1,216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574,329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574,868</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574,868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FHLB advances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42,824</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43,843</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43,843</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Wholesale repurchase agreements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10,199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10,484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2,984</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2,984</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2,984</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1,558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1,701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8,440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7,858</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714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714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seeks to manage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March 31, 2015, the Company had posted cash collateral totaling $3.3 million with dealer banks related to derivative instruments in a net liability position.</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 — Derivative Instruments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 — Cash Flow Hedging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variable rate debt as a source of funds for use in the Company’s lending and investment activities and other general business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debt obligations expose the Company to variability in interest payments due to changes in interest rates.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360"/>
          </w:cols>
          <w:pgMar w:left="240" w:top="125" w:right="299" w:bottom="19" w:gutter="0" w:footer="0" w:header="0"/>
        </w:sectPr>
      </w:pPr>
    </w:p>
    <w:bookmarkStart w:id="17" w:name="page18"/>
    <w:bookmarkEnd w:id="17"/>
    <w:p>
      <w:pPr>
        <w:spacing w:after="0" w:line="8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39" w:lineRule="exact"/>
        <w:rPr>
          <w:sz w:val="20"/>
          <w:szCs w:val="20"/>
          <w:color w:val="auto"/>
        </w:rPr>
      </w:pPr>
    </w:p>
    <w:p>
      <w:pPr>
        <w:jc w:val="center"/>
        <w:ind w:right="140"/>
        <w:spacing w:after="0"/>
        <w:rPr>
          <w:sz w:val="20"/>
          <w:szCs w:val="20"/>
          <w:color w:val="auto"/>
        </w:rPr>
      </w:pPr>
      <w:r>
        <w:rPr>
          <w:rFonts w:ascii="Arial" w:cs="Arial" w:eastAsia="Arial" w:hAnsi="Arial"/>
          <w:sz w:val="11"/>
          <w:szCs w:val="11"/>
          <w:b w:val="1"/>
          <w:bCs w:val="1"/>
          <w:color w:val="auto"/>
        </w:rPr>
        <w:t>March 31, 2015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20" w:type="dxa"/>
            <w:vAlign w:val="bottom"/>
          </w:tcPr>
          <w:p>
            <w:pPr>
              <w:spacing w:after="0"/>
              <w:rPr>
                <w:sz w:val="8"/>
                <w:szCs w:val="8"/>
                <w:color w:val="auto"/>
              </w:rPr>
            </w:pPr>
          </w:p>
        </w:tc>
        <w:tc>
          <w:tcPr>
            <w:tcW w:w="900" w:type="dxa"/>
            <w:vAlign w:val="bottom"/>
            <w:tcBorders>
              <w:top w:val="single" w:sz="8" w:color="auto"/>
            </w:tcBorders>
          </w:tcPr>
          <w:p>
            <w:pPr>
              <w:ind w:left="420"/>
              <w:spacing w:after="0" w:line="102" w:lineRule="exact"/>
              <w:rPr>
                <w:sz w:val="20"/>
                <w:szCs w:val="20"/>
                <w:color w:val="auto"/>
              </w:rPr>
            </w:pPr>
            <w:r>
              <w:rPr>
                <w:rFonts w:ascii="Arial" w:cs="Arial" w:eastAsia="Arial" w:hAnsi="Arial"/>
                <w:sz w:val="11"/>
                <w:szCs w:val="11"/>
                <w:b w:val="1"/>
                <w:bCs w:val="1"/>
                <w:color w:val="auto"/>
              </w:rPr>
              <w:t>Notional</w:t>
            </w:r>
          </w:p>
        </w:tc>
        <w:tc>
          <w:tcPr>
            <w:tcW w:w="340" w:type="dxa"/>
            <w:vAlign w:val="bottom"/>
            <w:tcBorders>
              <w:top w:val="single" w:sz="8" w:color="auto"/>
            </w:tcBorders>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center"/>
              <w:ind w:right="86"/>
              <w:spacing w:after="0" w:line="102" w:lineRule="exact"/>
              <w:rPr>
                <w:sz w:val="20"/>
                <w:szCs w:val="20"/>
                <w:color w:val="auto"/>
              </w:rPr>
            </w:pPr>
            <w:r>
              <w:rPr>
                <w:rFonts w:ascii="Arial" w:cs="Arial" w:eastAsia="Arial" w:hAnsi="Arial"/>
                <w:sz w:val="11"/>
                <w:szCs w:val="11"/>
                <w:b w:val="1"/>
                <w:bCs w:val="1"/>
                <w:color w:val="auto"/>
                <w:w w:val="92"/>
              </w:rPr>
              <w:t>Termination</w:t>
            </w:r>
          </w:p>
        </w:tc>
        <w:tc>
          <w:tcPr>
            <w:tcW w:w="9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jc w:val="center"/>
              <w:ind w:right="286"/>
              <w:spacing w:after="0" w:line="102" w:lineRule="exact"/>
              <w:rPr>
                <w:sz w:val="20"/>
                <w:szCs w:val="20"/>
                <w:color w:val="auto"/>
              </w:rPr>
            </w:pPr>
            <w:r>
              <w:rPr>
                <w:rFonts w:ascii="Arial" w:cs="Arial" w:eastAsia="Arial" w:hAnsi="Arial"/>
                <w:sz w:val="11"/>
                <w:szCs w:val="11"/>
                <w:b w:val="1"/>
                <w:bCs w:val="1"/>
                <w:color w:val="auto"/>
                <w:w w:val="86"/>
              </w:rPr>
              <w:t>Receive</w:t>
            </w:r>
          </w:p>
        </w:tc>
        <w:tc>
          <w:tcPr>
            <w:tcW w:w="820" w:type="dxa"/>
            <w:vAlign w:val="bottom"/>
            <w:tcBorders>
              <w:top w:val="single" w:sz="8" w:color="auto"/>
            </w:tcBorders>
          </w:tcPr>
          <w:p>
            <w:pPr>
              <w:jc w:val="center"/>
              <w:ind w:right="446"/>
              <w:spacing w:after="0" w:line="102" w:lineRule="exact"/>
              <w:rPr>
                <w:sz w:val="20"/>
                <w:szCs w:val="20"/>
                <w:color w:val="auto"/>
              </w:rPr>
            </w:pPr>
            <w:r>
              <w:rPr>
                <w:rFonts w:ascii="Arial" w:cs="Arial" w:eastAsia="Arial" w:hAnsi="Arial"/>
                <w:sz w:val="11"/>
                <w:szCs w:val="11"/>
                <w:b w:val="1"/>
                <w:bCs w:val="1"/>
                <w:color w:val="auto"/>
                <w:w w:val="81"/>
              </w:rPr>
              <w:t>Pay</w:t>
            </w:r>
          </w:p>
        </w:tc>
        <w:tc>
          <w:tcPr>
            <w:tcW w:w="860" w:type="dxa"/>
            <w:vAlign w:val="bottom"/>
            <w:tcBorders>
              <w:top w:val="single" w:sz="8" w:color="auto"/>
            </w:tcBorders>
          </w:tcPr>
          <w:p>
            <w:pPr>
              <w:jc w:val="center"/>
              <w:ind w:right="206"/>
              <w:spacing w:after="0" w:line="102" w:lineRule="exact"/>
              <w:rPr>
                <w:sz w:val="20"/>
                <w:szCs w:val="20"/>
                <w:color w:val="auto"/>
              </w:rPr>
            </w:pPr>
            <w:r>
              <w:rPr>
                <w:rFonts w:ascii="Arial" w:cs="Arial" w:eastAsia="Arial" w:hAnsi="Arial"/>
                <w:sz w:val="11"/>
                <w:szCs w:val="11"/>
                <w:b w:val="1"/>
                <w:bCs w:val="1"/>
                <w:color w:val="auto"/>
                <w:w w:val="91"/>
              </w:rPr>
              <w:t>Strike</w:t>
            </w:r>
          </w:p>
        </w:tc>
        <w:tc>
          <w:tcPr>
            <w:tcW w:w="18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w w:val="91"/>
              </w:rPr>
              <w:t>Unrealized Gain</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jc w:val="center"/>
              <w:ind w:right="6"/>
              <w:spacing w:after="0" w:line="102" w:lineRule="exact"/>
              <w:rPr>
                <w:sz w:val="20"/>
                <w:szCs w:val="20"/>
                <w:color w:val="auto"/>
              </w:rPr>
            </w:pPr>
            <w:r>
              <w:rPr>
                <w:rFonts w:ascii="Arial" w:cs="Arial" w:eastAsia="Arial" w:hAnsi="Arial"/>
                <w:sz w:val="11"/>
                <w:szCs w:val="11"/>
                <w:b w:val="1"/>
                <w:bCs w:val="1"/>
                <w:color w:val="auto"/>
                <w:w w:val="85"/>
              </w:rPr>
              <w:t>Balance Sheet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ind w:left="42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1620" w:type="dxa"/>
            <w:vAlign w:val="bottom"/>
          </w:tcPr>
          <w:p>
            <w:pPr>
              <w:jc w:val="right"/>
              <w:ind w:right="426"/>
              <w:spacing w:after="0"/>
              <w:rPr>
                <w:sz w:val="20"/>
                <w:szCs w:val="20"/>
                <w:color w:val="auto"/>
              </w:rPr>
            </w:pPr>
            <w:r>
              <w:rPr>
                <w:rFonts w:ascii="Arial" w:cs="Arial" w:eastAsia="Arial" w:hAnsi="Arial"/>
                <w:sz w:val="11"/>
                <w:szCs w:val="11"/>
                <w:b w:val="1"/>
                <w:bCs w:val="1"/>
                <w:color w:val="auto"/>
              </w:rPr>
              <w:t>Inception Date</w:t>
            </w:r>
          </w:p>
        </w:tc>
        <w:tc>
          <w:tcPr>
            <w:tcW w:w="1040" w:type="dxa"/>
            <w:vAlign w:val="bottom"/>
          </w:tcPr>
          <w:p>
            <w:pPr>
              <w:jc w:val="center"/>
              <w:ind w:right="86"/>
              <w:spacing w:after="0"/>
              <w:rPr>
                <w:sz w:val="20"/>
                <w:szCs w:val="20"/>
                <w:color w:val="auto"/>
              </w:rPr>
            </w:pPr>
            <w:r>
              <w:rPr>
                <w:rFonts w:ascii="Arial" w:cs="Arial" w:eastAsia="Arial" w:hAnsi="Arial"/>
                <w:sz w:val="11"/>
                <w:szCs w:val="11"/>
                <w:b w:val="1"/>
                <w:bCs w:val="1"/>
                <w:color w:val="auto"/>
                <w:w w:val="92"/>
              </w:rPr>
              <w:t>Date</w:t>
            </w:r>
          </w:p>
        </w:tc>
        <w:tc>
          <w:tcPr>
            <w:tcW w:w="980" w:type="dxa"/>
            <w:vAlign w:val="bottom"/>
          </w:tcPr>
          <w:p>
            <w:pPr>
              <w:jc w:val="center"/>
              <w:ind w:right="26"/>
              <w:spacing w:after="0"/>
              <w:rPr>
                <w:sz w:val="20"/>
                <w:szCs w:val="20"/>
                <w:color w:val="auto"/>
              </w:rPr>
            </w:pPr>
            <w:r>
              <w:rPr>
                <w:rFonts w:ascii="Arial" w:cs="Arial" w:eastAsia="Arial" w:hAnsi="Arial"/>
                <w:sz w:val="11"/>
                <w:szCs w:val="11"/>
                <w:b w:val="1"/>
                <w:bCs w:val="1"/>
                <w:color w:val="auto"/>
                <w:w w:val="90"/>
              </w:rPr>
              <w:t>Index</w:t>
            </w:r>
          </w:p>
        </w:tc>
        <w:tc>
          <w:tcPr>
            <w:tcW w:w="1140" w:type="dxa"/>
            <w:vAlign w:val="bottom"/>
          </w:tcPr>
          <w:p>
            <w:pPr>
              <w:jc w:val="center"/>
              <w:ind w:right="306"/>
              <w:spacing w:after="0"/>
              <w:rPr>
                <w:sz w:val="20"/>
                <w:szCs w:val="20"/>
                <w:color w:val="auto"/>
              </w:rPr>
            </w:pPr>
            <w:r>
              <w:rPr>
                <w:rFonts w:ascii="Arial" w:cs="Arial" w:eastAsia="Arial" w:hAnsi="Arial"/>
                <w:sz w:val="11"/>
                <w:szCs w:val="11"/>
                <w:b w:val="1"/>
                <w:bCs w:val="1"/>
                <w:color w:val="auto"/>
                <w:w w:val="92"/>
              </w:rPr>
              <w:t>Rate</w:t>
            </w:r>
          </w:p>
        </w:tc>
        <w:tc>
          <w:tcPr>
            <w:tcW w:w="820" w:type="dxa"/>
            <w:vAlign w:val="bottom"/>
          </w:tcPr>
          <w:p>
            <w:pPr>
              <w:jc w:val="center"/>
              <w:ind w:right="446"/>
              <w:spacing w:after="0"/>
              <w:rPr>
                <w:sz w:val="20"/>
                <w:szCs w:val="20"/>
                <w:color w:val="auto"/>
              </w:rPr>
            </w:pPr>
            <w:r>
              <w:rPr>
                <w:rFonts w:ascii="Arial" w:cs="Arial" w:eastAsia="Arial" w:hAnsi="Arial"/>
                <w:sz w:val="11"/>
                <w:szCs w:val="11"/>
                <w:b w:val="1"/>
                <w:bCs w:val="1"/>
                <w:color w:val="auto"/>
                <w:w w:val="83"/>
              </w:rPr>
              <w:t>Rate</w:t>
            </w:r>
          </w:p>
        </w:tc>
        <w:tc>
          <w:tcPr>
            <w:tcW w:w="860" w:type="dxa"/>
            <w:vAlign w:val="bottom"/>
          </w:tcPr>
          <w:p>
            <w:pPr>
              <w:jc w:val="center"/>
              <w:ind w:right="206"/>
              <w:spacing w:after="0"/>
              <w:rPr>
                <w:sz w:val="20"/>
                <w:szCs w:val="20"/>
                <w:color w:val="auto"/>
              </w:rPr>
            </w:pPr>
            <w:r>
              <w:rPr>
                <w:rFonts w:ascii="Arial" w:cs="Arial" w:eastAsia="Arial" w:hAnsi="Arial"/>
                <w:sz w:val="11"/>
                <w:szCs w:val="11"/>
                <w:b w:val="1"/>
                <w:bCs w:val="1"/>
                <w:color w:val="auto"/>
                <w:w w:val="83"/>
              </w:rPr>
              <w:t>Rate</w:t>
            </w:r>
          </w:p>
        </w:tc>
        <w:tc>
          <w:tcPr>
            <w:tcW w:w="180" w:type="dxa"/>
            <w:vAlign w:val="bottom"/>
          </w:tcPr>
          <w:p>
            <w:pPr>
              <w:spacing w:after="0"/>
              <w:rPr>
                <w:sz w:val="11"/>
                <w:szCs w:val="1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4"/>
              </w:rPr>
              <w:t>(Loss)</w:t>
            </w:r>
          </w:p>
        </w:tc>
        <w:tc>
          <w:tcPr>
            <w:tcW w:w="100" w:type="dxa"/>
            <w:vAlign w:val="bottom"/>
          </w:tcPr>
          <w:p>
            <w:pPr>
              <w:spacing w:after="0"/>
              <w:rPr>
                <w:sz w:val="11"/>
                <w:szCs w:val="11"/>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4"/>
              </w:rPr>
              <w:t>Fair Value</w:t>
            </w:r>
          </w:p>
        </w:tc>
        <w:tc>
          <w:tcPr>
            <w:tcW w:w="12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Location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gridSpan w:val="2"/>
          </w:tcPr>
          <w:p>
            <w:pPr>
              <w:jc w:val="center"/>
              <w:ind w:right="386"/>
              <w:spacing w:after="0" w:line="115" w:lineRule="exact"/>
              <w:rPr>
                <w:sz w:val="20"/>
                <w:szCs w:val="20"/>
                <w:color w:val="auto"/>
              </w:rPr>
            </w:pPr>
            <w:r>
              <w:rPr>
                <w:rFonts w:ascii="Arial" w:cs="Arial" w:eastAsia="Arial" w:hAnsi="Arial"/>
                <w:sz w:val="11"/>
                <w:szCs w:val="11"/>
                <w:b w:val="1"/>
                <w:bCs w:val="1"/>
                <w:color w:val="auto"/>
                <w:w w:val="89"/>
              </w:rPr>
              <w:t>(Dollars in thousands)</w:t>
            </w: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spacing w:after="0" w:line="122" w:lineRule="exact"/>
              <w:rPr>
                <w:sz w:val="20"/>
                <w:szCs w:val="20"/>
                <w:color w:val="auto"/>
              </w:rPr>
            </w:pPr>
            <w:r>
              <w:rPr>
                <w:rFonts w:ascii="Arial" w:cs="Arial" w:eastAsia="Arial" w:hAnsi="Arial"/>
                <w:sz w:val="11"/>
                <w:szCs w:val="11"/>
                <w:i w:val="1"/>
                <w:iCs w:val="1"/>
                <w:color w:val="auto"/>
                <w:w w:val="91"/>
              </w:rPr>
              <w:t>Interest rate swaps:</w:t>
            </w:r>
          </w:p>
        </w:tc>
        <w:tc>
          <w:tcPr>
            <w:tcW w:w="3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5,000</w:t>
            </w:r>
          </w:p>
        </w:tc>
        <w:tc>
          <w:tcPr>
            <w:tcW w:w="16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July 2013</w:t>
            </w:r>
          </w:p>
        </w:tc>
        <w:tc>
          <w:tcPr>
            <w:tcW w:w="10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July 2033</w:t>
            </w:r>
          </w:p>
        </w:tc>
        <w:tc>
          <w:tcPr>
            <w:tcW w:w="98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97"/>
              </w:rPr>
              <w:t>3 Mo. LIBOR</w:t>
            </w:r>
          </w:p>
        </w:tc>
        <w:tc>
          <w:tcPr>
            <w:tcW w:w="114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0.25%</w:t>
            </w:r>
          </w:p>
        </w:tc>
        <w:tc>
          <w:tcPr>
            <w:tcW w:w="8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3.38%</w:t>
            </w:r>
          </w:p>
        </w:tc>
        <w:tc>
          <w:tcPr>
            <w:tcW w:w="860" w:type="dxa"/>
            <w:vAlign w:val="bottom"/>
          </w:tcPr>
          <w:p>
            <w:pPr>
              <w:ind w:left="560"/>
              <w:spacing w:after="0" w:line="122" w:lineRule="exact"/>
              <w:rPr>
                <w:sz w:val="20"/>
                <w:szCs w:val="20"/>
                <w:color w:val="auto"/>
              </w:rPr>
            </w:pPr>
            <w:r>
              <w:rPr>
                <w:rFonts w:ascii="Arial" w:cs="Arial" w:eastAsia="Arial" w:hAnsi="Arial"/>
                <w:sz w:val="11"/>
                <w:szCs w:val="11"/>
                <w:color w:val="auto"/>
              </w:rPr>
              <w:t>n/a</w:t>
            </w:r>
          </w:p>
        </w:tc>
        <w:tc>
          <w:tcPr>
            <w:tcW w:w="180" w:type="dxa"/>
            <w:vAlign w:val="bottom"/>
          </w:tcPr>
          <w:p>
            <w:pPr>
              <w:spacing w:after="0"/>
              <w:rPr>
                <w:sz w:val="10"/>
                <w:szCs w:val="10"/>
                <w:color w:val="auto"/>
              </w:rPr>
            </w:pPr>
          </w:p>
        </w:tc>
        <w:tc>
          <w:tcPr>
            <w:tcW w:w="13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(872)</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(872)</w:t>
            </w:r>
          </w:p>
        </w:tc>
        <w:tc>
          <w:tcPr>
            <w:tcW w:w="1200" w:type="dxa"/>
            <w:vAlign w:val="bottom"/>
            <w:gridSpan w:val="2"/>
          </w:tcPr>
          <w:p>
            <w:pPr>
              <w:jc w:val="center"/>
              <w:ind w:right="160"/>
              <w:spacing w:after="0" w:line="122" w:lineRule="exact"/>
              <w:rPr>
                <w:sz w:val="20"/>
                <w:szCs w:val="20"/>
                <w:color w:val="auto"/>
              </w:rPr>
            </w:pPr>
            <w:r>
              <w:rPr>
                <w:rFonts w:ascii="Arial" w:cs="Arial" w:eastAsia="Arial" w:hAnsi="Arial"/>
                <w:sz w:val="11"/>
                <w:szCs w:val="11"/>
                <w:color w:val="auto"/>
                <w:w w:val="94"/>
              </w:rPr>
              <w:t>Other Liabilities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w:t>
            </w:r>
          </w:p>
        </w:tc>
        <w:tc>
          <w:tcPr>
            <w:tcW w:w="16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July 2013</w:t>
            </w:r>
          </w:p>
        </w:tc>
        <w:tc>
          <w:tcPr>
            <w:tcW w:w="10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July 2028</w:t>
            </w:r>
          </w:p>
        </w:tc>
        <w:tc>
          <w:tcPr>
            <w:tcW w:w="980" w:type="dxa"/>
            <w:vAlign w:val="bottom"/>
            <w:shd w:val="clear" w:color="auto" w:fill="CCEEFF"/>
          </w:tcPr>
          <w:p>
            <w:pPr>
              <w:jc w:val="center"/>
              <w:ind w:right="26"/>
              <w:spacing w:after="0" w:line="122" w:lineRule="exact"/>
              <w:rPr>
                <w:sz w:val="20"/>
                <w:szCs w:val="20"/>
                <w:color w:val="auto"/>
              </w:rPr>
            </w:pPr>
            <w:r>
              <w:rPr>
                <w:rFonts w:ascii="Arial" w:cs="Arial" w:eastAsia="Arial" w:hAnsi="Arial"/>
                <w:sz w:val="11"/>
                <w:szCs w:val="11"/>
                <w:color w:val="auto"/>
                <w:w w:val="97"/>
              </w:rPr>
              <w:t>3 Mo. LIBOR</w:t>
            </w:r>
          </w:p>
        </w:tc>
        <w:tc>
          <w:tcPr>
            <w:tcW w:w="114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0.25%</w:t>
            </w:r>
          </w:p>
        </w:tc>
        <w:tc>
          <w:tcPr>
            <w:tcW w:w="8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3.23%</w:t>
            </w:r>
          </w:p>
        </w:tc>
        <w:tc>
          <w:tcPr>
            <w:tcW w:w="860" w:type="dxa"/>
            <w:vAlign w:val="bottom"/>
            <w:shd w:val="clear" w:color="auto" w:fill="CCEEFF"/>
          </w:tcPr>
          <w:p>
            <w:pPr>
              <w:ind w:left="560"/>
              <w:spacing w:after="0" w:line="122" w:lineRule="exact"/>
              <w:rPr>
                <w:sz w:val="20"/>
                <w:szCs w:val="20"/>
                <w:color w:val="auto"/>
              </w:rPr>
            </w:pPr>
            <w:r>
              <w:rPr>
                <w:rFonts w:ascii="Arial" w:cs="Arial" w:eastAsia="Arial" w:hAnsi="Arial"/>
                <w:sz w:val="11"/>
                <w:szCs w:val="11"/>
                <w:color w:val="auto"/>
              </w:rPr>
              <w:t>n/a</w:t>
            </w:r>
          </w:p>
        </w:tc>
        <w:tc>
          <w:tcPr>
            <w:tcW w:w="1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(650)</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(650)</w:t>
            </w:r>
          </w:p>
        </w:tc>
        <w:tc>
          <w:tcPr>
            <w:tcW w:w="1200" w:type="dxa"/>
            <w:vAlign w:val="bottom"/>
            <w:gridSpan w:val="2"/>
            <w:shd w:val="clear" w:color="auto" w:fill="CCEEFF"/>
          </w:tcPr>
          <w:p>
            <w:pPr>
              <w:jc w:val="center"/>
              <w:ind w:right="160"/>
              <w:spacing w:after="0" w:line="122" w:lineRule="exact"/>
              <w:rPr>
                <w:sz w:val="20"/>
                <w:szCs w:val="20"/>
                <w:color w:val="auto"/>
              </w:rPr>
            </w:pPr>
            <w:r>
              <w:rPr>
                <w:rFonts w:ascii="Arial" w:cs="Arial" w:eastAsia="Arial" w:hAnsi="Arial"/>
                <w:sz w:val="11"/>
                <w:szCs w:val="11"/>
                <w:color w:val="auto"/>
                <w:w w:val="94"/>
              </w:rPr>
              <w:t>Other Liabilities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5,000</w:t>
            </w:r>
          </w:p>
        </w:tc>
        <w:tc>
          <w:tcPr>
            <w:tcW w:w="16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July 2013</w:t>
            </w:r>
          </w:p>
        </w:tc>
        <w:tc>
          <w:tcPr>
            <w:tcW w:w="10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July 2023</w:t>
            </w:r>
          </w:p>
        </w:tc>
        <w:tc>
          <w:tcPr>
            <w:tcW w:w="98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97"/>
              </w:rPr>
              <w:t>3 Mo. LIBOR</w:t>
            </w:r>
          </w:p>
        </w:tc>
        <w:tc>
          <w:tcPr>
            <w:tcW w:w="114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0.25%</w:t>
            </w:r>
          </w:p>
        </w:tc>
        <w:tc>
          <w:tcPr>
            <w:tcW w:w="8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2.77%</w:t>
            </w:r>
          </w:p>
        </w:tc>
        <w:tc>
          <w:tcPr>
            <w:tcW w:w="860" w:type="dxa"/>
            <w:vAlign w:val="bottom"/>
          </w:tcPr>
          <w:p>
            <w:pPr>
              <w:ind w:left="560"/>
              <w:spacing w:after="0" w:line="122" w:lineRule="exact"/>
              <w:rPr>
                <w:sz w:val="20"/>
                <w:szCs w:val="20"/>
                <w:color w:val="auto"/>
              </w:rPr>
            </w:pPr>
            <w:r>
              <w:rPr>
                <w:rFonts w:ascii="Arial" w:cs="Arial" w:eastAsia="Arial" w:hAnsi="Arial"/>
                <w:sz w:val="11"/>
                <w:szCs w:val="11"/>
                <w:color w:val="auto"/>
              </w:rPr>
              <w:t>n/a</w:t>
            </w:r>
          </w:p>
        </w:tc>
        <w:tc>
          <w:tcPr>
            <w:tcW w:w="180" w:type="dxa"/>
            <w:vAlign w:val="bottom"/>
          </w:tcPr>
          <w:p>
            <w:pPr>
              <w:spacing w:after="0"/>
              <w:rPr>
                <w:sz w:val="10"/>
                <w:szCs w:val="10"/>
                <w:color w:val="auto"/>
              </w:rPr>
            </w:pPr>
          </w:p>
        </w:tc>
        <w:tc>
          <w:tcPr>
            <w:tcW w:w="13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(351)</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(351)</w:t>
            </w:r>
          </w:p>
        </w:tc>
        <w:tc>
          <w:tcPr>
            <w:tcW w:w="1200" w:type="dxa"/>
            <w:vAlign w:val="bottom"/>
            <w:gridSpan w:val="2"/>
          </w:tcPr>
          <w:p>
            <w:pPr>
              <w:jc w:val="center"/>
              <w:ind w:right="160"/>
              <w:spacing w:after="0" w:line="122" w:lineRule="exact"/>
              <w:rPr>
                <w:sz w:val="20"/>
                <w:szCs w:val="20"/>
                <w:color w:val="auto"/>
              </w:rPr>
            </w:pPr>
            <w:r>
              <w:rPr>
                <w:rFonts w:ascii="Arial" w:cs="Arial" w:eastAsia="Arial" w:hAnsi="Arial"/>
                <w:sz w:val="11"/>
                <w:szCs w:val="11"/>
                <w:color w:val="auto"/>
                <w:w w:val="94"/>
              </w:rPr>
              <w:t>Other Liabilities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spacing w:after="0" w:line="122" w:lineRule="exact"/>
              <w:rPr>
                <w:sz w:val="20"/>
                <w:szCs w:val="20"/>
                <w:color w:val="auto"/>
              </w:rPr>
            </w:pPr>
            <w:r>
              <w:rPr>
                <w:rFonts w:ascii="Arial" w:cs="Arial" w:eastAsia="Arial" w:hAnsi="Arial"/>
                <w:sz w:val="11"/>
                <w:szCs w:val="11"/>
                <w:i w:val="1"/>
                <w:iCs w:val="1"/>
                <w:color w:val="auto"/>
                <w:w w:val="99"/>
              </w:rPr>
              <w:t>Interest rate caps:</w:t>
            </w:r>
          </w:p>
        </w:tc>
        <w:tc>
          <w:tcPr>
            <w:tcW w:w="3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6,000</w:t>
            </w:r>
          </w:p>
        </w:tc>
        <w:tc>
          <w:tcPr>
            <w:tcW w:w="16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October 2014</w:t>
            </w:r>
          </w:p>
        </w:tc>
        <w:tc>
          <w:tcPr>
            <w:tcW w:w="10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September 2019</w:t>
            </w:r>
          </w:p>
        </w:tc>
        <w:tc>
          <w:tcPr>
            <w:tcW w:w="98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97"/>
              </w:rPr>
              <w:t>3 Mo. LIBOR</w:t>
            </w:r>
          </w:p>
        </w:tc>
        <w:tc>
          <w:tcPr>
            <w:tcW w:w="114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n/a</w:t>
            </w:r>
          </w:p>
        </w:tc>
        <w:tc>
          <w:tcPr>
            <w:tcW w:w="8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n/a</w:t>
            </w:r>
          </w:p>
        </w:tc>
        <w:tc>
          <w:tcPr>
            <w:tcW w:w="860" w:type="dxa"/>
            <w:vAlign w:val="bottom"/>
          </w:tcPr>
          <w:p>
            <w:pPr>
              <w:ind w:left="500"/>
              <w:spacing w:after="0" w:line="122" w:lineRule="exact"/>
              <w:rPr>
                <w:sz w:val="20"/>
                <w:szCs w:val="20"/>
                <w:color w:val="auto"/>
              </w:rPr>
            </w:pPr>
            <w:r>
              <w:rPr>
                <w:rFonts w:ascii="Arial" w:cs="Arial" w:eastAsia="Arial" w:hAnsi="Arial"/>
                <w:sz w:val="11"/>
                <w:szCs w:val="11"/>
                <w:color w:val="auto"/>
              </w:rPr>
              <w:t>2.50%</w:t>
            </w:r>
          </w:p>
        </w:tc>
        <w:tc>
          <w:tcPr>
            <w:tcW w:w="180" w:type="dxa"/>
            <w:vAlign w:val="bottom"/>
          </w:tcPr>
          <w:p>
            <w:pPr>
              <w:spacing w:after="0"/>
              <w:rPr>
                <w:sz w:val="10"/>
                <w:szCs w:val="10"/>
                <w:color w:val="auto"/>
              </w:rPr>
            </w:pPr>
          </w:p>
        </w:tc>
        <w:tc>
          <w:tcPr>
            <w:tcW w:w="13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(108)</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68</w:t>
            </w:r>
          </w:p>
        </w:tc>
        <w:tc>
          <w:tcPr>
            <w:tcW w:w="200" w:type="dxa"/>
            <w:vAlign w:val="bottom"/>
          </w:tcPr>
          <w:p>
            <w:pPr>
              <w:spacing w:after="0"/>
              <w:rPr>
                <w:sz w:val="10"/>
                <w:szCs w:val="10"/>
                <w:color w:val="auto"/>
              </w:rPr>
            </w:pPr>
          </w:p>
        </w:tc>
        <w:tc>
          <w:tcPr>
            <w:tcW w:w="1200" w:type="dxa"/>
            <w:vAlign w:val="bottom"/>
            <w:gridSpan w:val="2"/>
          </w:tcPr>
          <w:p>
            <w:pPr>
              <w:jc w:val="center"/>
              <w:ind w:right="160"/>
              <w:spacing w:after="0" w:line="122" w:lineRule="exact"/>
              <w:rPr>
                <w:sz w:val="20"/>
                <w:szCs w:val="20"/>
                <w:color w:val="auto"/>
              </w:rPr>
            </w:pPr>
            <w:r>
              <w:rPr>
                <w:rFonts w:ascii="Arial" w:cs="Arial" w:eastAsia="Arial" w:hAnsi="Arial"/>
                <w:sz w:val="11"/>
                <w:szCs w:val="11"/>
                <w:color w:val="auto"/>
                <w:w w:val="87"/>
              </w:rPr>
              <w:t>Other Assets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10,000</w:t>
            </w:r>
          </w:p>
        </w:tc>
        <w:tc>
          <w:tcPr>
            <w:tcW w:w="16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March 2015</w:t>
            </w:r>
          </w:p>
        </w:tc>
        <w:tc>
          <w:tcPr>
            <w:tcW w:w="10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February 2020</w:t>
            </w:r>
          </w:p>
        </w:tc>
        <w:tc>
          <w:tcPr>
            <w:tcW w:w="980" w:type="dxa"/>
            <w:vAlign w:val="bottom"/>
            <w:shd w:val="clear" w:color="auto" w:fill="CCEEFF"/>
          </w:tcPr>
          <w:p>
            <w:pPr>
              <w:jc w:val="center"/>
              <w:ind w:right="26"/>
              <w:spacing w:after="0" w:line="122" w:lineRule="exact"/>
              <w:rPr>
                <w:sz w:val="20"/>
                <w:szCs w:val="20"/>
                <w:color w:val="auto"/>
              </w:rPr>
            </w:pPr>
            <w:r>
              <w:rPr>
                <w:rFonts w:ascii="Arial" w:cs="Arial" w:eastAsia="Arial" w:hAnsi="Arial"/>
                <w:sz w:val="11"/>
                <w:szCs w:val="11"/>
                <w:color w:val="auto"/>
                <w:w w:val="97"/>
              </w:rPr>
              <w:t>3 Mo. LIBOR</w:t>
            </w:r>
          </w:p>
        </w:tc>
        <w:tc>
          <w:tcPr>
            <w:tcW w:w="114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n/a</w:t>
            </w:r>
          </w:p>
        </w:tc>
        <w:tc>
          <w:tcPr>
            <w:tcW w:w="8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n/a</w:t>
            </w:r>
          </w:p>
        </w:tc>
        <w:tc>
          <w:tcPr>
            <w:tcW w:w="860" w:type="dxa"/>
            <w:vAlign w:val="bottom"/>
            <w:shd w:val="clear" w:color="auto" w:fill="CCEEFF"/>
          </w:tcPr>
          <w:p>
            <w:pPr>
              <w:ind w:left="500"/>
              <w:spacing w:after="0" w:line="122" w:lineRule="exact"/>
              <w:rPr>
                <w:sz w:val="20"/>
                <w:szCs w:val="20"/>
                <w:color w:val="auto"/>
              </w:rPr>
            </w:pPr>
            <w:r>
              <w:rPr>
                <w:rFonts w:ascii="Arial" w:cs="Arial" w:eastAsia="Arial" w:hAnsi="Arial"/>
                <w:sz w:val="11"/>
                <w:szCs w:val="11"/>
                <w:color w:val="auto"/>
              </w:rPr>
              <w:t>2.50%</w:t>
            </w:r>
          </w:p>
        </w:tc>
        <w:tc>
          <w:tcPr>
            <w:tcW w:w="1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144</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center"/>
              <w:ind w:right="160"/>
              <w:spacing w:after="0" w:line="122" w:lineRule="exact"/>
              <w:rPr>
                <w:sz w:val="20"/>
                <w:szCs w:val="20"/>
                <w:color w:val="auto"/>
              </w:rPr>
            </w:pPr>
            <w:r>
              <w:rPr>
                <w:rFonts w:ascii="Arial" w:cs="Arial" w:eastAsia="Arial" w:hAnsi="Arial"/>
                <w:sz w:val="11"/>
                <w:szCs w:val="11"/>
                <w:color w:val="auto"/>
                <w:w w:val="87"/>
              </w:rPr>
              <w:t>Other Assets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3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4"/>
              </w:rPr>
              <w:t>31,000</w:t>
            </w:r>
          </w:p>
        </w:tc>
        <w:tc>
          <w:tcPr>
            <w:tcW w:w="1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(2,053)</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(1,661)</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vMerge w:val="restart"/>
          </w:tcPr>
          <w:p>
            <w:pPr>
              <w:jc w:val="center"/>
              <w:ind w:left="326"/>
              <w:spacing w:after="0"/>
              <w:rPr>
                <w:sz w:val="20"/>
                <w:szCs w:val="20"/>
                <w:color w:val="auto"/>
              </w:rPr>
            </w:pPr>
            <w:r>
              <w:rPr>
                <w:rFonts w:ascii="Arial" w:cs="Arial" w:eastAsia="Arial" w:hAnsi="Arial"/>
                <w:sz w:val="11"/>
                <w:szCs w:val="11"/>
                <w:b w:val="1"/>
                <w:bCs w:val="1"/>
                <w:color w:val="auto"/>
                <w:w w:val="89"/>
              </w:rPr>
              <w:t>June 30, 2014</w:t>
            </w: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00" w:type="dxa"/>
            <w:vAlign w:val="bottom"/>
          </w:tcPr>
          <w:p>
            <w:pPr>
              <w:ind w:left="420"/>
              <w:spacing w:after="0" w:line="102" w:lineRule="exact"/>
              <w:rPr>
                <w:sz w:val="20"/>
                <w:szCs w:val="20"/>
                <w:color w:val="auto"/>
              </w:rPr>
            </w:pPr>
            <w:r>
              <w:rPr>
                <w:rFonts w:ascii="Arial" w:cs="Arial" w:eastAsia="Arial" w:hAnsi="Arial"/>
                <w:sz w:val="11"/>
                <w:szCs w:val="11"/>
                <w:b w:val="1"/>
                <w:bCs w:val="1"/>
                <w:color w:val="auto"/>
              </w:rPr>
              <w:t>Notional</w:t>
            </w:r>
          </w:p>
        </w:tc>
        <w:tc>
          <w:tcPr>
            <w:tcW w:w="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40" w:type="dxa"/>
            <w:vAlign w:val="bottom"/>
          </w:tcPr>
          <w:p>
            <w:pPr>
              <w:jc w:val="center"/>
              <w:ind w:right="86"/>
              <w:spacing w:after="0" w:line="102" w:lineRule="exact"/>
              <w:rPr>
                <w:sz w:val="20"/>
                <w:szCs w:val="20"/>
                <w:color w:val="auto"/>
              </w:rPr>
            </w:pPr>
            <w:r>
              <w:rPr>
                <w:rFonts w:ascii="Arial" w:cs="Arial" w:eastAsia="Arial" w:hAnsi="Arial"/>
                <w:sz w:val="11"/>
                <w:szCs w:val="11"/>
                <w:b w:val="1"/>
                <w:bCs w:val="1"/>
                <w:color w:val="auto"/>
                <w:w w:val="92"/>
              </w:rPr>
              <w:t>Termination</w:t>
            </w:r>
          </w:p>
        </w:tc>
        <w:tc>
          <w:tcPr>
            <w:tcW w:w="980" w:type="dxa"/>
            <w:vAlign w:val="bottom"/>
          </w:tcPr>
          <w:p>
            <w:pPr>
              <w:spacing w:after="0"/>
              <w:rPr>
                <w:sz w:val="8"/>
                <w:szCs w:val="8"/>
                <w:color w:val="auto"/>
              </w:rPr>
            </w:pPr>
          </w:p>
        </w:tc>
        <w:tc>
          <w:tcPr>
            <w:tcW w:w="1140" w:type="dxa"/>
            <w:vAlign w:val="bottom"/>
          </w:tcPr>
          <w:p>
            <w:pPr>
              <w:jc w:val="center"/>
              <w:ind w:right="286"/>
              <w:spacing w:after="0" w:line="102" w:lineRule="exact"/>
              <w:rPr>
                <w:sz w:val="20"/>
                <w:szCs w:val="20"/>
                <w:color w:val="auto"/>
              </w:rPr>
            </w:pPr>
            <w:r>
              <w:rPr>
                <w:rFonts w:ascii="Arial" w:cs="Arial" w:eastAsia="Arial" w:hAnsi="Arial"/>
                <w:sz w:val="11"/>
                <w:szCs w:val="11"/>
                <w:b w:val="1"/>
                <w:bCs w:val="1"/>
                <w:color w:val="auto"/>
                <w:w w:val="86"/>
              </w:rPr>
              <w:t>Receive</w:t>
            </w:r>
          </w:p>
        </w:tc>
        <w:tc>
          <w:tcPr>
            <w:tcW w:w="820" w:type="dxa"/>
            <w:vAlign w:val="bottom"/>
          </w:tcPr>
          <w:p>
            <w:pPr>
              <w:jc w:val="center"/>
              <w:ind w:right="446"/>
              <w:spacing w:after="0" w:line="102" w:lineRule="exact"/>
              <w:rPr>
                <w:sz w:val="20"/>
                <w:szCs w:val="20"/>
                <w:color w:val="auto"/>
              </w:rPr>
            </w:pPr>
            <w:r>
              <w:rPr>
                <w:rFonts w:ascii="Arial" w:cs="Arial" w:eastAsia="Arial" w:hAnsi="Arial"/>
                <w:sz w:val="11"/>
                <w:szCs w:val="11"/>
                <w:b w:val="1"/>
                <w:bCs w:val="1"/>
                <w:color w:val="auto"/>
                <w:w w:val="81"/>
              </w:rPr>
              <w:t>Pay</w:t>
            </w:r>
          </w:p>
        </w:tc>
        <w:tc>
          <w:tcPr>
            <w:tcW w:w="860" w:type="dxa"/>
            <w:vAlign w:val="bottom"/>
          </w:tcPr>
          <w:p>
            <w:pPr>
              <w:jc w:val="center"/>
              <w:ind w:right="206"/>
              <w:spacing w:after="0" w:line="102" w:lineRule="exact"/>
              <w:rPr>
                <w:sz w:val="20"/>
                <w:szCs w:val="20"/>
                <w:color w:val="auto"/>
              </w:rPr>
            </w:pPr>
            <w:r>
              <w:rPr>
                <w:rFonts w:ascii="Arial" w:cs="Arial" w:eastAsia="Arial" w:hAnsi="Arial"/>
                <w:sz w:val="11"/>
                <w:szCs w:val="11"/>
                <w:b w:val="1"/>
                <w:bCs w:val="1"/>
                <w:color w:val="auto"/>
                <w:w w:val="91"/>
              </w:rPr>
              <w:t>Strike</w:t>
            </w: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85"/>
              </w:rPr>
              <w:t>Balance Sheet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ind w:left="42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1620" w:type="dxa"/>
            <w:vAlign w:val="bottom"/>
          </w:tcPr>
          <w:p>
            <w:pPr>
              <w:jc w:val="right"/>
              <w:ind w:right="426"/>
              <w:spacing w:after="0"/>
              <w:rPr>
                <w:sz w:val="20"/>
                <w:szCs w:val="20"/>
                <w:color w:val="auto"/>
              </w:rPr>
            </w:pPr>
            <w:r>
              <w:rPr>
                <w:rFonts w:ascii="Arial" w:cs="Arial" w:eastAsia="Arial" w:hAnsi="Arial"/>
                <w:sz w:val="11"/>
                <w:szCs w:val="11"/>
                <w:b w:val="1"/>
                <w:bCs w:val="1"/>
                <w:color w:val="auto"/>
              </w:rPr>
              <w:t>Inception Date</w:t>
            </w:r>
          </w:p>
        </w:tc>
        <w:tc>
          <w:tcPr>
            <w:tcW w:w="1040" w:type="dxa"/>
            <w:vAlign w:val="bottom"/>
          </w:tcPr>
          <w:p>
            <w:pPr>
              <w:jc w:val="center"/>
              <w:ind w:right="86"/>
              <w:spacing w:after="0"/>
              <w:rPr>
                <w:sz w:val="20"/>
                <w:szCs w:val="20"/>
                <w:color w:val="auto"/>
              </w:rPr>
            </w:pPr>
            <w:r>
              <w:rPr>
                <w:rFonts w:ascii="Arial" w:cs="Arial" w:eastAsia="Arial" w:hAnsi="Arial"/>
                <w:sz w:val="11"/>
                <w:szCs w:val="11"/>
                <w:b w:val="1"/>
                <w:bCs w:val="1"/>
                <w:color w:val="auto"/>
                <w:w w:val="92"/>
              </w:rPr>
              <w:t>Date</w:t>
            </w:r>
          </w:p>
        </w:tc>
        <w:tc>
          <w:tcPr>
            <w:tcW w:w="980" w:type="dxa"/>
            <w:vAlign w:val="bottom"/>
          </w:tcPr>
          <w:p>
            <w:pPr>
              <w:jc w:val="center"/>
              <w:ind w:right="26"/>
              <w:spacing w:after="0"/>
              <w:rPr>
                <w:sz w:val="20"/>
                <w:szCs w:val="20"/>
                <w:color w:val="auto"/>
              </w:rPr>
            </w:pPr>
            <w:r>
              <w:rPr>
                <w:rFonts w:ascii="Arial" w:cs="Arial" w:eastAsia="Arial" w:hAnsi="Arial"/>
                <w:sz w:val="11"/>
                <w:szCs w:val="11"/>
                <w:b w:val="1"/>
                <w:bCs w:val="1"/>
                <w:color w:val="auto"/>
                <w:w w:val="90"/>
              </w:rPr>
              <w:t>Index</w:t>
            </w:r>
          </w:p>
        </w:tc>
        <w:tc>
          <w:tcPr>
            <w:tcW w:w="1140" w:type="dxa"/>
            <w:vAlign w:val="bottom"/>
          </w:tcPr>
          <w:p>
            <w:pPr>
              <w:jc w:val="center"/>
              <w:ind w:right="306"/>
              <w:spacing w:after="0"/>
              <w:rPr>
                <w:sz w:val="20"/>
                <w:szCs w:val="20"/>
                <w:color w:val="auto"/>
              </w:rPr>
            </w:pPr>
            <w:r>
              <w:rPr>
                <w:rFonts w:ascii="Arial" w:cs="Arial" w:eastAsia="Arial" w:hAnsi="Arial"/>
                <w:sz w:val="11"/>
                <w:szCs w:val="11"/>
                <w:b w:val="1"/>
                <w:bCs w:val="1"/>
                <w:color w:val="auto"/>
                <w:w w:val="92"/>
              </w:rPr>
              <w:t>Rate</w:t>
            </w:r>
          </w:p>
        </w:tc>
        <w:tc>
          <w:tcPr>
            <w:tcW w:w="820" w:type="dxa"/>
            <w:vAlign w:val="bottom"/>
          </w:tcPr>
          <w:p>
            <w:pPr>
              <w:jc w:val="center"/>
              <w:ind w:right="446"/>
              <w:spacing w:after="0"/>
              <w:rPr>
                <w:sz w:val="20"/>
                <w:szCs w:val="20"/>
                <w:color w:val="auto"/>
              </w:rPr>
            </w:pPr>
            <w:r>
              <w:rPr>
                <w:rFonts w:ascii="Arial" w:cs="Arial" w:eastAsia="Arial" w:hAnsi="Arial"/>
                <w:sz w:val="11"/>
                <w:szCs w:val="11"/>
                <w:b w:val="1"/>
                <w:bCs w:val="1"/>
                <w:color w:val="auto"/>
                <w:w w:val="83"/>
              </w:rPr>
              <w:t>Rate</w:t>
            </w:r>
          </w:p>
        </w:tc>
        <w:tc>
          <w:tcPr>
            <w:tcW w:w="860" w:type="dxa"/>
            <w:vAlign w:val="bottom"/>
          </w:tcPr>
          <w:p>
            <w:pPr>
              <w:jc w:val="center"/>
              <w:ind w:right="206"/>
              <w:spacing w:after="0"/>
              <w:rPr>
                <w:sz w:val="20"/>
                <w:szCs w:val="20"/>
                <w:color w:val="auto"/>
              </w:rPr>
            </w:pPr>
            <w:r>
              <w:rPr>
                <w:rFonts w:ascii="Arial" w:cs="Arial" w:eastAsia="Arial" w:hAnsi="Arial"/>
                <w:sz w:val="11"/>
                <w:szCs w:val="11"/>
                <w:b w:val="1"/>
                <w:bCs w:val="1"/>
                <w:color w:val="auto"/>
                <w:w w:val="83"/>
              </w:rPr>
              <w:t>Rate</w:t>
            </w:r>
          </w:p>
        </w:tc>
        <w:tc>
          <w:tcPr>
            <w:tcW w:w="180" w:type="dxa"/>
            <w:vAlign w:val="bottom"/>
          </w:tcPr>
          <w:p>
            <w:pPr>
              <w:spacing w:after="0"/>
              <w:rPr>
                <w:sz w:val="11"/>
                <w:szCs w:val="1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7"/>
              </w:rPr>
              <w:t>Unrealized Loss</w:t>
            </w:r>
          </w:p>
        </w:tc>
        <w:tc>
          <w:tcPr>
            <w:tcW w:w="100" w:type="dxa"/>
            <w:vAlign w:val="bottom"/>
          </w:tcPr>
          <w:p>
            <w:pPr>
              <w:spacing w:after="0"/>
              <w:rPr>
                <w:sz w:val="11"/>
                <w:szCs w:val="11"/>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4"/>
              </w:rPr>
              <w:t>Fair Value</w:t>
            </w:r>
          </w:p>
        </w:tc>
        <w:tc>
          <w:tcPr>
            <w:tcW w:w="12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Location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gridSpan w:val="2"/>
          </w:tcPr>
          <w:p>
            <w:pPr>
              <w:jc w:val="center"/>
              <w:ind w:right="386"/>
              <w:spacing w:after="0" w:line="115" w:lineRule="exact"/>
              <w:rPr>
                <w:sz w:val="20"/>
                <w:szCs w:val="20"/>
                <w:color w:val="auto"/>
              </w:rPr>
            </w:pPr>
            <w:r>
              <w:rPr>
                <w:rFonts w:ascii="Arial" w:cs="Arial" w:eastAsia="Arial" w:hAnsi="Arial"/>
                <w:sz w:val="11"/>
                <w:szCs w:val="11"/>
                <w:b w:val="1"/>
                <w:bCs w:val="1"/>
                <w:color w:val="auto"/>
                <w:w w:val="89"/>
              </w:rPr>
              <w:t>(Dollars in thousands)</w:t>
            </w: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spacing w:after="0" w:line="122" w:lineRule="exact"/>
              <w:rPr>
                <w:sz w:val="20"/>
                <w:szCs w:val="20"/>
                <w:color w:val="auto"/>
              </w:rPr>
            </w:pPr>
            <w:r>
              <w:rPr>
                <w:rFonts w:ascii="Arial" w:cs="Arial" w:eastAsia="Arial" w:hAnsi="Arial"/>
                <w:sz w:val="11"/>
                <w:szCs w:val="11"/>
                <w:i w:val="1"/>
                <w:iCs w:val="1"/>
                <w:color w:val="auto"/>
                <w:w w:val="91"/>
              </w:rPr>
              <w:t>Interest rate swaps:</w:t>
            </w:r>
          </w:p>
        </w:tc>
        <w:tc>
          <w:tcPr>
            <w:tcW w:w="3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w w:val="94"/>
              </w:rPr>
              <w:t>10,000</w:t>
            </w:r>
          </w:p>
        </w:tc>
        <w:tc>
          <w:tcPr>
            <w:tcW w:w="16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February 2010</w:t>
            </w:r>
          </w:p>
        </w:tc>
        <w:tc>
          <w:tcPr>
            <w:tcW w:w="10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February 2015</w:t>
            </w:r>
          </w:p>
        </w:tc>
        <w:tc>
          <w:tcPr>
            <w:tcW w:w="98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97"/>
              </w:rPr>
              <w:t>3 Mo. LIBOR</w:t>
            </w:r>
          </w:p>
        </w:tc>
        <w:tc>
          <w:tcPr>
            <w:tcW w:w="114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2.12%</w:t>
            </w:r>
          </w:p>
        </w:tc>
        <w:tc>
          <w:tcPr>
            <w:tcW w:w="8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4.69%</w:t>
            </w:r>
          </w:p>
        </w:tc>
        <w:tc>
          <w:tcPr>
            <w:tcW w:w="860" w:type="dxa"/>
            <w:vAlign w:val="bottom"/>
          </w:tcPr>
          <w:p>
            <w:pPr>
              <w:ind w:left="560"/>
              <w:spacing w:after="0" w:line="122" w:lineRule="exact"/>
              <w:rPr>
                <w:sz w:val="20"/>
                <w:szCs w:val="20"/>
                <w:color w:val="auto"/>
              </w:rPr>
            </w:pPr>
            <w:r>
              <w:rPr>
                <w:rFonts w:ascii="Arial" w:cs="Arial" w:eastAsia="Arial" w:hAnsi="Arial"/>
                <w:sz w:val="11"/>
                <w:szCs w:val="11"/>
                <w:color w:val="auto"/>
              </w:rPr>
              <w:t>n/a</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(99)</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(165)</w:t>
            </w:r>
          </w:p>
        </w:tc>
        <w:tc>
          <w:tcPr>
            <w:tcW w:w="1200" w:type="dxa"/>
            <w:vAlign w:val="bottom"/>
            <w:gridSpan w:val="2"/>
          </w:tcPr>
          <w:p>
            <w:pPr>
              <w:jc w:val="center"/>
              <w:ind w:right="160"/>
              <w:spacing w:after="0" w:line="122" w:lineRule="exact"/>
              <w:rPr>
                <w:sz w:val="20"/>
                <w:szCs w:val="20"/>
                <w:color w:val="auto"/>
              </w:rPr>
            </w:pPr>
            <w:r>
              <w:rPr>
                <w:rFonts w:ascii="Arial" w:cs="Arial" w:eastAsia="Arial" w:hAnsi="Arial"/>
                <w:sz w:val="11"/>
                <w:szCs w:val="11"/>
                <w:color w:val="auto"/>
                <w:w w:val="94"/>
              </w:rPr>
              <w:t>Other Liabilities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w:t>
            </w:r>
          </w:p>
        </w:tc>
        <w:tc>
          <w:tcPr>
            <w:tcW w:w="16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July 2013</w:t>
            </w:r>
          </w:p>
        </w:tc>
        <w:tc>
          <w:tcPr>
            <w:tcW w:w="10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July 2033</w:t>
            </w:r>
          </w:p>
        </w:tc>
        <w:tc>
          <w:tcPr>
            <w:tcW w:w="980" w:type="dxa"/>
            <w:vAlign w:val="bottom"/>
            <w:shd w:val="clear" w:color="auto" w:fill="CCEEFF"/>
          </w:tcPr>
          <w:p>
            <w:pPr>
              <w:jc w:val="center"/>
              <w:ind w:right="26"/>
              <w:spacing w:after="0" w:line="122" w:lineRule="exact"/>
              <w:rPr>
                <w:sz w:val="20"/>
                <w:szCs w:val="20"/>
                <w:color w:val="auto"/>
              </w:rPr>
            </w:pPr>
            <w:r>
              <w:rPr>
                <w:rFonts w:ascii="Arial" w:cs="Arial" w:eastAsia="Arial" w:hAnsi="Arial"/>
                <w:sz w:val="11"/>
                <w:szCs w:val="11"/>
                <w:color w:val="auto"/>
                <w:w w:val="97"/>
              </w:rPr>
              <w:t>3 Mo. LIBOR</w:t>
            </w:r>
          </w:p>
        </w:tc>
        <w:tc>
          <w:tcPr>
            <w:tcW w:w="114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0.23%</w:t>
            </w:r>
          </w:p>
        </w:tc>
        <w:tc>
          <w:tcPr>
            <w:tcW w:w="8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3.38%</w:t>
            </w:r>
          </w:p>
        </w:tc>
        <w:tc>
          <w:tcPr>
            <w:tcW w:w="860" w:type="dxa"/>
            <w:vAlign w:val="bottom"/>
            <w:shd w:val="clear" w:color="auto" w:fill="CCEEFF"/>
          </w:tcPr>
          <w:p>
            <w:pPr>
              <w:ind w:left="560"/>
              <w:spacing w:after="0" w:line="122" w:lineRule="exact"/>
              <w:rPr>
                <w:sz w:val="20"/>
                <w:szCs w:val="20"/>
                <w:color w:val="auto"/>
              </w:rPr>
            </w:pPr>
            <w:r>
              <w:rPr>
                <w:rFonts w:ascii="Arial" w:cs="Arial" w:eastAsia="Arial" w:hAnsi="Arial"/>
                <w:sz w:val="11"/>
                <w:szCs w:val="11"/>
                <w:color w:val="auto"/>
              </w:rPr>
              <w:t>n/a</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(216)</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(216)</w:t>
            </w:r>
          </w:p>
        </w:tc>
        <w:tc>
          <w:tcPr>
            <w:tcW w:w="1200" w:type="dxa"/>
            <w:vAlign w:val="bottom"/>
            <w:gridSpan w:val="2"/>
            <w:shd w:val="clear" w:color="auto" w:fill="CCEEFF"/>
          </w:tcPr>
          <w:p>
            <w:pPr>
              <w:jc w:val="center"/>
              <w:ind w:right="160"/>
              <w:spacing w:after="0" w:line="122" w:lineRule="exact"/>
              <w:rPr>
                <w:sz w:val="20"/>
                <w:szCs w:val="20"/>
                <w:color w:val="auto"/>
              </w:rPr>
            </w:pPr>
            <w:r>
              <w:rPr>
                <w:rFonts w:ascii="Arial" w:cs="Arial" w:eastAsia="Arial" w:hAnsi="Arial"/>
                <w:sz w:val="11"/>
                <w:szCs w:val="11"/>
                <w:color w:val="auto"/>
                <w:w w:val="94"/>
              </w:rPr>
              <w:t>Other Liabilities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5,000</w:t>
            </w:r>
          </w:p>
        </w:tc>
        <w:tc>
          <w:tcPr>
            <w:tcW w:w="16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July 2013</w:t>
            </w:r>
          </w:p>
        </w:tc>
        <w:tc>
          <w:tcPr>
            <w:tcW w:w="10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July 2028</w:t>
            </w:r>
          </w:p>
        </w:tc>
        <w:tc>
          <w:tcPr>
            <w:tcW w:w="98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97"/>
              </w:rPr>
              <w:t>3 Mo. LIBOR</w:t>
            </w:r>
          </w:p>
        </w:tc>
        <w:tc>
          <w:tcPr>
            <w:tcW w:w="1140" w:type="dxa"/>
            <w:vAlign w:val="bottom"/>
          </w:tcPr>
          <w:p>
            <w:pPr>
              <w:jc w:val="right"/>
              <w:ind w:right="266"/>
              <w:spacing w:after="0" w:line="122" w:lineRule="exact"/>
              <w:rPr>
                <w:sz w:val="20"/>
                <w:szCs w:val="20"/>
                <w:color w:val="auto"/>
              </w:rPr>
            </w:pPr>
            <w:r>
              <w:rPr>
                <w:rFonts w:ascii="Arial" w:cs="Arial" w:eastAsia="Arial" w:hAnsi="Arial"/>
                <w:sz w:val="11"/>
                <w:szCs w:val="11"/>
                <w:color w:val="auto"/>
              </w:rPr>
              <w:t>0.23%</w:t>
            </w:r>
          </w:p>
        </w:tc>
        <w:tc>
          <w:tcPr>
            <w:tcW w:w="8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3.23%</w:t>
            </w:r>
          </w:p>
        </w:tc>
        <w:tc>
          <w:tcPr>
            <w:tcW w:w="860" w:type="dxa"/>
            <w:vAlign w:val="bottom"/>
          </w:tcPr>
          <w:p>
            <w:pPr>
              <w:ind w:left="560"/>
              <w:spacing w:after="0" w:line="122" w:lineRule="exact"/>
              <w:rPr>
                <w:sz w:val="20"/>
                <w:szCs w:val="20"/>
                <w:color w:val="auto"/>
              </w:rPr>
            </w:pPr>
            <w:r>
              <w:rPr>
                <w:rFonts w:ascii="Arial" w:cs="Arial" w:eastAsia="Arial" w:hAnsi="Arial"/>
                <w:sz w:val="11"/>
                <w:szCs w:val="11"/>
                <w:color w:val="auto"/>
              </w:rPr>
              <w:t>n/a</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(200)</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(200)</w:t>
            </w:r>
          </w:p>
        </w:tc>
        <w:tc>
          <w:tcPr>
            <w:tcW w:w="1200" w:type="dxa"/>
            <w:vAlign w:val="bottom"/>
            <w:gridSpan w:val="2"/>
          </w:tcPr>
          <w:p>
            <w:pPr>
              <w:jc w:val="center"/>
              <w:ind w:right="160"/>
              <w:spacing w:after="0" w:line="122" w:lineRule="exact"/>
              <w:rPr>
                <w:sz w:val="20"/>
                <w:szCs w:val="20"/>
                <w:color w:val="auto"/>
              </w:rPr>
            </w:pPr>
            <w:r>
              <w:rPr>
                <w:rFonts w:ascii="Arial" w:cs="Arial" w:eastAsia="Arial" w:hAnsi="Arial"/>
                <w:sz w:val="11"/>
                <w:szCs w:val="11"/>
                <w:color w:val="auto"/>
                <w:w w:val="94"/>
              </w:rPr>
              <w:t>Other Liabilities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w:t>
            </w:r>
          </w:p>
        </w:tc>
        <w:tc>
          <w:tcPr>
            <w:tcW w:w="16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July 2013</w:t>
            </w:r>
          </w:p>
        </w:tc>
        <w:tc>
          <w:tcPr>
            <w:tcW w:w="10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July 2023</w:t>
            </w:r>
          </w:p>
        </w:tc>
        <w:tc>
          <w:tcPr>
            <w:tcW w:w="980" w:type="dxa"/>
            <w:vAlign w:val="bottom"/>
            <w:shd w:val="clear" w:color="auto" w:fill="CCEEFF"/>
          </w:tcPr>
          <w:p>
            <w:pPr>
              <w:jc w:val="center"/>
              <w:ind w:right="26"/>
              <w:spacing w:after="0" w:line="122" w:lineRule="exact"/>
              <w:rPr>
                <w:sz w:val="20"/>
                <w:szCs w:val="20"/>
                <w:color w:val="auto"/>
              </w:rPr>
            </w:pPr>
            <w:r>
              <w:rPr>
                <w:rFonts w:ascii="Arial" w:cs="Arial" w:eastAsia="Arial" w:hAnsi="Arial"/>
                <w:sz w:val="11"/>
                <w:szCs w:val="11"/>
                <w:color w:val="auto"/>
                <w:w w:val="97"/>
              </w:rPr>
              <w:t>3 Mo. LIBOR</w:t>
            </w:r>
          </w:p>
        </w:tc>
        <w:tc>
          <w:tcPr>
            <w:tcW w:w="114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0.23%</w:t>
            </w:r>
          </w:p>
        </w:tc>
        <w:tc>
          <w:tcPr>
            <w:tcW w:w="8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2.77%</w:t>
            </w:r>
          </w:p>
        </w:tc>
        <w:tc>
          <w:tcPr>
            <w:tcW w:w="860" w:type="dxa"/>
            <w:vAlign w:val="bottom"/>
            <w:shd w:val="clear" w:color="auto" w:fill="CCEEFF"/>
          </w:tcPr>
          <w:p>
            <w:pPr>
              <w:ind w:left="560"/>
              <w:spacing w:after="0" w:line="122" w:lineRule="exact"/>
              <w:rPr>
                <w:sz w:val="20"/>
                <w:szCs w:val="20"/>
                <w:color w:val="auto"/>
              </w:rPr>
            </w:pPr>
            <w:r>
              <w:rPr>
                <w:rFonts w:ascii="Arial" w:cs="Arial" w:eastAsia="Arial" w:hAnsi="Arial"/>
                <w:sz w:val="11"/>
                <w:szCs w:val="11"/>
                <w:color w:val="auto"/>
              </w:rPr>
              <w:t>n/a</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(133)</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(133)</w:t>
            </w:r>
          </w:p>
        </w:tc>
        <w:tc>
          <w:tcPr>
            <w:tcW w:w="1200" w:type="dxa"/>
            <w:vAlign w:val="bottom"/>
            <w:gridSpan w:val="2"/>
            <w:shd w:val="clear" w:color="auto" w:fill="CCEEFF"/>
          </w:tcPr>
          <w:p>
            <w:pPr>
              <w:jc w:val="center"/>
              <w:ind w:right="160"/>
              <w:spacing w:after="0" w:line="122" w:lineRule="exact"/>
              <w:rPr>
                <w:sz w:val="20"/>
                <w:szCs w:val="20"/>
                <w:color w:val="auto"/>
              </w:rPr>
            </w:pPr>
            <w:r>
              <w:rPr>
                <w:rFonts w:ascii="Arial" w:cs="Arial" w:eastAsia="Arial" w:hAnsi="Arial"/>
                <w:sz w:val="11"/>
                <w:szCs w:val="11"/>
                <w:color w:val="auto"/>
                <w:w w:val="94"/>
              </w:rPr>
              <w:t>Other Liabilities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line="122" w:lineRule="exact"/>
              <w:rPr>
                <w:sz w:val="20"/>
                <w:szCs w:val="20"/>
                <w:color w:val="auto"/>
              </w:rPr>
            </w:pPr>
            <w:r>
              <w:rPr>
                <w:rFonts w:ascii="Arial" w:cs="Arial" w:eastAsia="Arial" w:hAnsi="Arial"/>
                <w:sz w:val="11"/>
                <w:szCs w:val="11"/>
                <w:i w:val="1"/>
                <w:iCs w:val="1"/>
                <w:color w:val="auto"/>
                <w:w w:val="99"/>
              </w:rPr>
              <w:t>Interest rate caps:</w:t>
            </w:r>
          </w:p>
        </w:tc>
        <w:tc>
          <w:tcPr>
            <w:tcW w:w="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6,000</w:t>
            </w:r>
          </w:p>
        </w:tc>
        <w:tc>
          <w:tcPr>
            <w:tcW w:w="16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September 2009</w:t>
            </w:r>
          </w:p>
        </w:tc>
        <w:tc>
          <w:tcPr>
            <w:tcW w:w="10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September 2014</w:t>
            </w:r>
          </w:p>
        </w:tc>
        <w:tc>
          <w:tcPr>
            <w:tcW w:w="980" w:type="dxa"/>
            <w:vAlign w:val="bottom"/>
            <w:shd w:val="clear" w:color="auto" w:fill="CCEEFF"/>
          </w:tcPr>
          <w:p>
            <w:pPr>
              <w:jc w:val="center"/>
              <w:ind w:right="26"/>
              <w:spacing w:after="0" w:line="122" w:lineRule="exact"/>
              <w:rPr>
                <w:sz w:val="20"/>
                <w:szCs w:val="20"/>
                <w:color w:val="auto"/>
              </w:rPr>
            </w:pPr>
            <w:r>
              <w:rPr>
                <w:rFonts w:ascii="Arial" w:cs="Arial" w:eastAsia="Arial" w:hAnsi="Arial"/>
                <w:sz w:val="11"/>
                <w:szCs w:val="11"/>
                <w:color w:val="auto"/>
                <w:w w:val="97"/>
              </w:rPr>
              <w:t>3 Mo. LIBOR</w:t>
            </w:r>
          </w:p>
        </w:tc>
        <w:tc>
          <w:tcPr>
            <w:tcW w:w="114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n/a</w:t>
            </w:r>
          </w:p>
        </w:tc>
        <w:tc>
          <w:tcPr>
            <w:tcW w:w="8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n/a</w:t>
            </w:r>
          </w:p>
        </w:tc>
        <w:tc>
          <w:tcPr>
            <w:tcW w:w="860" w:type="dxa"/>
            <w:vAlign w:val="bottom"/>
            <w:shd w:val="clear" w:color="auto" w:fill="CCEEFF"/>
          </w:tcPr>
          <w:p>
            <w:pPr>
              <w:ind w:left="500"/>
              <w:spacing w:after="0" w:line="122" w:lineRule="exact"/>
              <w:rPr>
                <w:sz w:val="20"/>
                <w:szCs w:val="20"/>
                <w:color w:val="auto"/>
              </w:rPr>
            </w:pPr>
            <w:r>
              <w:rPr>
                <w:rFonts w:ascii="Arial" w:cs="Arial" w:eastAsia="Arial" w:hAnsi="Arial"/>
                <w:sz w:val="11"/>
                <w:szCs w:val="11"/>
                <w:color w:val="auto"/>
              </w:rPr>
              <w:t>2.51%</w:t>
            </w:r>
          </w:p>
        </w:tc>
        <w:tc>
          <w:tcPr>
            <w:tcW w:w="1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200" w:type="dxa"/>
            <w:vAlign w:val="bottom"/>
            <w:gridSpan w:val="2"/>
            <w:shd w:val="clear" w:color="auto" w:fill="CCEEFF"/>
          </w:tcPr>
          <w:p>
            <w:pPr>
              <w:jc w:val="center"/>
              <w:ind w:right="160"/>
              <w:spacing w:after="0" w:line="122" w:lineRule="exact"/>
              <w:rPr>
                <w:sz w:val="20"/>
                <w:szCs w:val="20"/>
                <w:color w:val="auto"/>
              </w:rPr>
            </w:pPr>
            <w:r>
              <w:rPr>
                <w:rFonts w:ascii="Arial" w:cs="Arial" w:eastAsia="Arial" w:hAnsi="Arial"/>
                <w:sz w:val="11"/>
                <w:szCs w:val="11"/>
                <w:color w:val="auto"/>
                <w:w w:val="87"/>
              </w:rPr>
              <w:t>Other Assets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3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4"/>
              </w:rPr>
              <w:t>31,000</w:t>
            </w:r>
          </w:p>
        </w:tc>
        <w:tc>
          <w:tcPr>
            <w:tcW w:w="1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(664)</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(714)</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During the three and nine months ended March 31, 2015 and 2014,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and nine months ended March 31, 2015 and 2014 related to the balance sheet hedging of variable rate debt indicates that the hedges were effective.</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(loss) follow.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8"/>
          </w:tcPr>
          <w:p>
            <w:pPr>
              <w:jc w:val="right"/>
              <w:ind w:right="635"/>
              <w:spacing w:after="0"/>
              <w:rPr>
                <w:sz w:val="20"/>
                <w:szCs w:val="20"/>
                <w:color w:val="auto"/>
              </w:rPr>
            </w:pPr>
            <w:r>
              <w:rPr>
                <w:rFonts w:ascii="Arial" w:cs="Arial" w:eastAsia="Arial" w:hAnsi="Arial"/>
                <w:sz w:val="11"/>
                <w:szCs w:val="11"/>
                <w:b w:val="1"/>
                <w:bCs w:val="1"/>
                <w:color w:val="auto"/>
              </w:rPr>
              <w:t>Three Months Ended March 31,</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15"/>
        </w:trPr>
        <w:tc>
          <w:tcPr>
            <w:tcW w:w="3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46"/>
              <w:spacing w:after="0" w:line="115" w:lineRule="exact"/>
              <w:rPr>
                <w:sz w:val="20"/>
                <w:szCs w:val="20"/>
                <w:color w:val="auto"/>
              </w:rPr>
            </w:pPr>
            <w:r>
              <w:rPr>
                <w:rFonts w:ascii="Arial" w:cs="Arial" w:eastAsia="Arial" w:hAnsi="Arial"/>
                <w:sz w:val="11"/>
                <w:szCs w:val="11"/>
                <w:b w:val="1"/>
                <w:bCs w:val="1"/>
                <w:color w:val="auto"/>
                <w:w w:val="89"/>
              </w:rPr>
              <w:t>2015</w:t>
            </w: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auto"/>
                <w:w w:val="81"/>
              </w:rPr>
              <w:t>2014</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1"/>
        </w:trPr>
        <w:tc>
          <w:tcPr>
            <w:tcW w:w="3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jc w:val="right"/>
              <w:ind w:right="6"/>
              <w:spacing w:after="0" w:line="102" w:lineRule="exact"/>
              <w:rPr>
                <w:sz w:val="20"/>
                <w:szCs w:val="20"/>
                <w:color w:val="auto"/>
              </w:rPr>
            </w:pPr>
            <w:r>
              <w:rPr>
                <w:rFonts w:ascii="Arial" w:cs="Arial" w:eastAsia="Arial" w:hAnsi="Arial"/>
                <w:sz w:val="11"/>
                <w:szCs w:val="11"/>
                <w:b w:val="1"/>
                <w:bCs w:val="1"/>
                <w:color w:val="auto"/>
              </w:rPr>
              <w:t>Pre-tax</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3"/>
          </w:tcPr>
          <w:p>
            <w:pPr>
              <w:jc w:val="center"/>
              <w:ind w:right="282"/>
              <w:spacing w:after="0" w:line="102" w:lineRule="exact"/>
              <w:rPr>
                <w:sz w:val="20"/>
                <w:szCs w:val="20"/>
                <w:color w:val="auto"/>
              </w:rPr>
            </w:pPr>
            <w:r>
              <w:rPr>
                <w:rFonts w:ascii="Arial" w:cs="Arial" w:eastAsia="Arial" w:hAnsi="Arial"/>
                <w:sz w:val="11"/>
                <w:szCs w:val="11"/>
                <w:b w:val="1"/>
                <w:bCs w:val="1"/>
                <w:color w:val="auto"/>
                <w:w w:val="86"/>
              </w:rPr>
              <w:t>Tax Expense</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tcPr>
          <w:p>
            <w:pPr>
              <w:jc w:val="right"/>
              <w:ind w:right="355"/>
              <w:spacing w:after="0" w:line="102" w:lineRule="exact"/>
              <w:rPr>
                <w:sz w:val="20"/>
                <w:szCs w:val="20"/>
                <w:color w:val="auto"/>
              </w:rPr>
            </w:pPr>
            <w:r>
              <w:rPr>
                <w:rFonts w:ascii="Arial" w:cs="Arial" w:eastAsia="Arial" w:hAnsi="Arial"/>
                <w:sz w:val="11"/>
                <w:szCs w:val="11"/>
                <w:b w:val="1"/>
                <w:bCs w:val="1"/>
                <w:color w:val="auto"/>
              </w:rPr>
              <w:t>After-tax</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gridSpan w:val="3"/>
          </w:tcPr>
          <w:p>
            <w:pPr>
              <w:jc w:val="right"/>
              <w:ind w:right="495"/>
              <w:spacing w:after="0" w:line="102" w:lineRule="exact"/>
              <w:rPr>
                <w:sz w:val="20"/>
                <w:szCs w:val="20"/>
                <w:color w:val="auto"/>
              </w:rPr>
            </w:pPr>
            <w:r>
              <w:rPr>
                <w:rFonts w:ascii="Arial" w:cs="Arial" w:eastAsia="Arial" w:hAnsi="Arial"/>
                <w:sz w:val="11"/>
                <w:szCs w:val="11"/>
                <w:b w:val="1"/>
                <w:bCs w:val="1"/>
                <w:color w:val="auto"/>
              </w:rPr>
              <w:t>Pre-tax</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3"/>
          </w:tcPr>
          <w:p>
            <w:pPr>
              <w:jc w:val="center"/>
              <w:ind w:right="282"/>
              <w:spacing w:after="0" w:line="102" w:lineRule="exact"/>
              <w:rPr>
                <w:sz w:val="20"/>
                <w:szCs w:val="20"/>
                <w:color w:val="auto"/>
              </w:rPr>
            </w:pPr>
            <w:r>
              <w:rPr>
                <w:rFonts w:ascii="Arial" w:cs="Arial" w:eastAsia="Arial" w:hAnsi="Arial"/>
                <w:sz w:val="11"/>
                <w:szCs w:val="11"/>
                <w:b w:val="1"/>
                <w:bCs w:val="1"/>
                <w:color w:val="auto"/>
                <w:w w:val="86"/>
              </w:rPr>
              <w:t>Tax Expense</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tcPr>
          <w:p>
            <w:pPr>
              <w:jc w:val="right"/>
              <w:ind w:right="360"/>
              <w:spacing w:after="0" w:line="102" w:lineRule="exact"/>
              <w:rPr>
                <w:sz w:val="20"/>
                <w:szCs w:val="20"/>
                <w:color w:val="auto"/>
              </w:rPr>
            </w:pPr>
            <w:r>
              <w:rPr>
                <w:rFonts w:ascii="Arial" w:cs="Arial" w:eastAsia="Arial" w:hAnsi="Arial"/>
                <w:sz w:val="11"/>
                <w:szCs w:val="11"/>
                <w:b w:val="1"/>
                <w:bCs w:val="1"/>
                <w:color w:val="auto"/>
              </w:rPr>
              <w:t>After-tax</w:t>
            </w:r>
          </w:p>
        </w:tc>
        <w:tc>
          <w:tcPr>
            <w:tcW w:w="60" w:type="dxa"/>
            <w:vAlign w:val="bottom"/>
          </w:tcPr>
          <w:p>
            <w:pPr>
              <w:spacing w:after="0"/>
              <w:rPr>
                <w:sz w:val="8"/>
                <w:szCs w:val="8"/>
                <w:color w:val="auto"/>
              </w:rPr>
            </w:pPr>
          </w:p>
        </w:tc>
      </w:tr>
      <w:tr>
        <w:trPr>
          <w:trHeight w:val="135"/>
        </w:trPr>
        <w:tc>
          <w:tcPr>
            <w:tcW w:w="3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center"/>
              <w:ind w:right="262"/>
              <w:spacing w:after="0"/>
              <w:rPr>
                <w:sz w:val="20"/>
                <w:szCs w:val="20"/>
                <w:color w:val="auto"/>
              </w:rPr>
            </w:pPr>
            <w:r>
              <w:rPr>
                <w:rFonts w:ascii="Arial" w:cs="Arial" w:eastAsia="Arial" w:hAnsi="Arial"/>
                <w:sz w:val="11"/>
                <w:szCs w:val="11"/>
                <w:b w:val="1"/>
                <w:bCs w:val="1"/>
                <w:color w:val="auto"/>
                <w:w w:val="89"/>
              </w:rPr>
              <w:t>(Benefit)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jc w:val="right"/>
              <w:ind w:right="522"/>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3"/>
          </w:tcPr>
          <w:p>
            <w:pPr>
              <w:jc w:val="right"/>
              <w:ind w:right="475"/>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center"/>
              <w:ind w:right="302"/>
              <w:spacing w:after="0"/>
              <w:rPr>
                <w:sz w:val="20"/>
                <w:szCs w:val="20"/>
                <w:color w:val="auto"/>
              </w:rPr>
            </w:pPr>
            <w:r>
              <w:rPr>
                <w:rFonts w:ascii="Arial" w:cs="Arial" w:eastAsia="Arial" w:hAnsi="Arial"/>
                <w:sz w:val="11"/>
                <w:szCs w:val="11"/>
                <w:b w:val="1"/>
                <w:bCs w:val="1"/>
                <w:color w:val="auto"/>
                <w:w w:val="89"/>
              </w:rPr>
              <w:t>(Benefit)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right"/>
              <w:ind w:right="402"/>
              <w:spacing w:after="0"/>
              <w:rPr>
                <w:sz w:val="20"/>
                <w:szCs w:val="20"/>
                <w:color w:val="auto"/>
              </w:rPr>
            </w:pPr>
            <w:r>
              <w:rPr>
                <w:rFonts w:ascii="Arial" w:cs="Arial" w:eastAsia="Arial" w:hAnsi="Arial"/>
                <w:sz w:val="11"/>
                <w:szCs w:val="11"/>
                <w:b w:val="1"/>
                <w:bCs w:val="1"/>
                <w:color w:val="auto"/>
              </w:rPr>
              <w:t>Amount</w:t>
            </w:r>
          </w:p>
        </w:tc>
      </w:tr>
      <w:tr>
        <w:trPr>
          <w:trHeight w:val="115"/>
        </w:trPr>
        <w:tc>
          <w:tcPr>
            <w:tcW w:w="3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40" w:type="dxa"/>
            <w:vAlign w:val="bottom"/>
            <w:tcBorders>
              <w:top w:val="single" w:sz="8" w:color="auto"/>
            </w:tcBorders>
            <w:gridSpan w:val="8"/>
          </w:tcPr>
          <w:p>
            <w:pPr>
              <w:jc w:val="right"/>
              <w:ind w:right="875"/>
              <w:spacing w:after="0" w:line="115" w:lineRule="exact"/>
              <w:rPr>
                <w:sz w:val="20"/>
                <w:szCs w:val="20"/>
                <w:color w:val="auto"/>
              </w:rPr>
            </w:pPr>
            <w:r>
              <w:rPr>
                <w:rFonts w:ascii="Arial" w:cs="Arial" w:eastAsia="Arial" w:hAnsi="Arial"/>
                <w:sz w:val="11"/>
                <w:szCs w:val="11"/>
                <w:b w:val="1"/>
                <w:bCs w:val="1"/>
                <w:color w:val="auto"/>
              </w:rPr>
              <w:t>(Dollars in thousands)</w:t>
            </w: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9"/>
              </w:rPr>
              <w:t>Change in net unrealized gain or loss on available-for-sale securities</w:t>
            </w:r>
          </w:p>
        </w:tc>
        <w:tc>
          <w:tcPr>
            <w:tcW w:w="840" w:type="dxa"/>
            <w:vAlign w:val="bottom"/>
            <w:gridSpan w:val="2"/>
            <w:shd w:val="clear" w:color="auto" w:fill="CCEEFF"/>
          </w:tcPr>
          <w:p>
            <w:pPr>
              <w:jc w:val="right"/>
              <w:ind w:right="686"/>
              <w:spacing w:after="0" w:line="122"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571</w:t>
            </w:r>
          </w:p>
        </w:tc>
        <w:tc>
          <w:tcPr>
            <w:tcW w:w="10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194</w:t>
            </w:r>
          </w:p>
        </w:tc>
        <w:tc>
          <w:tcPr>
            <w:tcW w:w="18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3"/>
            <w:shd w:val="clear" w:color="auto" w:fill="CCEEFF"/>
          </w:tcPr>
          <w:p>
            <w:pPr>
              <w:jc w:val="right"/>
              <w:ind w:right="142"/>
              <w:spacing w:after="0" w:line="122" w:lineRule="exact"/>
              <w:rPr>
                <w:sz w:val="20"/>
                <w:szCs w:val="20"/>
                <w:color w:val="auto"/>
              </w:rPr>
            </w:pPr>
            <w:r>
              <w:rPr>
                <w:rFonts w:ascii="Arial" w:cs="Arial" w:eastAsia="Arial" w:hAnsi="Arial"/>
                <w:sz w:val="11"/>
                <w:szCs w:val="11"/>
                <w:color w:val="auto"/>
              </w:rPr>
              <w:t>377</w:t>
            </w:r>
          </w:p>
        </w:tc>
        <w:tc>
          <w:tcPr>
            <w:tcW w:w="38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3"/>
            <w:shd w:val="clear" w:color="auto" w:fill="CCEEFF"/>
          </w:tcPr>
          <w:p>
            <w:pPr>
              <w:jc w:val="right"/>
              <w:ind w:right="95"/>
              <w:spacing w:after="0" w:line="122" w:lineRule="exact"/>
              <w:rPr>
                <w:sz w:val="20"/>
                <w:szCs w:val="20"/>
                <w:color w:val="auto"/>
              </w:rPr>
            </w:pPr>
            <w:r>
              <w:rPr>
                <w:rFonts w:ascii="Arial" w:cs="Arial" w:eastAsia="Arial" w:hAnsi="Arial"/>
                <w:sz w:val="11"/>
                <w:szCs w:val="11"/>
                <w:color w:val="auto"/>
              </w:rPr>
              <w:t>579</w:t>
            </w:r>
          </w:p>
        </w:tc>
        <w:tc>
          <w:tcPr>
            <w:tcW w:w="2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180" w:type="dxa"/>
            <w:vAlign w:val="bottom"/>
            <w:gridSpan w:val="3"/>
            <w:shd w:val="clear" w:color="auto" w:fill="CCEEFF"/>
          </w:tcPr>
          <w:p>
            <w:pPr>
              <w:jc w:val="right"/>
              <w:ind w:right="162"/>
              <w:spacing w:after="0" w:line="122" w:lineRule="exact"/>
              <w:rPr>
                <w:sz w:val="20"/>
                <w:szCs w:val="20"/>
                <w:color w:val="auto"/>
              </w:rPr>
            </w:pPr>
            <w:r>
              <w:rPr>
                <w:rFonts w:ascii="Arial" w:cs="Arial" w:eastAsia="Arial" w:hAnsi="Arial"/>
                <w:sz w:val="11"/>
                <w:szCs w:val="11"/>
                <w:color w:val="auto"/>
              </w:rPr>
              <w:t>196</w:t>
            </w:r>
          </w:p>
        </w:tc>
        <w:tc>
          <w:tcPr>
            <w:tcW w:w="2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w w:val="97"/>
              </w:rPr>
              <w:t>$</w:t>
            </w:r>
          </w:p>
        </w:tc>
        <w:tc>
          <w:tcPr>
            <w:tcW w:w="1000" w:type="dxa"/>
            <w:vAlign w:val="bottom"/>
            <w:gridSpan w:val="3"/>
            <w:shd w:val="clear" w:color="auto" w:fill="CCEEFF"/>
          </w:tcPr>
          <w:p>
            <w:pPr>
              <w:jc w:val="right"/>
              <w:ind w:right="22"/>
              <w:spacing w:after="0" w:line="122" w:lineRule="exact"/>
              <w:rPr>
                <w:sz w:val="20"/>
                <w:szCs w:val="20"/>
                <w:color w:val="auto"/>
              </w:rPr>
            </w:pPr>
            <w:r>
              <w:rPr>
                <w:rFonts w:ascii="Arial" w:cs="Arial" w:eastAsia="Arial" w:hAnsi="Arial"/>
                <w:sz w:val="11"/>
                <w:szCs w:val="11"/>
                <w:color w:val="auto"/>
              </w:rPr>
              <w:t>383</w:t>
            </w:r>
          </w:p>
        </w:tc>
      </w:tr>
      <w:tr>
        <w:trPr>
          <w:trHeight w:val="122"/>
        </w:trPr>
        <w:tc>
          <w:tcPr>
            <w:tcW w:w="3340" w:type="dxa"/>
            <w:vAlign w:val="bottom"/>
          </w:tcPr>
          <w:p>
            <w:pPr>
              <w:ind w:left="180"/>
              <w:spacing w:after="0" w:line="122" w:lineRule="exact"/>
              <w:rPr>
                <w:sz w:val="20"/>
                <w:szCs w:val="20"/>
                <w:color w:val="auto"/>
              </w:rPr>
            </w:pPr>
            <w:r>
              <w:rPr>
                <w:rFonts w:ascii="Arial" w:cs="Arial" w:eastAsia="Arial" w:hAnsi="Arial"/>
                <w:sz w:val="11"/>
                <w:szCs w:val="11"/>
                <w:color w:val="auto"/>
              </w:rPr>
              <w:t>Reclassification adjustment for net gains included in net income</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gridSpan w:val="3"/>
          </w:tcPr>
          <w:p>
            <w:pPr>
              <w:jc w:val="right"/>
              <w:ind w:right="95"/>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tcPr>
          <w:p>
            <w:pPr>
              <w:jc w:val="right"/>
              <w:ind w:right="142"/>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3"/>
          </w:tcPr>
          <w:p>
            <w:pPr>
              <w:jc w:val="right"/>
              <w:ind w:right="95"/>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jc w:val="right"/>
              <w:ind w:right="162"/>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jc w:val="right"/>
              <w:ind w:right="22"/>
              <w:spacing w:after="0" w:line="122" w:lineRule="exact"/>
              <w:rPr>
                <w:sz w:val="20"/>
                <w:szCs w:val="20"/>
                <w:color w:val="auto"/>
              </w:rPr>
            </w:pPr>
            <w:r>
              <w:rPr>
                <w:rFonts w:ascii="Arial" w:cs="Arial" w:eastAsia="Arial" w:hAnsi="Arial"/>
                <w:sz w:val="11"/>
                <w:szCs w:val="11"/>
                <w:color w:val="auto"/>
              </w:rPr>
              <w:t>—</w:t>
            </w:r>
          </w:p>
        </w:tc>
      </w:tr>
      <w:tr>
        <w:trPr>
          <w:trHeight w:val="115"/>
        </w:trPr>
        <w:tc>
          <w:tcPr>
            <w:tcW w:w="33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Total available-for-sale securities</w:t>
            </w:r>
          </w:p>
        </w:tc>
        <w:tc>
          <w:tcPr>
            <w:tcW w:w="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571</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194</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377</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579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196</w:t>
            </w: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383</w:t>
            </w:r>
          </w:p>
        </w:tc>
        <w:tc>
          <w:tcPr>
            <w:tcW w:w="60" w:type="dxa"/>
            <w:vAlign w:val="bottom"/>
            <w:tcBorders>
              <w:top w:val="single" w:sz="8" w:color="CCEEFF"/>
            </w:tcBorders>
            <w:shd w:val="clear" w:color="auto" w:fill="CCEEFF"/>
          </w:tcPr>
          <w:p>
            <w:pPr>
              <w:spacing w:after="0"/>
              <w:rPr>
                <w:sz w:val="10"/>
                <w:szCs w:val="10"/>
                <w:color w:val="auto"/>
              </w:rPr>
            </w:pPr>
          </w:p>
        </w:tc>
      </w:tr>
      <w:tr>
        <w:trPr>
          <w:trHeight w:val="115"/>
        </w:trPr>
        <w:tc>
          <w:tcPr>
            <w:tcW w:w="3340" w:type="dxa"/>
            <w:vAlign w:val="bottom"/>
          </w:tcPr>
          <w:p>
            <w:pPr>
              <w:spacing w:after="0" w:line="115" w:lineRule="exact"/>
              <w:rPr>
                <w:sz w:val="20"/>
                <w:szCs w:val="20"/>
                <w:color w:val="auto"/>
              </w:rPr>
            </w:pPr>
            <w:r>
              <w:rPr>
                <w:rFonts w:ascii="Arial" w:cs="Arial" w:eastAsia="Arial" w:hAnsi="Arial"/>
                <w:sz w:val="11"/>
                <w:szCs w:val="11"/>
                <w:color w:val="auto"/>
              </w:rPr>
              <w:t>Change in accumulated loss on effective cash flow hedges</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(566)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(193)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(373)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(528)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(178)</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(350)</w:t>
            </w:r>
          </w:p>
        </w:tc>
        <w:tc>
          <w:tcPr>
            <w:tcW w:w="60" w:type="dxa"/>
            <w:vAlign w:val="bottom"/>
          </w:tcPr>
          <w:p>
            <w:pPr>
              <w:spacing w:after="0"/>
              <w:rPr>
                <w:sz w:val="10"/>
                <w:szCs w:val="10"/>
                <w:color w:val="auto"/>
              </w:rPr>
            </w:pPr>
          </w:p>
        </w:tc>
      </w:tr>
      <w:tr>
        <w:trPr>
          <w:trHeight w:val="122"/>
        </w:trPr>
        <w:tc>
          <w:tcPr>
            <w:tcW w:w="33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Reclassification adjustment for net gains included in net income</w:t>
            </w: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60" w:type="dxa"/>
            <w:vAlign w:val="bottom"/>
            <w:gridSpan w:val="3"/>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(16)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gridSpan w:val="3"/>
            <w:shd w:val="clear" w:color="auto" w:fill="CCEEFF"/>
          </w:tcPr>
          <w:p>
            <w:pPr>
              <w:jc w:val="right"/>
              <w:ind w:right="102"/>
              <w:spacing w:after="0" w:line="122" w:lineRule="exact"/>
              <w:rPr>
                <w:sz w:val="20"/>
                <w:szCs w:val="20"/>
                <w:color w:val="auto"/>
              </w:rPr>
            </w:pPr>
            <w:r>
              <w:rPr>
                <w:rFonts w:ascii="Arial" w:cs="Arial" w:eastAsia="Arial" w:hAnsi="Arial"/>
                <w:sz w:val="11"/>
                <w:szCs w:val="11"/>
                <w:color w:val="auto"/>
              </w:rPr>
              <w:t>(5)</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102"/>
              <w:spacing w:after="0" w:line="122" w:lineRule="exact"/>
              <w:rPr>
                <w:sz w:val="20"/>
                <w:szCs w:val="20"/>
                <w:color w:val="auto"/>
              </w:rPr>
            </w:pPr>
            <w:r>
              <w:rPr>
                <w:rFonts w:ascii="Arial" w:cs="Arial" w:eastAsia="Arial" w:hAnsi="Arial"/>
                <w:sz w:val="11"/>
                <w:szCs w:val="11"/>
                <w:color w:val="auto"/>
              </w:rPr>
              <w:t>(11)</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gridSpan w:val="3"/>
            <w:shd w:val="clear" w:color="auto" w:fill="CCEEFF"/>
          </w:tcPr>
          <w:p>
            <w:pPr>
              <w:jc w:val="right"/>
              <w:ind w:right="75"/>
              <w:spacing w:after="0" w:line="122" w:lineRule="exact"/>
              <w:rPr>
                <w:sz w:val="20"/>
                <w:szCs w:val="20"/>
                <w:color w:val="auto"/>
              </w:rPr>
            </w:pPr>
            <w:r>
              <w:rPr>
                <w:rFonts w:ascii="Arial" w:cs="Arial" w:eastAsia="Arial" w:hAnsi="Arial"/>
                <w:sz w:val="11"/>
                <w:szCs w:val="11"/>
                <w:color w:val="auto"/>
              </w:rPr>
              <w:t>(72)</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gridSpan w:val="3"/>
            <w:shd w:val="clear" w:color="auto" w:fill="CCEEFF"/>
          </w:tcPr>
          <w:p>
            <w:pPr>
              <w:jc w:val="right"/>
              <w:ind w:right="122"/>
              <w:spacing w:after="0" w:line="122" w:lineRule="exact"/>
              <w:rPr>
                <w:sz w:val="20"/>
                <w:szCs w:val="20"/>
                <w:color w:val="auto"/>
              </w:rPr>
            </w:pPr>
            <w:r>
              <w:rPr>
                <w:rFonts w:ascii="Arial" w:cs="Arial" w:eastAsia="Arial" w:hAnsi="Arial"/>
                <w:sz w:val="11"/>
                <w:szCs w:val="11"/>
                <w:color w:val="auto"/>
              </w:rPr>
              <w:t>(25)</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(47)</w:t>
            </w:r>
          </w:p>
        </w:tc>
      </w:tr>
      <w:tr>
        <w:trPr>
          <w:trHeight w:val="115"/>
        </w:trPr>
        <w:tc>
          <w:tcPr>
            <w:tcW w:w="334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color w:val="auto"/>
              </w:rPr>
              <w:t>Total derivatives and hedging activities</w:t>
            </w:r>
          </w:p>
        </w:tc>
        <w:tc>
          <w:tcPr>
            <w:tcW w:w="4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(582)</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(198)</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(384)</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(600)</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(203)</w:t>
            </w:r>
          </w:p>
        </w:tc>
        <w:tc>
          <w:tcPr>
            <w:tcW w:w="2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(397)</w:t>
            </w:r>
          </w:p>
        </w:tc>
        <w:tc>
          <w:tcPr>
            <w:tcW w:w="60" w:type="dxa"/>
            <w:vAlign w:val="bottom"/>
            <w:tcBorders>
              <w:bottom w:val="single" w:sz="8" w:color="CCEEFF"/>
            </w:tcBorders>
          </w:tcPr>
          <w:p>
            <w:pPr>
              <w:spacing w:after="0"/>
              <w:rPr>
                <w:sz w:val="10"/>
                <w:szCs w:val="10"/>
                <w:color w:val="auto"/>
              </w:rPr>
            </w:pPr>
          </w:p>
        </w:tc>
      </w:tr>
      <w:tr>
        <w:trPr>
          <w:trHeight w:val="129"/>
        </w:trPr>
        <w:tc>
          <w:tcPr>
            <w:tcW w:w="3340" w:type="dxa"/>
            <w:vAlign w:val="bottom"/>
            <w:shd w:val="clear" w:color="auto" w:fill="CCEEFF"/>
          </w:tcPr>
          <w:p>
            <w:pPr>
              <w:spacing w:after="0"/>
              <w:rPr>
                <w:sz w:val="20"/>
                <w:szCs w:val="20"/>
                <w:color w:val="auto"/>
              </w:rPr>
            </w:pPr>
            <w:r>
              <w:rPr>
                <w:rFonts w:ascii="Arial" w:cs="Arial" w:eastAsia="Arial" w:hAnsi="Arial"/>
                <w:sz w:val="11"/>
                <w:szCs w:val="11"/>
                <w:color w:val="auto"/>
              </w:rPr>
              <w:t>Total other comprehensive income (loss)</w:t>
            </w:r>
          </w:p>
        </w:tc>
        <w:tc>
          <w:tcPr>
            <w:tcW w:w="840" w:type="dxa"/>
            <w:vAlign w:val="bottom"/>
            <w:gridSpan w:val="2"/>
            <w:shd w:val="clear" w:color="auto" w:fill="CCEEFF"/>
          </w:tcPr>
          <w:p>
            <w:pPr>
              <w:jc w:val="right"/>
              <w:ind w:right="686"/>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jc w:val="right"/>
              <w:ind w:right="75"/>
              <w:spacing w:after="0"/>
              <w:rPr>
                <w:sz w:val="20"/>
                <w:szCs w:val="20"/>
                <w:color w:val="auto"/>
              </w:rPr>
            </w:pPr>
            <w:r>
              <w:rPr>
                <w:rFonts w:ascii="Arial" w:cs="Arial" w:eastAsia="Arial" w:hAnsi="Arial"/>
                <w:sz w:val="1"/>
                <w:szCs w:val="1"/>
                <w:color w:val="auto"/>
                <w:w w:val="4294967281"/>
              </w:rPr>
              <w:t>)</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jc w:val="right"/>
              <w:ind w:right="102"/>
              <w:spacing w:after="0"/>
              <w:rPr>
                <w:sz w:val="20"/>
                <w:szCs w:val="20"/>
                <w:color w:val="auto"/>
              </w:rPr>
            </w:pPr>
            <w:r>
              <w:rPr>
                <w:rFonts w:ascii="Arial" w:cs="Arial" w:eastAsia="Arial" w:hAnsi="Arial"/>
                <w:sz w:val="8"/>
                <w:szCs w:val="8"/>
                <w:color w:val="auto"/>
                <w:w w:val="73"/>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80" w:type="dxa"/>
            <w:vAlign w:val="bottom"/>
            <w:shd w:val="clear" w:color="auto" w:fill="CCEEFF"/>
          </w:tcPr>
          <w:p>
            <w:pPr>
              <w:jc w:val="right"/>
              <w:ind w:right="102"/>
              <w:spacing w:after="0"/>
              <w:rPr>
                <w:sz w:val="20"/>
                <w:szCs w:val="20"/>
                <w:color w:val="auto"/>
              </w:rPr>
            </w:pPr>
            <w:r>
              <w:rPr>
                <w:rFonts w:ascii="Arial" w:cs="Arial" w:eastAsia="Arial" w:hAnsi="Arial"/>
                <w:sz w:val="8"/>
                <w:szCs w:val="8"/>
                <w:color w:val="auto"/>
                <w:w w:val="73"/>
              </w:rPr>
              <w:t>)</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jc w:val="right"/>
              <w:ind w:right="75"/>
              <w:spacing w:after="0"/>
              <w:rPr>
                <w:sz w:val="20"/>
                <w:szCs w:val="20"/>
                <w:color w:val="auto"/>
              </w:rPr>
            </w:pPr>
            <w:r>
              <w:rPr>
                <w:rFonts w:ascii="Arial" w:cs="Arial" w:eastAsia="Arial" w:hAnsi="Arial"/>
                <w:sz w:val="1"/>
                <w:szCs w:val="1"/>
                <w:color w:val="auto"/>
                <w:w w:val="4294967281"/>
              </w:rPr>
              <w:t>)</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200" w:type="dxa"/>
            <w:vAlign w:val="bottom"/>
            <w:shd w:val="clear" w:color="auto" w:fill="CCEEFF"/>
          </w:tcPr>
          <w:p>
            <w:pPr>
              <w:jc w:val="right"/>
              <w:ind w:right="122"/>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318"/>
        </w:trPr>
        <w:tc>
          <w:tcPr>
            <w:tcW w:w="3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right"/>
              <w:ind w:right="715"/>
              <w:spacing w:after="0"/>
              <w:rPr>
                <w:sz w:val="20"/>
                <w:szCs w:val="20"/>
                <w:color w:val="auto"/>
              </w:rPr>
            </w:pPr>
            <w:r>
              <w:rPr>
                <w:rFonts w:ascii="Arial" w:cs="Arial" w:eastAsia="Arial" w:hAnsi="Arial"/>
                <w:sz w:val="11"/>
                <w:szCs w:val="11"/>
                <w:b w:val="1"/>
                <w:bCs w:val="1"/>
                <w:color w:val="auto"/>
              </w:rPr>
              <w:t>Nine Months Ended March 31,</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3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46"/>
              <w:spacing w:after="0" w:line="115" w:lineRule="exact"/>
              <w:rPr>
                <w:sz w:val="20"/>
                <w:szCs w:val="20"/>
                <w:color w:val="auto"/>
              </w:rPr>
            </w:pPr>
            <w:r>
              <w:rPr>
                <w:rFonts w:ascii="Arial" w:cs="Arial" w:eastAsia="Arial" w:hAnsi="Arial"/>
                <w:sz w:val="11"/>
                <w:szCs w:val="11"/>
                <w:b w:val="1"/>
                <w:bCs w:val="1"/>
                <w:color w:val="auto"/>
                <w:w w:val="81"/>
              </w:rPr>
              <w:t>2015</w:t>
            </w: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26"/>
              <w:spacing w:after="0" w:line="115" w:lineRule="exact"/>
              <w:rPr>
                <w:sz w:val="20"/>
                <w:szCs w:val="20"/>
                <w:color w:val="auto"/>
              </w:rPr>
            </w:pPr>
            <w:r>
              <w:rPr>
                <w:rFonts w:ascii="Arial" w:cs="Arial" w:eastAsia="Arial" w:hAnsi="Arial"/>
                <w:sz w:val="11"/>
                <w:szCs w:val="11"/>
                <w:b w:val="1"/>
                <w:bCs w:val="1"/>
                <w:color w:val="auto"/>
              </w:rPr>
              <w:t>2014</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1"/>
        </w:trPr>
        <w:tc>
          <w:tcPr>
            <w:tcW w:w="3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jc w:val="right"/>
              <w:ind w:right="46"/>
              <w:spacing w:after="0" w:line="102" w:lineRule="exact"/>
              <w:rPr>
                <w:sz w:val="20"/>
                <w:szCs w:val="20"/>
                <w:color w:val="auto"/>
              </w:rPr>
            </w:pPr>
            <w:r>
              <w:rPr>
                <w:rFonts w:ascii="Arial" w:cs="Arial" w:eastAsia="Arial" w:hAnsi="Arial"/>
                <w:sz w:val="11"/>
                <w:szCs w:val="11"/>
                <w:b w:val="1"/>
                <w:bCs w:val="1"/>
                <w:color w:val="auto"/>
              </w:rPr>
              <w:t>Pre-tax</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3"/>
          </w:tcPr>
          <w:p>
            <w:pPr>
              <w:jc w:val="center"/>
              <w:ind w:right="362"/>
              <w:spacing w:after="0" w:line="102" w:lineRule="exact"/>
              <w:rPr>
                <w:sz w:val="20"/>
                <w:szCs w:val="20"/>
                <w:color w:val="auto"/>
              </w:rPr>
            </w:pPr>
            <w:r>
              <w:rPr>
                <w:rFonts w:ascii="Arial" w:cs="Arial" w:eastAsia="Arial" w:hAnsi="Arial"/>
                <w:sz w:val="11"/>
                <w:szCs w:val="11"/>
                <w:b w:val="1"/>
                <w:bCs w:val="1"/>
                <w:color w:val="auto"/>
                <w:w w:val="86"/>
              </w:rPr>
              <w:t>Tax Expense</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jc w:val="right"/>
              <w:ind w:right="306"/>
              <w:spacing w:after="0" w:line="102" w:lineRule="exact"/>
              <w:rPr>
                <w:sz w:val="20"/>
                <w:szCs w:val="20"/>
                <w:color w:val="auto"/>
              </w:rPr>
            </w:pPr>
            <w:r>
              <w:rPr>
                <w:rFonts w:ascii="Arial" w:cs="Arial" w:eastAsia="Arial" w:hAnsi="Arial"/>
                <w:sz w:val="11"/>
                <w:szCs w:val="11"/>
                <w:b w:val="1"/>
                <w:bCs w:val="1"/>
                <w:color w:val="auto"/>
              </w:rPr>
              <w:t>After-tax</w:t>
            </w:r>
          </w:p>
        </w:tc>
        <w:tc>
          <w:tcPr>
            <w:tcW w:w="2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gridSpan w:val="3"/>
          </w:tcPr>
          <w:p>
            <w:pPr>
              <w:jc w:val="right"/>
              <w:ind w:right="555"/>
              <w:spacing w:after="0" w:line="102" w:lineRule="exact"/>
              <w:rPr>
                <w:sz w:val="20"/>
                <w:szCs w:val="20"/>
                <w:color w:val="auto"/>
              </w:rPr>
            </w:pPr>
            <w:r>
              <w:rPr>
                <w:rFonts w:ascii="Arial" w:cs="Arial" w:eastAsia="Arial" w:hAnsi="Arial"/>
                <w:sz w:val="11"/>
                <w:szCs w:val="11"/>
                <w:b w:val="1"/>
                <w:bCs w:val="1"/>
                <w:color w:val="auto"/>
                <w:w w:val="91"/>
              </w:rPr>
              <w:t>Pre-tax</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3"/>
          </w:tcPr>
          <w:p>
            <w:pPr>
              <w:jc w:val="right"/>
              <w:ind w:right="462"/>
              <w:spacing w:after="0" w:line="102" w:lineRule="exact"/>
              <w:rPr>
                <w:sz w:val="20"/>
                <w:szCs w:val="20"/>
                <w:color w:val="auto"/>
              </w:rPr>
            </w:pPr>
            <w:r>
              <w:rPr>
                <w:rFonts w:ascii="Arial" w:cs="Arial" w:eastAsia="Arial" w:hAnsi="Arial"/>
                <w:sz w:val="11"/>
                <w:szCs w:val="11"/>
                <w:b w:val="1"/>
                <w:bCs w:val="1"/>
                <w:color w:val="auto"/>
                <w:w w:val="98"/>
              </w:rPr>
              <w:t>Tax Expense</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right"/>
              <w:ind w:right="306"/>
              <w:spacing w:after="0" w:line="102" w:lineRule="exact"/>
              <w:rPr>
                <w:sz w:val="20"/>
                <w:szCs w:val="20"/>
                <w:color w:val="auto"/>
              </w:rPr>
            </w:pPr>
            <w:r>
              <w:rPr>
                <w:rFonts w:ascii="Arial" w:cs="Arial" w:eastAsia="Arial" w:hAnsi="Arial"/>
                <w:sz w:val="11"/>
                <w:szCs w:val="11"/>
                <w:b w:val="1"/>
                <w:bCs w:val="1"/>
                <w:color w:val="auto"/>
              </w:rPr>
              <w:t>After-tax</w:t>
            </w:r>
          </w:p>
        </w:tc>
        <w:tc>
          <w:tcPr>
            <w:tcW w:w="100" w:type="dxa"/>
            <w:vAlign w:val="bottom"/>
            <w:gridSpan w:val="2"/>
          </w:tcPr>
          <w:p>
            <w:pPr>
              <w:spacing w:after="0"/>
              <w:rPr>
                <w:sz w:val="8"/>
                <w:szCs w:val="8"/>
                <w:color w:val="auto"/>
              </w:rPr>
            </w:pPr>
          </w:p>
        </w:tc>
      </w:tr>
      <w:tr>
        <w:trPr>
          <w:trHeight w:val="135"/>
        </w:trPr>
        <w:tc>
          <w:tcPr>
            <w:tcW w:w="3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center"/>
              <w:ind w:right="382"/>
              <w:spacing w:after="0"/>
              <w:rPr>
                <w:sz w:val="20"/>
                <w:szCs w:val="20"/>
                <w:color w:val="auto"/>
              </w:rPr>
            </w:pPr>
            <w:r>
              <w:rPr>
                <w:rFonts w:ascii="Arial" w:cs="Arial" w:eastAsia="Arial" w:hAnsi="Arial"/>
                <w:sz w:val="11"/>
                <w:szCs w:val="11"/>
                <w:b w:val="1"/>
                <w:bCs w:val="1"/>
                <w:color w:val="auto"/>
                <w:w w:val="89"/>
              </w:rPr>
              <w:t>(Benefit)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jc w:val="right"/>
              <w:ind w:right="582"/>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3"/>
          </w:tcPr>
          <w:p>
            <w:pPr>
              <w:jc w:val="right"/>
              <w:ind w:right="535"/>
              <w:spacing w:after="0"/>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right"/>
              <w:ind w:right="562"/>
              <w:spacing w:after="0"/>
              <w:rPr>
                <w:sz w:val="20"/>
                <w:szCs w:val="20"/>
                <w:color w:val="auto"/>
              </w:rPr>
            </w:pPr>
            <w:r>
              <w:rPr>
                <w:rFonts w:ascii="Arial" w:cs="Arial" w:eastAsia="Arial" w:hAnsi="Arial"/>
                <w:sz w:val="11"/>
                <w:szCs w:val="11"/>
                <w:b w:val="1"/>
                <w:bCs w:val="1"/>
                <w:color w:val="auto"/>
              </w:rPr>
              <w:t>(Benefit)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right"/>
              <w:ind w:right="442"/>
              <w:spacing w:after="0"/>
              <w:rPr>
                <w:sz w:val="20"/>
                <w:szCs w:val="20"/>
                <w:color w:val="auto"/>
              </w:rPr>
            </w:pPr>
            <w:r>
              <w:rPr>
                <w:rFonts w:ascii="Arial" w:cs="Arial" w:eastAsia="Arial" w:hAnsi="Arial"/>
                <w:sz w:val="11"/>
                <w:szCs w:val="11"/>
                <w:b w:val="1"/>
                <w:bCs w:val="1"/>
                <w:color w:val="auto"/>
              </w:rPr>
              <w:t>Amount</w:t>
            </w:r>
          </w:p>
        </w:tc>
      </w:tr>
      <w:tr>
        <w:trPr>
          <w:trHeight w:val="115"/>
        </w:trPr>
        <w:tc>
          <w:tcPr>
            <w:tcW w:w="33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5"/>
          </w:tcPr>
          <w:p>
            <w:pPr>
              <w:jc w:val="right"/>
              <w:spacing w:after="0" w:line="115" w:lineRule="exact"/>
              <w:rPr>
                <w:sz w:val="20"/>
                <w:szCs w:val="20"/>
                <w:color w:val="auto"/>
              </w:rPr>
            </w:pPr>
            <w:r>
              <w:rPr>
                <w:rFonts w:ascii="Arial" w:cs="Arial" w:eastAsia="Arial" w:hAnsi="Arial"/>
                <w:sz w:val="11"/>
                <w:szCs w:val="11"/>
                <w:b w:val="1"/>
                <w:bCs w:val="1"/>
                <w:color w:val="auto"/>
              </w:rPr>
              <w:t>(Dollars in thousands)</w:t>
            </w:r>
          </w:p>
        </w:tc>
        <w:tc>
          <w:tcPr>
            <w:tcW w:w="7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9"/>
              </w:rPr>
              <w:t>Change in net unrealized gain or loss on available-for-sale securities</w:t>
            </w:r>
          </w:p>
        </w:tc>
        <w:tc>
          <w:tcPr>
            <w:tcW w:w="840" w:type="dxa"/>
            <w:vAlign w:val="bottom"/>
            <w:gridSpan w:val="2"/>
            <w:shd w:val="clear" w:color="auto" w:fill="CCEEFF"/>
          </w:tcPr>
          <w:p>
            <w:pPr>
              <w:jc w:val="right"/>
              <w:ind w:right="746"/>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283</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5"/>
              <w:spacing w:after="0" w:line="122" w:lineRule="exact"/>
              <w:rPr>
                <w:sz w:val="20"/>
                <w:szCs w:val="20"/>
                <w:color w:val="auto"/>
              </w:rPr>
            </w:pPr>
            <w:r>
              <w:rPr>
                <w:rFonts w:ascii="Arial" w:cs="Arial" w:eastAsia="Arial" w:hAnsi="Arial"/>
                <w:sz w:val="11"/>
                <w:szCs w:val="11"/>
                <w:color w:val="auto"/>
              </w:rPr>
              <w:t>551</w:t>
            </w:r>
          </w:p>
        </w:tc>
        <w:tc>
          <w:tcPr>
            <w:tcW w:w="1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449</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180"/>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297</w:t>
            </w:r>
          </w:p>
        </w:tc>
        <w:tc>
          <w:tcPr>
            <w:tcW w:w="60" w:type="dxa"/>
            <w:vAlign w:val="bottom"/>
            <w:shd w:val="clear" w:color="auto" w:fill="CCEEFF"/>
          </w:tcPr>
          <w:p>
            <w:pPr>
              <w:spacing w:after="0"/>
              <w:rPr>
                <w:sz w:val="10"/>
                <w:szCs w:val="10"/>
                <w:color w:val="auto"/>
              </w:rPr>
            </w:pPr>
          </w:p>
        </w:tc>
      </w:tr>
      <w:tr>
        <w:trPr>
          <w:trHeight w:val="122"/>
        </w:trPr>
        <w:tc>
          <w:tcPr>
            <w:tcW w:w="3340" w:type="dxa"/>
            <w:vAlign w:val="bottom"/>
          </w:tcPr>
          <w:p>
            <w:pPr>
              <w:ind w:left="180"/>
              <w:spacing w:after="0" w:line="122" w:lineRule="exact"/>
              <w:rPr>
                <w:sz w:val="20"/>
                <w:szCs w:val="20"/>
                <w:color w:val="auto"/>
              </w:rPr>
            </w:pPr>
            <w:r>
              <w:rPr>
                <w:rFonts w:ascii="Arial" w:cs="Arial" w:eastAsia="Arial" w:hAnsi="Arial"/>
                <w:sz w:val="11"/>
                <w:szCs w:val="11"/>
                <w:color w:val="auto"/>
              </w:rPr>
              <w:t>Reclassification adjustment for net gains included in net income</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gridSpan w:val="3"/>
          </w:tcPr>
          <w:p>
            <w:pPr>
              <w:jc w:val="right"/>
              <w:ind w:right="155"/>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jc w:val="right"/>
              <w:ind w:right="182"/>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tcPr>
          <w:p>
            <w:pPr>
              <w:jc w:val="right"/>
              <w:ind w:right="182"/>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3"/>
          </w:tcPr>
          <w:p>
            <w:pPr>
              <w:jc w:val="right"/>
              <w:ind w:right="135"/>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jc w:val="right"/>
              <w:ind w:right="182"/>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jc w:val="right"/>
              <w:ind w:right="62"/>
              <w:spacing w:after="0" w:line="122" w:lineRule="exact"/>
              <w:rPr>
                <w:sz w:val="20"/>
                <w:szCs w:val="20"/>
                <w:color w:val="auto"/>
              </w:rPr>
            </w:pPr>
            <w:r>
              <w:rPr>
                <w:rFonts w:ascii="Arial" w:cs="Arial" w:eastAsia="Arial" w:hAnsi="Arial"/>
                <w:sz w:val="11"/>
                <w:szCs w:val="11"/>
                <w:color w:val="auto"/>
              </w:rPr>
              <w:t>—</w:t>
            </w:r>
          </w:p>
        </w:tc>
      </w:tr>
      <w:tr>
        <w:trPr>
          <w:trHeight w:val="115"/>
        </w:trPr>
        <w:tc>
          <w:tcPr>
            <w:tcW w:w="33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Total available-for-sale securities</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834</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283</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551</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449</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152</w:t>
            </w: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297</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15"/>
        </w:trPr>
        <w:tc>
          <w:tcPr>
            <w:tcW w:w="3340" w:type="dxa"/>
            <w:vAlign w:val="bottom"/>
          </w:tcPr>
          <w:p>
            <w:pPr>
              <w:spacing w:after="0" w:line="115" w:lineRule="exact"/>
              <w:rPr>
                <w:sz w:val="20"/>
                <w:szCs w:val="20"/>
                <w:color w:val="auto"/>
              </w:rPr>
            </w:pPr>
            <w:r>
              <w:rPr>
                <w:rFonts w:ascii="Arial" w:cs="Arial" w:eastAsia="Arial" w:hAnsi="Arial"/>
                <w:sz w:val="11"/>
                <w:szCs w:val="11"/>
                <w:color w:val="auto"/>
              </w:rPr>
              <w:t>Change in accumulated loss on effective cash flow hedges</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w w:val="80"/>
              </w:rPr>
              <w:t>(1,341)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5" w:lineRule="exact"/>
              <w:rPr>
                <w:sz w:val="20"/>
                <w:szCs w:val="20"/>
                <w:color w:val="auto"/>
              </w:rPr>
            </w:pPr>
            <w:r>
              <w:rPr>
                <w:rFonts w:ascii="Arial" w:cs="Arial" w:eastAsia="Arial" w:hAnsi="Arial"/>
                <w:sz w:val="11"/>
                <w:szCs w:val="11"/>
                <w:color w:val="auto"/>
              </w:rPr>
              <w:t>(456)</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(885)</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right"/>
              <w:spacing w:after="0" w:line="115" w:lineRule="exact"/>
              <w:rPr>
                <w:sz w:val="20"/>
                <w:szCs w:val="20"/>
                <w:color w:val="auto"/>
              </w:rPr>
            </w:pPr>
            <w:r>
              <w:rPr>
                <w:rFonts w:ascii="Arial" w:cs="Arial" w:eastAsia="Arial" w:hAnsi="Arial"/>
                <w:sz w:val="11"/>
                <w:szCs w:val="11"/>
                <w:color w:val="auto"/>
              </w:rPr>
              <w:t>56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5" w:lineRule="exact"/>
              <w:rPr>
                <w:sz w:val="20"/>
                <w:szCs w:val="20"/>
                <w:color w:val="auto"/>
              </w:rPr>
            </w:pPr>
            <w:r>
              <w:rPr>
                <w:rFonts w:ascii="Arial" w:cs="Arial" w:eastAsia="Arial" w:hAnsi="Arial"/>
                <w:sz w:val="11"/>
                <w:szCs w:val="11"/>
                <w:color w:val="auto"/>
              </w:rPr>
              <w:t>20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15" w:lineRule="exact"/>
              <w:rPr>
                <w:sz w:val="20"/>
                <w:szCs w:val="20"/>
                <w:color w:val="auto"/>
              </w:rPr>
            </w:pPr>
            <w:r>
              <w:rPr>
                <w:rFonts w:ascii="Arial" w:cs="Arial" w:eastAsia="Arial" w:hAnsi="Arial"/>
                <w:sz w:val="11"/>
                <w:szCs w:val="11"/>
                <w:color w:val="auto"/>
              </w:rPr>
              <w:t>36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33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Reclassification adjustment for net gains included in net income</w:t>
            </w: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(18)</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5"/>
              <w:spacing w:after="0" w:line="122" w:lineRule="exact"/>
              <w:rPr>
                <w:sz w:val="20"/>
                <w:szCs w:val="20"/>
                <w:color w:val="auto"/>
              </w:rPr>
            </w:pPr>
            <w:r>
              <w:rPr>
                <w:rFonts w:ascii="Arial" w:cs="Arial" w:eastAsia="Arial" w:hAnsi="Arial"/>
                <w:sz w:val="11"/>
                <w:szCs w:val="11"/>
                <w:color w:val="auto"/>
              </w:rPr>
              <w:t>(31)</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(108)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gridSpan w:val="3"/>
            <w:shd w:val="clear" w:color="auto" w:fill="CCEEFF"/>
          </w:tcPr>
          <w:p>
            <w:pPr>
              <w:jc w:val="right"/>
              <w:ind w:right="142"/>
              <w:spacing w:after="0" w:line="122" w:lineRule="exact"/>
              <w:rPr>
                <w:sz w:val="20"/>
                <w:szCs w:val="20"/>
                <w:color w:val="auto"/>
              </w:rPr>
            </w:pPr>
            <w:r>
              <w:rPr>
                <w:rFonts w:ascii="Arial" w:cs="Arial" w:eastAsia="Arial" w:hAnsi="Arial"/>
                <w:sz w:val="11"/>
                <w:szCs w:val="11"/>
                <w:color w:val="auto"/>
              </w:rPr>
              <w:t>(37)</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(71)</w:t>
            </w:r>
          </w:p>
        </w:tc>
        <w:tc>
          <w:tcPr>
            <w:tcW w:w="60" w:type="dxa"/>
            <w:vAlign w:val="bottom"/>
            <w:shd w:val="clear" w:color="auto" w:fill="CCEEFF"/>
          </w:tcPr>
          <w:p>
            <w:pPr>
              <w:spacing w:after="0"/>
              <w:rPr>
                <w:sz w:val="10"/>
                <w:szCs w:val="10"/>
                <w:color w:val="auto"/>
              </w:rPr>
            </w:pPr>
          </w:p>
        </w:tc>
      </w:tr>
      <w:tr>
        <w:trPr>
          <w:trHeight w:val="115"/>
        </w:trPr>
        <w:tc>
          <w:tcPr>
            <w:tcW w:w="334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color w:val="auto"/>
              </w:rPr>
              <w:t>Total derivatives and hedging activities</w:t>
            </w:r>
          </w:p>
        </w:tc>
        <w:tc>
          <w:tcPr>
            <w:tcW w:w="4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0"/>
              </w:rPr>
              <w:t>(1,390)</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(474)</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(916)</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(52)</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w:t>
            </w:r>
          </w:p>
        </w:tc>
        <w:tc>
          <w:tcPr>
            <w:tcW w:w="220" w:type="dxa"/>
            <w:vAlign w:val="bottom"/>
            <w:tcBorders>
              <w:bottom w:val="single" w:sz="8" w:color="CCEEFF"/>
            </w:tcBorders>
            <w:gridSpan w:val="2"/>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(35)</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r>
      <w:tr>
        <w:trPr>
          <w:trHeight w:val="129"/>
        </w:trPr>
        <w:tc>
          <w:tcPr>
            <w:tcW w:w="3340" w:type="dxa"/>
            <w:vAlign w:val="bottom"/>
            <w:shd w:val="clear" w:color="auto" w:fill="CCEEFF"/>
          </w:tcPr>
          <w:p>
            <w:pPr>
              <w:spacing w:after="0"/>
              <w:rPr>
                <w:sz w:val="20"/>
                <w:szCs w:val="20"/>
                <w:color w:val="auto"/>
              </w:rPr>
            </w:pPr>
            <w:r>
              <w:rPr>
                <w:rFonts w:ascii="Arial" w:cs="Arial" w:eastAsia="Arial" w:hAnsi="Arial"/>
                <w:sz w:val="11"/>
                <w:szCs w:val="11"/>
                <w:color w:val="auto"/>
              </w:rPr>
              <w:t>Total other comprehensive income (loss)</w:t>
            </w:r>
          </w:p>
        </w:tc>
        <w:tc>
          <w:tcPr>
            <w:tcW w:w="840" w:type="dxa"/>
            <w:vAlign w:val="bottom"/>
            <w:gridSpan w:val="2"/>
            <w:shd w:val="clear" w:color="auto" w:fill="CCEEFF"/>
          </w:tcPr>
          <w:p>
            <w:pPr>
              <w:jc w:val="right"/>
              <w:ind w:right="746"/>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(556</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w:t>
            </w: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w:t>
            </w:r>
          </w:p>
        </w:tc>
        <w:tc>
          <w:tcPr>
            <w:tcW w:w="40" w:type="dxa"/>
            <w:vAlign w:val="bottom"/>
            <w:shd w:val="clear" w:color="auto" w:fill="CCEEFF"/>
          </w:tcPr>
          <w:p>
            <w:pPr>
              <w:jc w:val="right"/>
              <w:ind w:right="15"/>
              <w:spacing w:after="0"/>
              <w:rPr>
                <w:sz w:val="20"/>
                <w:szCs w:val="20"/>
                <w:color w:val="auto"/>
              </w:rPr>
            </w:pPr>
            <w:r>
              <w:rPr>
                <w:rFonts w:ascii="Arial" w:cs="Arial" w:eastAsia="Arial" w:hAnsi="Arial"/>
                <w:sz w:val="1"/>
                <w:szCs w:val="1"/>
                <w:color w:val="auto"/>
                <w:w w:val="4294967281"/>
              </w:rPr>
              <w:t>)</w:t>
            </w: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80"/>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262</w:t>
            </w:r>
          </w:p>
        </w:tc>
        <w:tc>
          <w:tcPr>
            <w:tcW w:w="60" w:type="dxa"/>
            <w:vAlign w:val="bottom"/>
            <w:shd w:val="clear" w:color="auto" w:fill="CCEEFF"/>
          </w:tcPr>
          <w:p>
            <w:pPr>
              <w:spacing w:after="0"/>
              <w:rPr>
                <w:sz w:val="11"/>
                <w:szCs w:val="1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June 30, 2014</w:t>
            </w:r>
          </w:p>
        </w:tc>
        <w:tc>
          <w:tcPr>
            <w:tcW w:w="310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5"/>
          </w:tcPr>
          <w:p>
            <w:pPr>
              <w:jc w:val="right"/>
              <w:ind w:right="73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3100" w:type="dxa"/>
            <w:vAlign w:val="bottom"/>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3100" w:type="dxa"/>
            <w:vAlign w:val="bottom"/>
          </w:tcPr>
          <w:p>
            <w:pPr>
              <w:spacing w:after="0"/>
              <w:rPr>
                <w:sz w:val="18"/>
                <w:szCs w:val="18"/>
                <w:color w:val="auto"/>
              </w:rPr>
            </w:pPr>
          </w:p>
        </w:tc>
      </w:tr>
      <w:tr>
        <w:trPr>
          <w:trHeight w:val="210"/>
        </w:trPr>
        <w:tc>
          <w:tcPr>
            <w:tcW w:w="5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Net-of-tax amount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top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3100" w:type="dxa"/>
            <w:vAlign w:val="bottom"/>
          </w:tcPr>
          <w:p>
            <w:pPr>
              <w:spacing w:after="0"/>
              <w:rPr>
                <w:sz w:val="18"/>
                <w:szCs w:val="18"/>
                <w:color w:val="auto"/>
              </w:rPr>
            </w:pPr>
          </w:p>
        </w:tc>
      </w:tr>
      <w:tr>
        <w:trPr>
          <w:trHeight w:val="210"/>
        </w:trPr>
        <w:tc>
          <w:tcPr>
            <w:tcW w:w="5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Net-of-tax amount</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tcPr>
          <w:p>
            <w:pPr>
              <w:spacing w:after="0"/>
              <w:rPr>
                <w:sz w:val="18"/>
                <w:szCs w:val="18"/>
                <w:color w:val="auto"/>
              </w:rPr>
            </w:pPr>
          </w:p>
        </w:tc>
        <w:tc>
          <w:tcPr>
            <w:tcW w:w="3100" w:type="dxa"/>
            <w:vAlign w:val="bottom"/>
          </w:tcPr>
          <w:p>
            <w:pPr>
              <w:spacing w:after="0"/>
              <w:rPr>
                <w:sz w:val="18"/>
                <w:szCs w:val="18"/>
                <w:color w:val="auto"/>
              </w:rPr>
            </w:pPr>
          </w:p>
        </w:tc>
      </w:tr>
      <w:tr>
        <w:trPr>
          <w:trHeight w:val="22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13"/>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734"/>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32"/>
        </w:trPr>
        <w:tc>
          <w:tcPr>
            <w:tcW w:w="5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w:t>
      </w:r>
    </w:p>
    <w:p>
      <w:pPr>
        <w:sectPr>
          <w:pgSz w:w="11900" w:h="16921" w:orient="portrait"/>
          <w:cols w:equalWidth="0" w:num="1">
            <w:col w:w="11460"/>
          </w:cols>
          <w:pgMar w:left="240" w:top="125" w:right="199" w:bottom="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Those instruments involve, to varying degrees, elements of credit and interest rate risk in excess of the amount recognized in the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contract amounts of those instruments reflect the extent of involvement the Company has in particular classes of financial instruments.</w:t>
      </w:r>
    </w:p>
    <w:p>
      <w:pPr>
        <w:spacing w:after="0" w:line="21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277"/>
              <w:spacing w:after="0"/>
              <w:rPr>
                <w:sz w:val="20"/>
                <w:szCs w:val="20"/>
                <w:color w:val="auto"/>
              </w:rPr>
            </w:pPr>
            <w:r>
              <w:rPr>
                <w:rFonts w:ascii="Arial" w:cs="Arial" w:eastAsia="Arial" w:hAnsi="Arial"/>
                <w:sz w:val="14"/>
                <w:szCs w:val="14"/>
                <w:b w:val="1"/>
                <w:bCs w:val="1"/>
                <w:color w:val="auto"/>
              </w:rPr>
              <w:t>March 31, 2015</w:t>
            </w:r>
          </w:p>
        </w:tc>
        <w:tc>
          <w:tcPr>
            <w:tcW w:w="30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June 30, 2014</w:t>
            </w:r>
          </w:p>
        </w:tc>
      </w:tr>
      <w:tr>
        <w:trPr>
          <w:trHeight w:val="142"/>
        </w:trPr>
        <w:tc>
          <w:tcPr>
            <w:tcW w:w="5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3"/>
          </w:tcPr>
          <w:p>
            <w:pPr>
              <w:jc w:val="right"/>
              <w:ind w:right="73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29,089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14,282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Unused lines of credit</w:t>
            </w:r>
          </w:p>
        </w:tc>
        <w:tc>
          <w:tcPr>
            <w:tcW w:w="140" w:type="dxa"/>
            <w:vAlign w:val="bottom"/>
          </w:tcPr>
          <w:p>
            <w:pPr>
              <w:spacing w:after="0"/>
              <w:rPr>
                <w:sz w:val="18"/>
                <w:szCs w:val="18"/>
                <w:color w:val="auto"/>
              </w:rPr>
            </w:pPr>
          </w:p>
        </w:tc>
        <w:tc>
          <w:tcPr>
            <w:tcW w:w="1380" w:type="dxa"/>
            <w:vAlign w:val="bottom"/>
          </w:tcPr>
          <w:p>
            <w:pPr>
              <w:jc w:val="right"/>
              <w:ind w:right="77"/>
              <w:spacing w:after="0"/>
              <w:rPr>
                <w:sz w:val="20"/>
                <w:szCs w:val="20"/>
                <w:color w:val="auto"/>
              </w:rPr>
            </w:pPr>
            <w:r>
              <w:rPr>
                <w:rFonts w:ascii="Arial" w:cs="Arial" w:eastAsia="Arial" w:hAnsi="Arial"/>
                <w:sz w:val="18"/>
                <w:szCs w:val="18"/>
                <w:color w:val="auto"/>
              </w:rPr>
              <w:t>29,839</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34,657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$30 thousand recorded in other liabilities at both March 31, 2015 and June 30,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229" w:lineRule="exact"/>
        <w:rPr>
          <w:sz w:val="20"/>
          <w:szCs w:val="20"/>
          <w:color w:val="auto"/>
        </w:rPr>
      </w:pPr>
    </w:p>
    <w:p>
      <w:pPr>
        <w:jc w:val="both"/>
        <w:ind w:left="340" w:right="60"/>
        <w:spacing w:after="0" w:line="286" w:lineRule="auto"/>
        <w:rPr>
          <w:sz w:val="20"/>
          <w:szCs w:val="20"/>
          <w:color w:val="auto"/>
        </w:rPr>
      </w:pPr>
      <w:r>
        <w:rPr>
          <w:rFonts w:ascii="Arial" w:cs="Arial" w:eastAsia="Arial" w:hAnsi="Arial"/>
          <w:sz w:val="17"/>
          <w:szCs w:val="17"/>
          <w:color w:val="auto"/>
        </w:rPr>
        <w:t>The Company concluded all investment brokerage activities in the second quarter of Fiscal 2014. Accordingly, operations associated with these activities have been classified as discontinued operations in the accompanying consolidated statements of income. The following summarizes the operations of the Company’s investment brokerage division for the three and nine months ended March 31, 2015 and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0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4"/>
                <w:szCs w:val="14"/>
                <w:color w:val="auto"/>
              </w:rPr>
            </w:pPr>
          </w:p>
        </w:tc>
        <w:tc>
          <w:tcPr>
            <w:tcW w:w="282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 March 31,</w:t>
            </w:r>
          </w:p>
        </w:tc>
        <w:tc>
          <w:tcPr>
            <w:tcW w:w="124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Investment commissions</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c>
          <w:tcPr>
            <w:tcW w:w="1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income</w:t>
            </w:r>
          </w:p>
        </w:tc>
        <w:tc>
          <w:tcPr>
            <w:tcW w:w="10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tcPr>
          <w:p>
            <w:pPr>
              <w:spacing w:after="0"/>
              <w:rPr>
                <w:sz w:val="18"/>
                <w:szCs w:val="18"/>
                <w:color w:val="auto"/>
              </w:rPr>
            </w:pPr>
          </w:p>
        </w:tc>
        <w:tc>
          <w:tcPr>
            <w:tcW w:w="1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Noninterest expense:</w:t>
            </w: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10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793</w:t>
            </w:r>
          </w:p>
        </w:tc>
        <w:tc>
          <w:tcPr>
            <w:tcW w:w="1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 and equipment expense</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1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Data processing fees</w:t>
            </w:r>
          </w:p>
        </w:tc>
        <w:tc>
          <w:tcPr>
            <w:tcW w:w="10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1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expense</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Arial" w:cs="Arial" w:eastAsia="Arial" w:hAnsi="Arial"/>
                <w:sz w:val="18"/>
                <w:szCs w:val="18"/>
                <w:color w:val="auto"/>
              </w:rPr>
              <w:t>Other noninterest expense</w:t>
            </w:r>
          </w:p>
        </w:tc>
        <w:tc>
          <w:tcPr>
            <w:tcW w:w="10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2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noninterest expense</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(Loss) income before tax</w:t>
            </w:r>
          </w:p>
        </w:tc>
        <w:tc>
          <w:tcPr>
            <w:tcW w:w="10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4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(loss) income</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4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34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2014,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w:t>
      </w:r>
    </w:p>
    <w:p>
      <w:pPr>
        <w:sectPr>
          <w:pgSz w:w="11900" w:h="16838" w:orient="portrait"/>
          <w:cols w:equalWidth="0" w:num="1">
            <w:col w:w="11460"/>
          </w:cols>
          <w:pgMar w:left="240" w:top="125" w:right="199" w:bottom="0" w:gutter="0" w:footer="0" w:header="0"/>
        </w:sectPr>
      </w:pPr>
    </w:p>
    <w:bookmarkStart w:id="19" w:name="page20"/>
    <w:bookmarkEnd w:id="19"/>
    <w:p>
      <w:pPr>
        <w:ind w:right="60"/>
        <w:spacing w:after="0" w:line="268" w:lineRule="auto"/>
        <w:rPr>
          <w:sz w:val="20"/>
          <w:szCs w:val="20"/>
          <w:color w:val="auto"/>
        </w:rPr>
      </w:pPr>
      <w:r>
        <w:rPr>
          <w:rFonts w:ascii="Arial" w:cs="Arial" w:eastAsia="Arial" w:hAnsi="Arial"/>
          <w:sz w:val="17"/>
          <w:szCs w:val="17"/>
          <w:color w:val="auto"/>
        </w:rPr>
        <w:t>“project”,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the effects of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of compromises or breaches to our security systems;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2014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(the “Bureau”) and the FDIC.</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All other commitments made to the Federal Reserve in connection with the merger remain unchanged. The Company and the Bank are currently in compliance with all commitments to the Federal Reserve. The Company’s compliance ratios at March 31, 2015 follow: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20" w:type="dxa"/>
            <w:vAlign w:val="bottom"/>
          </w:tcPr>
          <w:p>
            <w:pPr>
              <w:jc w:val="right"/>
              <w:ind w:right="75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r>
      <w:tr>
        <w:trPr>
          <w:trHeight w:val="523"/>
        </w:trPr>
        <w:tc>
          <w:tcPr>
            <w:tcW w:w="54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85"/>
        </w:trPr>
        <w:tc>
          <w:tcPr>
            <w:tcW w:w="128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4"/>
                <w:szCs w:val="14"/>
                <w:b w:val="1"/>
                <w:bCs w:val="1"/>
                <w:color w:val="auto"/>
              </w:rPr>
              <w:t>Condition</w:t>
            </w:r>
          </w:p>
        </w:tc>
        <w:tc>
          <w:tcPr>
            <w:tcW w:w="4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Ratios at March 31, 2015</w:t>
            </w:r>
          </w:p>
        </w:tc>
        <w:tc>
          <w:tcPr>
            <w:tcW w:w="160" w:type="dxa"/>
            <w:vAlign w:val="bottom"/>
            <w:tcBorders>
              <w:bottom w:val="single" w:sz="8" w:color="CCEEFF"/>
            </w:tcBorders>
          </w:tcPr>
          <w:p>
            <w:pPr>
              <w:spacing w:after="0"/>
              <w:rPr>
                <w:sz w:val="24"/>
                <w:szCs w:val="24"/>
                <w:color w:val="auto"/>
              </w:rPr>
            </w:pPr>
          </w:p>
        </w:tc>
        <w:tc>
          <w:tcPr>
            <w:tcW w:w="2320" w:type="dxa"/>
            <w:vAlign w:val="bottom"/>
          </w:tcPr>
          <w:p>
            <w:pPr>
              <w:spacing w:after="0"/>
              <w:rPr>
                <w:sz w:val="24"/>
                <w:szCs w:val="24"/>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  Tier 1 leverage capital ratio</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14.96%</w:t>
            </w:r>
          </w:p>
        </w:tc>
        <w:tc>
          <w:tcPr>
            <w:tcW w:w="2320" w:type="dxa"/>
            <w:vAlign w:val="bottom"/>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(ii) Total capital ratio</w:t>
            </w:r>
          </w:p>
        </w:tc>
        <w:tc>
          <w:tcPr>
            <w:tcW w:w="3720" w:type="dxa"/>
            <w:vAlign w:val="bottom"/>
            <w:gridSpan w:val="4"/>
          </w:tcPr>
          <w:p>
            <w:pPr>
              <w:jc w:val="right"/>
              <w:ind w:right="20"/>
              <w:spacing w:after="0"/>
              <w:rPr>
                <w:sz w:val="20"/>
                <w:szCs w:val="20"/>
                <w:color w:val="auto"/>
              </w:rPr>
            </w:pPr>
            <w:r>
              <w:rPr>
                <w:rFonts w:ascii="Arial" w:cs="Arial" w:eastAsia="Arial" w:hAnsi="Arial"/>
                <w:sz w:val="18"/>
                <w:szCs w:val="18"/>
                <w:color w:val="auto"/>
              </w:rPr>
              <w:t>21.21%</w:t>
            </w:r>
          </w:p>
        </w:tc>
        <w:tc>
          <w:tcPr>
            <w:tcW w:w="232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(iii) Ratio of purchased loans to total loans, including loans held for sale</w:t>
            </w:r>
          </w:p>
        </w:tc>
        <w:tc>
          <w:tcPr>
            <w:tcW w:w="3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33.53%</w:t>
            </w:r>
          </w:p>
        </w:tc>
        <w:tc>
          <w:tcPr>
            <w:tcW w:w="2320" w:type="dxa"/>
            <w:vAlign w:val="bottom"/>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(iv) Ratio of loans to core deposits (1)</w:t>
            </w:r>
          </w:p>
        </w:tc>
        <w:tc>
          <w:tcPr>
            <w:tcW w:w="3720" w:type="dxa"/>
            <w:vAlign w:val="bottom"/>
            <w:gridSpan w:val="4"/>
          </w:tcPr>
          <w:p>
            <w:pPr>
              <w:jc w:val="right"/>
              <w:ind w:right="20"/>
              <w:spacing w:after="0"/>
              <w:rPr>
                <w:sz w:val="20"/>
                <w:szCs w:val="20"/>
                <w:color w:val="auto"/>
              </w:rPr>
            </w:pPr>
            <w:r>
              <w:rPr>
                <w:rFonts w:ascii="Arial" w:cs="Arial" w:eastAsia="Arial" w:hAnsi="Arial"/>
                <w:sz w:val="18"/>
                <w:szCs w:val="18"/>
                <w:color w:val="auto"/>
              </w:rPr>
              <w:t>89.04%</w:t>
            </w:r>
          </w:p>
        </w:tc>
        <w:tc>
          <w:tcPr>
            <w:tcW w:w="232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 Ratio of commercial real estate loans to total risk-based capital (2)</w:t>
            </w:r>
          </w:p>
        </w:tc>
        <w:tc>
          <w:tcPr>
            <w:tcW w:w="3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173.17%</w:t>
            </w:r>
          </w:p>
        </w:tc>
        <w:tc>
          <w:tcPr>
            <w:tcW w:w="2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-1313815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-1313815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maturity deposits less than $250 thousand</w:t>
      </w:r>
    </w:p>
    <w:p>
      <w:pPr>
        <w:spacing w:after="0" w:line="23" w:lineRule="exact"/>
        <w:rPr>
          <w:rFonts w:ascii="Arial" w:cs="Arial" w:eastAsia="Arial" w:hAnsi="Arial"/>
          <w:sz w:val="18"/>
          <w:szCs w:val="18"/>
          <w:color w:val="auto"/>
        </w:rPr>
      </w:pPr>
    </w:p>
    <w:p>
      <w:pPr>
        <w:ind w:right="200" w:firstLine="8"/>
        <w:spacing w:after="0" w:line="261"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pacing w:after="0" w:line="18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As of March 31, 2015, the Company, on a consolidated basis, had total assets of $832.9 million, total deposits of $655.2 million, and shareholders’ equity of $112.5 million. The Company gathers retail deposits through its banking offices in Maine and its online affinity deposit program, ableBanking; originates loans through the Bank’s Community Banking Division; and purchases and originates commercial loans through the Bank’s Loan Acquisition and Servicing Group (“LASG”). The Community Banking Division, with ten full-service branches and two loan production offices, operates from the Bank’s headquarters in Lewiston, Maine. The Company operates ableBanking and the LASG from its offices in Boston, Massachusetts.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i w:val="1"/>
          <w:iCs w:val="1"/>
          <w:color w:val="auto"/>
        </w:rPr>
        <w:t>Measured growth of our national commercial loan portfolio</w:t>
      </w:r>
      <w:r>
        <w:rPr>
          <w:rFonts w:ascii="Arial" w:cs="Arial" w:eastAsia="Arial" w:hAnsi="Arial"/>
          <w:sz w:val="16"/>
          <w:szCs w:val="16"/>
          <w:color w:val="auto"/>
        </w:rPr>
        <w:t>. The Company purchases performing commercial real estate loans, on a nationwide basis,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at a discount from their outstanding principal balances, producing yields higher than those normally achieved on our originated loan portfolio. These loans are purchased from a variety of sources, including banks, insurance companies, investment funds and government agencies, either directly or indirectly through a loan sale advisor. We also originate commercial real estate and commercial business loans on a nationwide basis. National originations</w:t>
      </w:r>
    </w:p>
    <w:p>
      <w:pPr>
        <w:sectPr>
          <w:pgSz w:w="11900" w:h="16838" w:orient="portrait"/>
          <w:cols w:equalWidth="0" w:num="1">
            <w:col w:w="11460"/>
          </w:cols>
          <w:pgMar w:left="240" w:top="125" w:right="199" w:bottom="0" w:gutter="0" w:footer="0" w:header="0"/>
        </w:sectPr>
      </w:pPr>
    </w:p>
    <w:bookmarkStart w:id="20" w:name="page21"/>
    <w:bookmarkEnd w:id="20"/>
    <w:p>
      <w:pPr>
        <w:spacing w:after="0" w:line="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are an area of increasing focus for the Company, and in particular the origination of loans guaranteed by the Small Business Administration (“SBA”). As of March 31, 2015, the Company serviced SBA loans with an unpaid principal balance of $58.9 million, of which $42.4 million was held by third parties.</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Focus on core deposits</w:t>
      </w:r>
      <w:r>
        <w:rPr>
          <w:rFonts w:ascii="Arial" w:cs="Arial" w:eastAsia="Arial" w:hAnsi="Arial"/>
          <w:sz w:val="18"/>
          <w:szCs w:val="18"/>
          <w:color w:val="auto"/>
        </w:rPr>
        <w:t>. The Company offers a full line of deposit products to customers in the Community Banking Division’s market area through its ten-branch network. In addition, we utilize our online deposit program, ableBanking, a division of Northeast Bank, to provide an additional channel through which to raise core deposits to fund the Company’s asset strategy.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Continuing our community banking tradition. </w:t>
      </w:r>
      <w:r>
        <w:rPr>
          <w:rFonts w:ascii="Arial" w:cs="Arial" w:eastAsia="Arial" w:hAnsi="Arial"/>
          <w:sz w:val="18"/>
          <w:szCs w:val="18"/>
          <w:color w:val="auto"/>
        </w:rPr>
        <w:t>The Community Banking Division retains a high degree of local autonomy and operational flexibility to better</w:t>
      </w:r>
      <w:r>
        <w:rPr>
          <w:rFonts w:ascii="Arial" w:cs="Arial" w:eastAsia="Arial" w:hAnsi="Arial"/>
          <w:sz w:val="18"/>
          <w:szCs w:val="18"/>
          <w:i w:val="1"/>
          <w:iCs w:val="1"/>
          <w:color w:val="auto"/>
        </w:rPr>
        <w:t xml:space="preserve"> </w:t>
      </w:r>
      <w:r>
        <w:rPr>
          <w:rFonts w:ascii="Arial" w:cs="Arial" w:eastAsia="Arial" w:hAnsi="Arial"/>
          <w:sz w:val="18"/>
          <w:szCs w:val="18"/>
          <w:color w:val="auto"/>
        </w:rPr>
        <w:t>serve its customers. The Community Banking Division’s focus on sales and service allows us to attract and retain core deposits in support of balance sheet growth, and to continue to generate new commercial and residential mortgage loans.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2014 to gain a better understanding of how Northeast’s financial performance is measured and reported. There has been no material change in critical accounting policies during the nine months ended March 31, 2015.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income from continuing operations was $1.8 million, or $0.18 per diluted common share, for the quarter ended March 31, 2015, compared to $437 thousand, or $0.04 per diluted common share, for the quarter ended March 31, 2014.</w:t>
      </w:r>
    </w:p>
    <w:p>
      <w:pPr>
        <w:spacing w:after="0" w:line="17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Net income from continuing operations was $5.0 million, or $0.50 per diluted common share, for the nine months ended March 31, 2015, compared to $2.2 million, or $0.21 per diluted common share, for the nine months ended March 31, 2014.</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$2.0 million, or 28.2%, to $9.1 million for the quarter ended March 31, 2015 compared to the quarter ended March 31, 2014, due primarily to higher transactional interest income from purchased loan payoffs and the positive effect of balance sheet growth.</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Noninterest income increased by $246 thousand for the quarter ended March 31, 2015, compared to the quarter ended March 31, 2014, principally due to the following:</w:t>
      </w:r>
    </w:p>
    <w:p>
      <w:pPr>
        <w:spacing w:after="0" w:line="170"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$192 thousand in gains recognized on Real Estate Owned/Other Assets Acquired (“REO/OAA”);</w:t>
      </w:r>
    </w:p>
    <w:p>
      <w:pPr>
        <w:spacing w:after="0" w:line="23" w:lineRule="exact"/>
        <w:rPr>
          <w:rFonts w:ascii="Arial" w:cs="Arial" w:eastAsia="Arial" w:hAnsi="Arial"/>
          <w:sz w:val="18"/>
          <w:szCs w:val="18"/>
          <w:color w:val="auto"/>
        </w:rPr>
      </w:pPr>
    </w:p>
    <w:p>
      <w:pPr>
        <w:ind w:left="660" w:hanging="328"/>
        <w:spacing w:after="0" w:line="250"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$90 thousand in gains realized on sale of loans held for sale in the secondary market, due principally to an increase in purchase-related mortgage loan activity in the current period;</w:t>
      </w:r>
    </w:p>
    <w:p>
      <w:pPr>
        <w:ind w:left="660" w:right="320" w:hanging="328"/>
        <w:spacing w:after="0" w:line="250"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$52 thousand in gains realized on sale of portfolio loans. The current quarter includes gains realized on sale of SBA loans of $425 thousand, compared to zero in the quarter ended March 31, 2014; and</w:t>
      </w:r>
    </w:p>
    <w:p>
      <w:pPr>
        <w:ind w:left="620" w:hanging="288"/>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decrease of $82 thousand in fees and other services to customers, primarily due to a decrease in servicing rights related to loans paid off or sold.</w:t>
      </w:r>
    </w:p>
    <w:p>
      <w:pPr>
        <w:spacing w:after="0" w:line="2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Noninterest expense increased by $369 thousand for the quarter ended March 31, 2015, compared to the quarter ended March 31, 2014, principally due to the following:</w:t>
      </w:r>
    </w:p>
    <w:p>
      <w:pPr>
        <w:spacing w:after="0" w:line="170"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$557 thousand in salaries and employee benefits, principally due to increased employee head count; and</w:t>
      </w:r>
    </w:p>
    <w:p>
      <w:pPr>
        <w:spacing w:after="0" w:line="23" w:lineRule="exact"/>
        <w:rPr>
          <w:rFonts w:ascii="Arial" w:cs="Arial" w:eastAsia="Arial" w:hAnsi="Arial"/>
          <w:sz w:val="18"/>
          <w:szCs w:val="18"/>
          <w:color w:val="auto"/>
        </w:rPr>
      </w:pPr>
    </w:p>
    <w:p>
      <w:pPr>
        <w:ind w:left="660" w:hanging="328"/>
        <w:spacing w:after="0" w:line="255"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$172 thousand in occupancy and equipment expense, the result of a reduction in software maintenance and depreciation expense following the conversion of the Bank’s core systems platform to an outsourced model in May 2014. The decrease in equipment expense was offset in part by higher data processing fees, which increased by $104 thousand.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assets increased by $71.0 million, or 9.3%, to $832.9 million at March 31, 2015, compared to June 30, 2014. The principal components of the change in the balance sheet follow:</w:t>
      </w:r>
    </w:p>
    <w:p>
      <w:pPr>
        <w:spacing w:after="0" w:line="170" w:lineRule="exact"/>
        <w:rPr>
          <w:sz w:val="20"/>
          <w:szCs w:val="20"/>
          <w:color w:val="auto"/>
        </w:rPr>
      </w:pPr>
    </w:p>
    <w:p>
      <w:pPr>
        <w:ind w:left="660" w:right="60" w:hanging="328"/>
        <w:spacing w:after="0" w:line="264"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loan portfolio — excluding loans held for sale — grew by $62.8 million, or 12.2%, compared to June 30, 2014, the result of net growth of $67.1 million in commercial loans purchased or originated by the Bank’s Loan Acquisition and Servicing Group (“LASG”), offset by a $4.3 million decrease in the Bank’s Community Banking Division loan portfolio.</w:t>
      </w:r>
    </w:p>
    <w:p>
      <w:pPr>
        <w:spacing w:after="0" w:line="181"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New loans generated by the LASG totaled $35.8 million and $156.1 million for the three and nine-month periods, respectively, ending March 31, 2015. The quarterly growth in LASG loans consisted of $5.1 million of purchased loans, at an average price of 92.3%, and $30.7 million of originated loans. Small Business Administration (“SBA”) loans originated during the quarter totaled $9.4 million, of which $3.1 million were sold in the secondary market. Residential and consumer loan production sold in the secondary market totaled $20.0 million for the quarter.</w:t>
      </w:r>
    </w:p>
    <w:p>
      <w:pPr>
        <w:spacing w:after="0" w:line="171"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As noted above in the “</w:t>
      </w:r>
      <w:r>
        <w:rPr>
          <w:rFonts w:ascii="Arial" w:cs="Arial" w:eastAsia="Arial" w:hAnsi="Arial"/>
          <w:sz w:val="18"/>
          <w:szCs w:val="18"/>
          <w:i w:val="1"/>
          <w:iCs w:val="1"/>
          <w:color w:val="auto"/>
        </w:rPr>
        <w:t>Business Overview</w:t>
      </w:r>
      <w:r>
        <w:rPr>
          <w:rFonts w:ascii="Arial" w:cs="Arial" w:eastAsia="Arial" w:hAnsi="Arial"/>
          <w:sz w:val="18"/>
          <w:szCs w:val="18"/>
          <w:color w:val="auto"/>
        </w:rPr>
        <w:t>” the Company made certain commitments to the Board of Governors of the Federal Reserve System in connection with the merger of FHB Formation LLC with and into the Company in December 2010. The Company’s loan purchase and commercial real estate loan availability under these conditions follow.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Basis for</w:t>
            </w:r>
          </w:p>
        </w:tc>
        <w:tc>
          <w:tcPr>
            <w:tcW w:w="6000" w:type="dxa"/>
            <w:vAlign w:val="bottom"/>
            <w:gridSpan w:val="2"/>
            <w:vMerge w:val="restart"/>
          </w:tcPr>
          <w:p>
            <w:pPr>
              <w:ind w:left="2540"/>
              <w:spacing w:after="0"/>
              <w:rPr>
                <w:sz w:val="20"/>
                <w:szCs w:val="20"/>
                <w:color w:val="auto"/>
              </w:rPr>
            </w:pPr>
            <w:r>
              <w:rPr>
                <w:rFonts w:ascii="Arial" w:cs="Arial" w:eastAsia="Arial" w:hAnsi="Arial"/>
                <w:sz w:val="14"/>
                <w:szCs w:val="14"/>
                <w:b w:val="1"/>
                <w:bCs w:val="1"/>
                <w:color w:val="auto"/>
              </w:rPr>
              <w:t>Condition</w:t>
            </w: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Availability at March 31, 2015</w:t>
            </w: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Regulatory Condition</w:t>
            </w:r>
          </w:p>
        </w:tc>
        <w:tc>
          <w:tcPr>
            <w:tcW w:w="6000" w:type="dxa"/>
            <w:vAlign w:val="bottom"/>
            <w:gridSpan w:val="2"/>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49" w:orient="portrait"/>
          <w:cols w:equalWidth="0" w:num="1">
            <w:col w:w="11400"/>
          </w:cols>
          <w:pgMar w:left="240" w:top="125" w:right="259" w:bottom="0" w:gutter="0" w:footer="0" w:header="0"/>
        </w:sectPr>
      </w:pPr>
    </w:p>
    <w:p>
      <w:pPr>
        <w:spacing w:after="0"/>
        <w:tabs>
          <w:tab w:leader="none" w:pos="2920" w:val="left"/>
          <w:tab w:leader="none" w:pos="8920" w:val="left"/>
          <w:tab w:leader="none" w:pos="10980" w:val="left"/>
        </w:tabs>
        <w:rPr>
          <w:sz w:val="20"/>
          <w:szCs w:val="20"/>
          <w:color w:val="auto"/>
        </w:rPr>
      </w:pPr>
      <w:r>
        <w:rPr>
          <w:rFonts w:ascii="Arial" w:cs="Arial" w:eastAsia="Arial" w:hAnsi="Arial"/>
          <w:sz w:val="18"/>
          <w:szCs w:val="18"/>
          <w:color w:val="auto"/>
        </w:rPr>
        <w:t>Total Loans</w:t>
      </w:r>
      <w:r>
        <w:rPr>
          <w:sz w:val="20"/>
          <w:szCs w:val="20"/>
          <w:color w:val="auto"/>
        </w:rPr>
        <w:tab/>
      </w:r>
      <w:r>
        <w:rPr>
          <w:rFonts w:ascii="Arial" w:cs="Arial" w:eastAsia="Arial" w:hAnsi="Arial"/>
          <w:sz w:val="18"/>
          <w:szCs w:val="18"/>
          <w:color w:val="auto"/>
        </w:rPr>
        <w:t>Purchased loans may not exceed 40% of total loans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62.9</w:t>
      </w:r>
    </w:p>
    <w:p>
      <w:pPr>
        <w:sectPr>
          <w:pgSz w:w="11900" w:h="16849" w:orient="portrait"/>
          <w:cols w:equalWidth="0" w:num="1">
            <w:col w:w="11400"/>
          </w:cols>
          <w:pgMar w:left="240" w:top="125" w:right="259" w:bottom="0" w:gutter="0" w:footer="0" w:header="0"/>
          <w:type w:val="continuous"/>
        </w:sectPr>
      </w:pPr>
    </w:p>
    <w:bookmarkStart w:id="21" w:name="page22"/>
    <w:bookmarkEnd w:id="21"/>
    <w:p>
      <w:pPr>
        <w:ind w:left="2940" w:right="100" w:hanging="2930"/>
        <w:spacing w:after="0" w:line="277" w:lineRule="auto"/>
        <w:tabs>
          <w:tab w:leader="none" w:pos="2920" w:val="left"/>
        </w:tabs>
        <w:rPr>
          <w:sz w:val="20"/>
          <w:szCs w:val="20"/>
          <w:color w:val="auto"/>
        </w:rPr>
      </w:pPr>
      <w:r>
        <w:rPr>
          <w:rFonts w:ascii="Arial" w:cs="Arial" w:eastAsia="Arial" w:hAnsi="Arial"/>
          <w:sz w:val="18"/>
          <w:szCs w:val="18"/>
          <w:color w:val="auto"/>
        </w:rPr>
        <w:t>Regulatory Capital</w:t>
      </w:r>
      <w:r>
        <w:rPr>
          <w:sz w:val="20"/>
          <w:szCs w:val="20"/>
          <w:color w:val="auto"/>
        </w:rPr>
        <w:tab/>
      </w:r>
      <w:r>
        <w:rPr>
          <w:rFonts w:ascii="Arial" w:cs="Arial" w:eastAsia="Arial" w:hAnsi="Arial"/>
          <w:sz w:val="18"/>
          <w:szCs w:val="18"/>
          <w:color w:val="auto"/>
        </w:rPr>
        <w:t>Non-owner occupied commercial real estate loans may not exceed 300% of $ 155.2 total risk-based capital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overview of the LASG portfolio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LASG Portfolio</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2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5"/>
          </w:tcPr>
          <w:p>
            <w:pPr>
              <w:jc w:val="center"/>
              <w:ind w:right="277"/>
              <w:spacing w:after="0" w:line="129" w:lineRule="exact"/>
              <w:rPr>
                <w:sz w:val="20"/>
                <w:szCs w:val="20"/>
                <w:color w:val="auto"/>
              </w:rPr>
            </w:pPr>
            <w:r>
              <w:rPr>
                <w:rFonts w:ascii="Arial" w:cs="Arial" w:eastAsia="Arial" w:hAnsi="Arial"/>
                <w:sz w:val="13"/>
                <w:szCs w:val="13"/>
                <w:b w:val="1"/>
                <w:bCs w:val="1"/>
                <w:color w:val="auto"/>
                <w:w w:val="89"/>
              </w:rPr>
              <w:t>Three Months Ended March 31,</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2015</w:t>
            </w: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1038"/>
              <w:spacing w:after="0" w:line="129" w:lineRule="exact"/>
              <w:rPr>
                <w:sz w:val="20"/>
                <w:szCs w:val="20"/>
                <w:color w:val="auto"/>
              </w:rPr>
            </w:pPr>
            <w:r>
              <w:rPr>
                <w:rFonts w:ascii="Arial" w:cs="Arial" w:eastAsia="Arial" w:hAnsi="Arial"/>
                <w:sz w:val="13"/>
                <w:szCs w:val="13"/>
                <w:b w:val="1"/>
                <w:bCs w:val="1"/>
                <w:color w:val="auto"/>
                <w:w w:val="89"/>
              </w:rPr>
              <w:t>2014</w:t>
            </w: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0"/>
        </w:trPr>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center"/>
              <w:ind w:right="178"/>
              <w:spacing w:after="0" w:line="110" w:lineRule="exact"/>
              <w:rPr>
                <w:sz w:val="20"/>
                <w:szCs w:val="20"/>
                <w:color w:val="auto"/>
              </w:rPr>
            </w:pPr>
            <w:r>
              <w:rPr>
                <w:rFonts w:ascii="Arial" w:cs="Arial" w:eastAsia="Arial" w:hAnsi="Arial"/>
                <w:sz w:val="12"/>
                <w:szCs w:val="12"/>
                <w:b w:val="1"/>
                <w:bCs w:val="1"/>
                <w:color w:val="auto"/>
                <w:w w:val="93"/>
              </w:rPr>
              <w:t>Secured Loans to</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center"/>
              <w:ind w:right="198"/>
              <w:spacing w:after="0" w:line="110" w:lineRule="exact"/>
              <w:rPr>
                <w:sz w:val="20"/>
                <w:szCs w:val="20"/>
                <w:color w:val="auto"/>
              </w:rPr>
            </w:pPr>
            <w:r>
              <w:rPr>
                <w:rFonts w:ascii="Arial" w:cs="Arial" w:eastAsia="Arial" w:hAnsi="Arial"/>
                <w:sz w:val="12"/>
                <w:szCs w:val="12"/>
                <w:b w:val="1"/>
                <w:bCs w:val="1"/>
                <w:color w:val="auto"/>
                <w:w w:val="93"/>
              </w:rPr>
              <w:t>Secured Loans to</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3"/>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b w:val="1"/>
                <w:bCs w:val="1"/>
                <w:color w:val="auto"/>
                <w:w w:val="87"/>
              </w:rPr>
              <w:t>Purchased</w:t>
            </w:r>
          </w:p>
        </w:tc>
        <w:tc>
          <w:tcPr>
            <w:tcW w:w="140" w:type="dxa"/>
            <w:vAlign w:val="bottom"/>
          </w:tcPr>
          <w:p>
            <w:pPr>
              <w:spacing w:after="0"/>
              <w:rPr>
                <w:sz w:val="13"/>
                <w:szCs w:val="13"/>
                <w:color w:val="auto"/>
              </w:rPr>
            </w:pPr>
          </w:p>
        </w:tc>
        <w:tc>
          <w:tcPr>
            <w:tcW w:w="880" w:type="dxa"/>
            <w:vAlign w:val="bottom"/>
          </w:tcPr>
          <w:p>
            <w:pPr>
              <w:jc w:val="right"/>
              <w:ind w:right="197"/>
              <w:spacing w:after="0"/>
              <w:rPr>
                <w:sz w:val="20"/>
                <w:szCs w:val="20"/>
                <w:color w:val="auto"/>
              </w:rPr>
            </w:pPr>
            <w:r>
              <w:rPr>
                <w:rFonts w:ascii="Arial" w:cs="Arial" w:eastAsia="Arial" w:hAnsi="Arial"/>
                <w:sz w:val="13"/>
                <w:szCs w:val="13"/>
                <w:b w:val="1"/>
                <w:bCs w:val="1"/>
                <w:color w:val="auto"/>
                <w:w w:val="92"/>
              </w:rPr>
              <w:t>Originated</w:t>
            </w:r>
          </w:p>
        </w:tc>
        <w:tc>
          <w:tcPr>
            <w:tcW w:w="160" w:type="dxa"/>
            <w:vAlign w:val="bottom"/>
          </w:tcPr>
          <w:p>
            <w:pPr>
              <w:spacing w:after="0"/>
              <w:rPr>
                <w:sz w:val="13"/>
                <w:szCs w:val="13"/>
                <w:color w:val="auto"/>
              </w:rPr>
            </w:pPr>
          </w:p>
        </w:tc>
        <w:tc>
          <w:tcPr>
            <w:tcW w:w="1220" w:type="dxa"/>
            <w:vAlign w:val="bottom"/>
          </w:tcPr>
          <w:p>
            <w:pPr>
              <w:jc w:val="center"/>
              <w:ind w:right="178"/>
              <w:spacing w:after="0"/>
              <w:rPr>
                <w:sz w:val="20"/>
                <w:szCs w:val="20"/>
                <w:color w:val="auto"/>
              </w:rPr>
            </w:pPr>
            <w:r>
              <w:rPr>
                <w:rFonts w:ascii="Arial" w:cs="Arial" w:eastAsia="Arial" w:hAnsi="Arial"/>
                <w:sz w:val="13"/>
                <w:szCs w:val="13"/>
                <w:b w:val="1"/>
                <w:bCs w:val="1"/>
                <w:color w:val="auto"/>
                <w:w w:val="87"/>
              </w:rPr>
              <w:t>Broker-Dealers</w:t>
            </w:r>
          </w:p>
        </w:tc>
        <w:tc>
          <w:tcPr>
            <w:tcW w:w="14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Total LASG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37"/>
              <w:spacing w:after="0"/>
              <w:rPr>
                <w:sz w:val="20"/>
                <w:szCs w:val="20"/>
                <w:color w:val="auto"/>
              </w:rPr>
            </w:pPr>
            <w:r>
              <w:rPr>
                <w:rFonts w:ascii="Arial" w:cs="Arial" w:eastAsia="Arial" w:hAnsi="Arial"/>
                <w:sz w:val="13"/>
                <w:szCs w:val="13"/>
                <w:b w:val="1"/>
                <w:bCs w:val="1"/>
                <w:color w:val="auto"/>
                <w:w w:val="84"/>
              </w:rPr>
              <w:t>Purchased</w:t>
            </w:r>
          </w:p>
        </w:tc>
        <w:tc>
          <w:tcPr>
            <w:tcW w:w="140" w:type="dxa"/>
            <w:vAlign w:val="bottom"/>
          </w:tcPr>
          <w:p>
            <w:pPr>
              <w:spacing w:after="0"/>
              <w:rPr>
                <w:sz w:val="13"/>
                <w:szCs w:val="13"/>
                <w:color w:val="auto"/>
              </w:rPr>
            </w:pPr>
          </w:p>
        </w:tc>
        <w:tc>
          <w:tcPr>
            <w:tcW w:w="820" w:type="dxa"/>
            <w:vAlign w:val="bottom"/>
          </w:tcPr>
          <w:p>
            <w:pPr>
              <w:jc w:val="right"/>
              <w:ind w:right="137"/>
              <w:spacing w:after="0"/>
              <w:rPr>
                <w:sz w:val="20"/>
                <w:szCs w:val="20"/>
                <w:color w:val="auto"/>
              </w:rPr>
            </w:pPr>
            <w:r>
              <w:rPr>
                <w:rFonts w:ascii="Arial" w:cs="Arial" w:eastAsia="Arial" w:hAnsi="Arial"/>
                <w:sz w:val="13"/>
                <w:szCs w:val="13"/>
                <w:b w:val="1"/>
                <w:bCs w:val="1"/>
                <w:color w:val="auto"/>
                <w:w w:val="92"/>
              </w:rPr>
              <w:t>Originated</w:t>
            </w:r>
          </w:p>
        </w:tc>
        <w:tc>
          <w:tcPr>
            <w:tcW w:w="200" w:type="dxa"/>
            <w:vAlign w:val="bottom"/>
          </w:tcPr>
          <w:p>
            <w:pPr>
              <w:spacing w:after="0"/>
              <w:rPr>
                <w:sz w:val="13"/>
                <w:szCs w:val="13"/>
                <w:color w:val="auto"/>
              </w:rPr>
            </w:pPr>
          </w:p>
        </w:tc>
        <w:tc>
          <w:tcPr>
            <w:tcW w:w="1200" w:type="dxa"/>
            <w:vAlign w:val="bottom"/>
          </w:tcPr>
          <w:p>
            <w:pPr>
              <w:jc w:val="center"/>
              <w:ind w:right="198"/>
              <w:spacing w:after="0"/>
              <w:rPr>
                <w:sz w:val="20"/>
                <w:szCs w:val="20"/>
                <w:color w:val="auto"/>
              </w:rPr>
            </w:pPr>
            <w:r>
              <w:rPr>
                <w:rFonts w:ascii="Arial" w:cs="Arial" w:eastAsia="Arial" w:hAnsi="Arial"/>
                <w:sz w:val="13"/>
                <w:szCs w:val="13"/>
                <w:b w:val="1"/>
                <w:bCs w:val="1"/>
                <w:color w:val="auto"/>
                <w:w w:val="87"/>
              </w:rPr>
              <w:t>Broker-Dealers</w:t>
            </w:r>
          </w:p>
        </w:tc>
        <w:tc>
          <w:tcPr>
            <w:tcW w:w="12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7"/>
              </w:rPr>
              <w:t>Total LASG</w:t>
            </w:r>
          </w:p>
        </w:tc>
      </w:tr>
      <w:tr>
        <w:trPr>
          <w:trHeight w:val="129"/>
        </w:trPr>
        <w:tc>
          <w:tcPr>
            <w:tcW w:w="2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gridSpan w:val="5"/>
          </w:tcPr>
          <w:p>
            <w:pPr>
              <w:jc w:val="center"/>
              <w:ind w:right="277"/>
              <w:spacing w:after="0" w:line="129" w:lineRule="exact"/>
              <w:rPr>
                <w:sz w:val="20"/>
                <w:szCs w:val="20"/>
                <w:color w:val="auto"/>
              </w:rPr>
            </w:pPr>
            <w:r>
              <w:rPr>
                <w:rFonts w:ascii="Arial" w:cs="Arial" w:eastAsia="Arial" w:hAnsi="Arial"/>
                <w:sz w:val="13"/>
                <w:szCs w:val="13"/>
                <w:b w:val="1"/>
                <w:bCs w:val="1"/>
                <w:color w:val="auto"/>
                <w:w w:val="87"/>
              </w:rPr>
              <w:t>(Dollars in thousands)</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2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Loans purchased or originated during the</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period: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5"/>
        </w:trPr>
        <w:tc>
          <w:tcPr>
            <w:tcW w:w="2540" w:type="dxa"/>
            <w:vAlign w:val="bottom"/>
          </w:tcPr>
          <w:p>
            <w:pPr>
              <w:ind w:left="180"/>
              <w:spacing w:after="0" w:line="135" w:lineRule="exact"/>
              <w:rPr>
                <w:sz w:val="20"/>
                <w:szCs w:val="20"/>
                <w:color w:val="auto"/>
              </w:rPr>
            </w:pPr>
            <w:r>
              <w:rPr>
                <w:rFonts w:ascii="Arial" w:cs="Arial" w:eastAsia="Arial" w:hAnsi="Arial"/>
                <w:sz w:val="13"/>
                <w:szCs w:val="13"/>
                <w:color w:val="auto"/>
              </w:rPr>
              <w:t>Unpaid principal balance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5,484</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18,760</w:t>
            </w: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1220" w:type="dxa"/>
            <w:vAlign w:val="bottom"/>
          </w:tcPr>
          <w:p>
            <w:pPr>
              <w:jc w:val="right"/>
              <w:ind w:right="98"/>
              <w:spacing w:after="0" w:line="135" w:lineRule="exact"/>
              <w:rPr>
                <w:sz w:val="20"/>
                <w:szCs w:val="20"/>
                <w:color w:val="auto"/>
              </w:rPr>
            </w:pPr>
            <w:r>
              <w:rPr>
                <w:rFonts w:ascii="Arial" w:cs="Arial" w:eastAsia="Arial" w:hAnsi="Arial"/>
                <w:sz w:val="13"/>
                <w:szCs w:val="13"/>
                <w:color w:val="auto"/>
              </w:rPr>
              <w:t>12,000</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36,244</w:t>
            </w:r>
          </w:p>
        </w:tc>
        <w:tc>
          <w:tcPr>
            <w:tcW w:w="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19,050</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11,158</w:t>
            </w:r>
          </w:p>
        </w:tc>
        <w:tc>
          <w:tcPr>
            <w:tcW w:w="2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2"/>
              </w:rPr>
              <w:t>$</w:t>
            </w:r>
          </w:p>
        </w:tc>
        <w:tc>
          <w:tcPr>
            <w:tcW w:w="1200" w:type="dxa"/>
            <w:vAlign w:val="bottom"/>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30,208</w:t>
            </w:r>
          </w:p>
        </w:tc>
      </w:tr>
      <w:tr>
        <w:trPr>
          <w:trHeight w:val="135"/>
        </w:trPr>
        <w:tc>
          <w:tcPr>
            <w:tcW w:w="25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Net investment basis</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5,063</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18,697</w:t>
            </w: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12,000</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35,760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16,300</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11,158</w:t>
            </w: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27,458</w:t>
            </w: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rPr>
              <w:t>Loan returns during the period:</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Yield</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12.87%</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5.67%</w:t>
            </w: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0.46%</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9.37%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9.51%</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6.95%</w:t>
            </w: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0.61%</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8.11%</w:t>
            </w:r>
          </w:p>
        </w:tc>
      </w:tr>
      <w:tr>
        <w:trPr>
          <w:trHeight w:val="160"/>
        </w:trPr>
        <w:tc>
          <w:tcPr>
            <w:tcW w:w="2540" w:type="dxa"/>
            <w:vAlign w:val="bottom"/>
          </w:tcPr>
          <w:p>
            <w:pPr>
              <w:ind w:left="180"/>
              <w:spacing w:after="0"/>
              <w:rPr>
                <w:sz w:val="20"/>
                <w:szCs w:val="20"/>
                <w:color w:val="auto"/>
              </w:rPr>
            </w:pPr>
            <w:r>
              <w:rPr>
                <w:rFonts w:ascii="Arial" w:cs="Arial" w:eastAsia="Arial" w:hAnsi="Arial"/>
                <w:sz w:val="13"/>
                <w:szCs w:val="13"/>
                <w:color w:val="auto"/>
              </w:rPr>
              <w:t>Total Return (1)</w:t>
            </w:r>
          </w:p>
        </w:tc>
        <w:tc>
          <w:tcPr>
            <w:tcW w:w="80" w:type="dxa"/>
            <w:vAlign w:val="bottom"/>
          </w:tcPr>
          <w:p>
            <w:pPr>
              <w:spacing w:after="0"/>
              <w:rPr>
                <w:sz w:val="13"/>
                <w:szCs w:val="1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13.60%</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5.67%</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0.46%</w:t>
            </w:r>
          </w:p>
        </w:tc>
        <w:tc>
          <w:tcPr>
            <w:tcW w:w="14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9.81%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10.39%</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7.10%</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0.61%</w:t>
            </w:r>
          </w:p>
        </w:tc>
        <w:tc>
          <w:tcPr>
            <w:tcW w:w="1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8.71%</w:t>
            </w:r>
          </w:p>
        </w:tc>
      </w:tr>
      <w:tr>
        <w:trPr>
          <w:trHeight w:val="353"/>
        </w:trPr>
        <w:tc>
          <w:tcPr>
            <w:tcW w:w="2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right="257"/>
              <w:spacing w:after="0"/>
              <w:rPr>
                <w:sz w:val="20"/>
                <w:szCs w:val="20"/>
                <w:color w:val="auto"/>
              </w:rPr>
            </w:pPr>
            <w:r>
              <w:rPr>
                <w:rFonts w:ascii="Arial" w:cs="Arial" w:eastAsia="Arial" w:hAnsi="Arial"/>
                <w:sz w:val="13"/>
                <w:szCs w:val="13"/>
                <w:b w:val="1"/>
                <w:bCs w:val="1"/>
                <w:color w:val="auto"/>
                <w:w w:val="89"/>
              </w:rPr>
              <w:t>Nine Months Ended March 31,</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2015</w:t>
            </w: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1038"/>
              <w:spacing w:after="0" w:line="129" w:lineRule="exact"/>
              <w:rPr>
                <w:sz w:val="20"/>
                <w:szCs w:val="20"/>
                <w:color w:val="auto"/>
              </w:rPr>
            </w:pPr>
            <w:r>
              <w:rPr>
                <w:rFonts w:ascii="Arial" w:cs="Arial" w:eastAsia="Arial" w:hAnsi="Arial"/>
                <w:sz w:val="13"/>
                <w:szCs w:val="13"/>
                <w:b w:val="1"/>
                <w:bCs w:val="1"/>
                <w:color w:val="auto"/>
                <w:w w:val="89"/>
              </w:rPr>
              <w:t>2014</w:t>
            </w: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0"/>
        </w:trPr>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center"/>
              <w:ind w:right="178"/>
              <w:spacing w:after="0" w:line="110" w:lineRule="exact"/>
              <w:rPr>
                <w:sz w:val="20"/>
                <w:szCs w:val="20"/>
                <w:color w:val="auto"/>
              </w:rPr>
            </w:pPr>
            <w:r>
              <w:rPr>
                <w:rFonts w:ascii="Arial" w:cs="Arial" w:eastAsia="Arial" w:hAnsi="Arial"/>
                <w:sz w:val="12"/>
                <w:szCs w:val="12"/>
                <w:b w:val="1"/>
                <w:bCs w:val="1"/>
                <w:color w:val="auto"/>
                <w:w w:val="93"/>
              </w:rPr>
              <w:t>Secured Loans to</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center"/>
              <w:ind w:right="198"/>
              <w:spacing w:after="0" w:line="110" w:lineRule="exact"/>
              <w:rPr>
                <w:sz w:val="20"/>
                <w:szCs w:val="20"/>
                <w:color w:val="auto"/>
              </w:rPr>
            </w:pPr>
            <w:r>
              <w:rPr>
                <w:rFonts w:ascii="Arial" w:cs="Arial" w:eastAsia="Arial" w:hAnsi="Arial"/>
                <w:sz w:val="12"/>
                <w:szCs w:val="12"/>
                <w:b w:val="1"/>
                <w:bCs w:val="1"/>
                <w:color w:val="auto"/>
                <w:w w:val="93"/>
              </w:rPr>
              <w:t>Secured Loans to</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3"/>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b w:val="1"/>
                <w:bCs w:val="1"/>
                <w:color w:val="auto"/>
                <w:w w:val="87"/>
              </w:rPr>
              <w:t>Purchased</w:t>
            </w:r>
          </w:p>
        </w:tc>
        <w:tc>
          <w:tcPr>
            <w:tcW w:w="140" w:type="dxa"/>
            <w:vAlign w:val="bottom"/>
          </w:tcPr>
          <w:p>
            <w:pPr>
              <w:spacing w:after="0"/>
              <w:rPr>
                <w:sz w:val="13"/>
                <w:szCs w:val="13"/>
                <w:color w:val="auto"/>
              </w:rPr>
            </w:pPr>
          </w:p>
        </w:tc>
        <w:tc>
          <w:tcPr>
            <w:tcW w:w="880" w:type="dxa"/>
            <w:vAlign w:val="bottom"/>
          </w:tcPr>
          <w:p>
            <w:pPr>
              <w:jc w:val="right"/>
              <w:ind w:right="197"/>
              <w:spacing w:after="0"/>
              <w:rPr>
                <w:sz w:val="20"/>
                <w:szCs w:val="20"/>
                <w:color w:val="auto"/>
              </w:rPr>
            </w:pPr>
            <w:r>
              <w:rPr>
                <w:rFonts w:ascii="Arial" w:cs="Arial" w:eastAsia="Arial" w:hAnsi="Arial"/>
                <w:sz w:val="13"/>
                <w:szCs w:val="13"/>
                <w:b w:val="1"/>
                <w:bCs w:val="1"/>
                <w:color w:val="auto"/>
                <w:w w:val="92"/>
              </w:rPr>
              <w:t>Originated</w:t>
            </w:r>
          </w:p>
        </w:tc>
        <w:tc>
          <w:tcPr>
            <w:tcW w:w="160" w:type="dxa"/>
            <w:vAlign w:val="bottom"/>
          </w:tcPr>
          <w:p>
            <w:pPr>
              <w:spacing w:after="0"/>
              <w:rPr>
                <w:sz w:val="13"/>
                <w:szCs w:val="13"/>
                <w:color w:val="auto"/>
              </w:rPr>
            </w:pPr>
          </w:p>
        </w:tc>
        <w:tc>
          <w:tcPr>
            <w:tcW w:w="1220" w:type="dxa"/>
            <w:vAlign w:val="bottom"/>
          </w:tcPr>
          <w:p>
            <w:pPr>
              <w:jc w:val="center"/>
              <w:ind w:right="178"/>
              <w:spacing w:after="0"/>
              <w:rPr>
                <w:sz w:val="20"/>
                <w:szCs w:val="20"/>
                <w:color w:val="auto"/>
              </w:rPr>
            </w:pPr>
            <w:r>
              <w:rPr>
                <w:rFonts w:ascii="Arial" w:cs="Arial" w:eastAsia="Arial" w:hAnsi="Arial"/>
                <w:sz w:val="13"/>
                <w:szCs w:val="13"/>
                <w:b w:val="1"/>
                <w:bCs w:val="1"/>
                <w:color w:val="auto"/>
                <w:w w:val="87"/>
              </w:rPr>
              <w:t>Broker-Dealers</w:t>
            </w:r>
          </w:p>
        </w:tc>
        <w:tc>
          <w:tcPr>
            <w:tcW w:w="14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Total LASG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37"/>
              <w:spacing w:after="0"/>
              <w:rPr>
                <w:sz w:val="20"/>
                <w:szCs w:val="20"/>
                <w:color w:val="auto"/>
              </w:rPr>
            </w:pPr>
            <w:r>
              <w:rPr>
                <w:rFonts w:ascii="Arial" w:cs="Arial" w:eastAsia="Arial" w:hAnsi="Arial"/>
                <w:sz w:val="13"/>
                <w:szCs w:val="13"/>
                <w:b w:val="1"/>
                <w:bCs w:val="1"/>
                <w:color w:val="auto"/>
                <w:w w:val="84"/>
              </w:rPr>
              <w:t>Purchased</w:t>
            </w:r>
          </w:p>
        </w:tc>
        <w:tc>
          <w:tcPr>
            <w:tcW w:w="140" w:type="dxa"/>
            <w:vAlign w:val="bottom"/>
          </w:tcPr>
          <w:p>
            <w:pPr>
              <w:spacing w:after="0"/>
              <w:rPr>
                <w:sz w:val="13"/>
                <w:szCs w:val="13"/>
                <w:color w:val="auto"/>
              </w:rPr>
            </w:pPr>
          </w:p>
        </w:tc>
        <w:tc>
          <w:tcPr>
            <w:tcW w:w="820" w:type="dxa"/>
            <w:vAlign w:val="bottom"/>
          </w:tcPr>
          <w:p>
            <w:pPr>
              <w:jc w:val="right"/>
              <w:ind w:right="137"/>
              <w:spacing w:after="0"/>
              <w:rPr>
                <w:sz w:val="20"/>
                <w:szCs w:val="20"/>
                <w:color w:val="auto"/>
              </w:rPr>
            </w:pPr>
            <w:r>
              <w:rPr>
                <w:rFonts w:ascii="Arial" w:cs="Arial" w:eastAsia="Arial" w:hAnsi="Arial"/>
                <w:sz w:val="13"/>
                <w:szCs w:val="13"/>
                <w:b w:val="1"/>
                <w:bCs w:val="1"/>
                <w:color w:val="auto"/>
                <w:w w:val="92"/>
              </w:rPr>
              <w:t>Originated</w:t>
            </w:r>
          </w:p>
        </w:tc>
        <w:tc>
          <w:tcPr>
            <w:tcW w:w="200" w:type="dxa"/>
            <w:vAlign w:val="bottom"/>
          </w:tcPr>
          <w:p>
            <w:pPr>
              <w:spacing w:after="0"/>
              <w:rPr>
                <w:sz w:val="13"/>
                <w:szCs w:val="13"/>
                <w:color w:val="auto"/>
              </w:rPr>
            </w:pPr>
          </w:p>
        </w:tc>
        <w:tc>
          <w:tcPr>
            <w:tcW w:w="1200" w:type="dxa"/>
            <w:vAlign w:val="bottom"/>
          </w:tcPr>
          <w:p>
            <w:pPr>
              <w:jc w:val="center"/>
              <w:ind w:right="198"/>
              <w:spacing w:after="0"/>
              <w:rPr>
                <w:sz w:val="20"/>
                <w:szCs w:val="20"/>
                <w:color w:val="auto"/>
              </w:rPr>
            </w:pPr>
            <w:r>
              <w:rPr>
                <w:rFonts w:ascii="Arial" w:cs="Arial" w:eastAsia="Arial" w:hAnsi="Arial"/>
                <w:sz w:val="13"/>
                <w:szCs w:val="13"/>
                <w:b w:val="1"/>
                <w:bCs w:val="1"/>
                <w:color w:val="auto"/>
                <w:w w:val="87"/>
              </w:rPr>
              <w:t>Broker-Dealers</w:t>
            </w:r>
          </w:p>
        </w:tc>
        <w:tc>
          <w:tcPr>
            <w:tcW w:w="12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7"/>
              </w:rPr>
              <w:t>Total LASG</w:t>
            </w:r>
          </w:p>
        </w:tc>
      </w:tr>
      <w:tr>
        <w:trPr>
          <w:trHeight w:val="129"/>
        </w:trPr>
        <w:tc>
          <w:tcPr>
            <w:tcW w:w="2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gridSpan w:val="5"/>
          </w:tcPr>
          <w:p>
            <w:pPr>
              <w:jc w:val="center"/>
              <w:ind w:right="277"/>
              <w:spacing w:after="0" w:line="129" w:lineRule="exact"/>
              <w:rPr>
                <w:sz w:val="20"/>
                <w:szCs w:val="20"/>
                <w:color w:val="auto"/>
              </w:rPr>
            </w:pPr>
            <w:r>
              <w:rPr>
                <w:rFonts w:ascii="Arial" w:cs="Arial" w:eastAsia="Arial" w:hAnsi="Arial"/>
                <w:sz w:val="13"/>
                <w:szCs w:val="13"/>
                <w:b w:val="1"/>
                <w:bCs w:val="1"/>
                <w:color w:val="auto"/>
                <w:w w:val="87"/>
              </w:rPr>
              <w:t>(Dollars in thousands)</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2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Loans purchased or originated during the</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period: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5"/>
        </w:trPr>
        <w:tc>
          <w:tcPr>
            <w:tcW w:w="2540" w:type="dxa"/>
            <w:vAlign w:val="bottom"/>
          </w:tcPr>
          <w:p>
            <w:pPr>
              <w:ind w:left="180"/>
              <w:spacing w:after="0" w:line="135" w:lineRule="exact"/>
              <w:rPr>
                <w:sz w:val="20"/>
                <w:szCs w:val="20"/>
                <w:color w:val="auto"/>
              </w:rPr>
            </w:pPr>
            <w:r>
              <w:rPr>
                <w:rFonts w:ascii="Arial" w:cs="Arial" w:eastAsia="Arial" w:hAnsi="Arial"/>
                <w:sz w:val="13"/>
                <w:szCs w:val="13"/>
                <w:color w:val="auto"/>
              </w:rPr>
              <w:t>Unpaid principal balance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67,909</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50,315</w:t>
            </w: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1220" w:type="dxa"/>
            <w:vAlign w:val="bottom"/>
          </w:tcPr>
          <w:p>
            <w:pPr>
              <w:jc w:val="right"/>
              <w:ind w:right="98"/>
              <w:spacing w:after="0" w:line="135" w:lineRule="exact"/>
              <w:rPr>
                <w:sz w:val="20"/>
                <w:szCs w:val="20"/>
                <w:color w:val="auto"/>
              </w:rPr>
            </w:pPr>
            <w:r>
              <w:rPr>
                <w:rFonts w:ascii="Arial" w:cs="Arial" w:eastAsia="Arial" w:hAnsi="Arial"/>
                <w:sz w:val="13"/>
                <w:szCs w:val="13"/>
                <w:color w:val="auto"/>
              </w:rPr>
              <w:t>48,000</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ind w:left="440"/>
              <w:spacing w:after="0" w:line="135" w:lineRule="exact"/>
              <w:rPr>
                <w:sz w:val="20"/>
                <w:szCs w:val="20"/>
                <w:color w:val="auto"/>
              </w:rPr>
            </w:pPr>
            <w:r>
              <w:rPr>
                <w:rFonts w:ascii="Arial" w:cs="Arial" w:eastAsia="Arial" w:hAnsi="Arial"/>
                <w:sz w:val="13"/>
                <w:szCs w:val="13"/>
                <w:color w:val="auto"/>
                <w:w w:val="80"/>
              </w:rPr>
              <w:t>166,224</w:t>
            </w:r>
          </w:p>
        </w:tc>
        <w:tc>
          <w:tcPr>
            <w:tcW w:w="180" w:type="dxa"/>
            <w:vAlign w:val="bottom"/>
          </w:tcPr>
          <w:p>
            <w:pPr>
              <w:spacing w:after="0"/>
              <w:rPr>
                <w:sz w:val="11"/>
                <w:szCs w:val="11"/>
                <w:color w:val="auto"/>
              </w:rPr>
            </w:pPr>
          </w:p>
        </w:tc>
        <w:tc>
          <w:tcPr>
            <w:tcW w:w="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53,044</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54,722</w:t>
            </w:r>
          </w:p>
        </w:tc>
        <w:tc>
          <w:tcPr>
            <w:tcW w:w="2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2"/>
              </w:rPr>
              <w:t>$</w:t>
            </w:r>
          </w:p>
        </w:tc>
        <w:tc>
          <w:tcPr>
            <w:tcW w:w="1200" w:type="dxa"/>
            <w:vAlign w:val="bottom"/>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107,766</w:t>
            </w:r>
          </w:p>
        </w:tc>
      </w:tr>
      <w:tr>
        <w:trPr>
          <w:trHeight w:val="135"/>
        </w:trPr>
        <w:tc>
          <w:tcPr>
            <w:tcW w:w="25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Net investment basis</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57,896</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50,236</w:t>
            </w: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48,000</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80"/>
              </w:rPr>
              <w:t>156,132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46,267</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54,722</w:t>
            </w: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100,989</w:t>
            </w: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rPr>
              <w:t>Loan returns during the period:</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Yield</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12.97%</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6.91%</w:t>
            </w: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0.47%</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10.12%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11.17%</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7.42%</w:t>
            </w: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0.61%</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9.55%</w:t>
            </w:r>
          </w:p>
        </w:tc>
      </w:tr>
      <w:tr>
        <w:trPr>
          <w:trHeight w:val="135"/>
        </w:trPr>
        <w:tc>
          <w:tcPr>
            <w:tcW w:w="2540" w:type="dxa"/>
            <w:vAlign w:val="bottom"/>
          </w:tcPr>
          <w:p>
            <w:pPr>
              <w:ind w:left="180"/>
              <w:spacing w:after="0" w:line="135" w:lineRule="exact"/>
              <w:rPr>
                <w:sz w:val="20"/>
                <w:szCs w:val="20"/>
                <w:color w:val="auto"/>
              </w:rPr>
            </w:pPr>
            <w:r>
              <w:rPr>
                <w:rFonts w:ascii="Arial" w:cs="Arial" w:eastAsia="Arial" w:hAnsi="Arial"/>
                <w:sz w:val="13"/>
                <w:szCs w:val="13"/>
                <w:color w:val="auto"/>
              </w:rPr>
              <w:t>Total Return (1)</w:t>
            </w:r>
          </w:p>
        </w:tc>
        <w:tc>
          <w:tcPr>
            <w:tcW w:w="8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13.36%</w:t>
            </w: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7.40%</w:t>
            </w:r>
          </w:p>
        </w:tc>
        <w:tc>
          <w:tcPr>
            <w:tcW w:w="16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color w:val="auto"/>
              </w:rPr>
              <w:t>0.47%</w:t>
            </w:r>
          </w:p>
        </w:tc>
        <w:tc>
          <w:tcPr>
            <w:tcW w:w="140" w:type="dxa"/>
            <w:vAlign w:val="bottom"/>
          </w:tcPr>
          <w:p>
            <w:pPr>
              <w:spacing w:after="0"/>
              <w:rPr>
                <w:sz w:val="11"/>
                <w:szCs w:val="11"/>
                <w:color w:val="auto"/>
              </w:rPr>
            </w:pPr>
          </w:p>
        </w:tc>
        <w:tc>
          <w:tcPr>
            <w:tcW w:w="10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10.48%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11.60%</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7.50%</w:t>
            </w:r>
          </w:p>
        </w:tc>
        <w:tc>
          <w:tcPr>
            <w:tcW w:w="20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0.61%</w:t>
            </w:r>
          </w:p>
        </w:tc>
        <w:tc>
          <w:tcPr>
            <w:tcW w:w="12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9.87%</w:t>
            </w:r>
          </w:p>
        </w:tc>
      </w:tr>
      <w:tr>
        <w:trPr>
          <w:trHeight w:val="135"/>
        </w:trPr>
        <w:tc>
          <w:tcPr>
            <w:tcW w:w="2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loans as of period end:</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2540" w:type="dxa"/>
            <w:vAlign w:val="bottom"/>
          </w:tcPr>
          <w:p>
            <w:pPr>
              <w:ind w:left="180"/>
              <w:spacing w:after="0" w:line="135" w:lineRule="exact"/>
              <w:rPr>
                <w:sz w:val="20"/>
                <w:szCs w:val="20"/>
                <w:color w:val="auto"/>
              </w:rPr>
            </w:pPr>
            <w:r>
              <w:rPr>
                <w:rFonts w:ascii="Arial" w:cs="Arial" w:eastAsia="Arial" w:hAnsi="Arial"/>
                <w:sz w:val="13"/>
                <w:szCs w:val="13"/>
                <w:color w:val="auto"/>
              </w:rPr>
              <w:t>Unpaid principal balance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234,672</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92,542</w:t>
            </w:r>
          </w:p>
        </w:tc>
        <w:tc>
          <w:tcPr>
            <w:tcW w:w="160" w:type="dxa"/>
            <w:vAlign w:val="bottom"/>
          </w:tcPr>
          <w:p>
            <w:pPr>
              <w:ind w:left="80"/>
              <w:spacing w:after="0" w:line="135" w:lineRule="exact"/>
              <w:rPr>
                <w:sz w:val="20"/>
                <w:szCs w:val="20"/>
                <w:color w:val="auto"/>
              </w:rPr>
            </w:pPr>
            <w:r>
              <w:rPr>
                <w:rFonts w:ascii="Arial" w:cs="Arial" w:eastAsia="Arial" w:hAnsi="Arial"/>
                <w:sz w:val="13"/>
                <w:szCs w:val="13"/>
                <w:color w:val="auto"/>
                <w:w w:val="82"/>
              </w:rPr>
              <w:t>$</w:t>
            </w:r>
          </w:p>
        </w:tc>
        <w:tc>
          <w:tcPr>
            <w:tcW w:w="1220" w:type="dxa"/>
            <w:vAlign w:val="bottom"/>
          </w:tcPr>
          <w:p>
            <w:pPr>
              <w:jc w:val="right"/>
              <w:ind w:right="98"/>
              <w:spacing w:after="0" w:line="135" w:lineRule="exact"/>
              <w:rPr>
                <w:sz w:val="20"/>
                <w:szCs w:val="20"/>
                <w:color w:val="auto"/>
              </w:rPr>
            </w:pPr>
            <w:r>
              <w:rPr>
                <w:rFonts w:ascii="Arial" w:cs="Arial" w:eastAsia="Arial" w:hAnsi="Arial"/>
                <w:sz w:val="13"/>
                <w:szCs w:val="13"/>
                <w:color w:val="auto"/>
              </w:rPr>
              <w:t>60,000</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ind w:left="440"/>
              <w:spacing w:after="0" w:line="135" w:lineRule="exact"/>
              <w:rPr>
                <w:sz w:val="20"/>
                <w:szCs w:val="20"/>
                <w:color w:val="auto"/>
              </w:rPr>
            </w:pPr>
            <w:r>
              <w:rPr>
                <w:rFonts w:ascii="Arial" w:cs="Arial" w:eastAsia="Arial" w:hAnsi="Arial"/>
                <w:sz w:val="13"/>
                <w:szCs w:val="13"/>
                <w:color w:val="auto"/>
                <w:w w:val="80"/>
              </w:rPr>
              <w:t>387,214</w:t>
            </w:r>
          </w:p>
        </w:tc>
        <w:tc>
          <w:tcPr>
            <w:tcW w:w="180" w:type="dxa"/>
            <w:vAlign w:val="bottom"/>
          </w:tcPr>
          <w:p>
            <w:pPr>
              <w:spacing w:after="0"/>
              <w:rPr>
                <w:sz w:val="11"/>
                <w:szCs w:val="11"/>
                <w:color w:val="auto"/>
              </w:rPr>
            </w:pPr>
          </w:p>
        </w:tc>
        <w:tc>
          <w:tcPr>
            <w:tcW w:w="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221,597</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64,700</w:t>
            </w:r>
          </w:p>
        </w:tc>
        <w:tc>
          <w:tcPr>
            <w:tcW w:w="2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2"/>
              </w:rPr>
              <w:t>$</w:t>
            </w:r>
          </w:p>
        </w:tc>
        <w:tc>
          <w:tcPr>
            <w:tcW w:w="1200" w:type="dxa"/>
            <w:vAlign w:val="bottom"/>
          </w:tcPr>
          <w:p>
            <w:pPr>
              <w:jc w:val="right"/>
              <w:ind w:right="98"/>
              <w:spacing w:after="0" w:line="135" w:lineRule="exact"/>
              <w:rPr>
                <w:sz w:val="20"/>
                <w:szCs w:val="20"/>
                <w:color w:val="auto"/>
              </w:rPr>
            </w:pPr>
            <w:r>
              <w:rPr>
                <w:rFonts w:ascii="Arial" w:cs="Arial" w:eastAsia="Arial" w:hAnsi="Arial"/>
                <w:sz w:val="13"/>
                <w:szCs w:val="13"/>
                <w:color w:val="auto"/>
              </w:rPr>
              <w:t>24,000</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310,297</w:t>
            </w:r>
          </w:p>
        </w:tc>
      </w:tr>
      <w:tr>
        <w:trPr>
          <w:trHeight w:val="135"/>
        </w:trPr>
        <w:tc>
          <w:tcPr>
            <w:tcW w:w="25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Net investment basis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195,683</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92,414</w:t>
            </w:r>
          </w:p>
        </w:tc>
        <w:tc>
          <w:tcPr>
            <w:tcW w:w="1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60,000</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80"/>
              </w:rPr>
              <w:t>348,097</w:t>
            </w:r>
          </w:p>
        </w:tc>
        <w:tc>
          <w:tcPr>
            <w:tcW w:w="1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184,959</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64,724</w:t>
            </w:r>
          </w:p>
        </w:tc>
        <w:tc>
          <w:tcPr>
            <w:tcW w:w="20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24,000</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273,683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40" w:firstLine="8"/>
        <w:spacing w:after="0" w:line="237" w:lineRule="auto"/>
        <w:tabs>
          <w:tab w:leader="none" w:pos="176"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Short-term Investments and Securities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and short-term investments were $105.1 million as of March 31, 2015, an increase of $22.8 million, or 27.7%, from $82.3 million at June 30, 2014. The increase is primarily due to the increase in deposits, specifically non-maturity accounts originated through the Bank’s ableBanking division, in order to fund future loan originations.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Available-for-sale securities, consisting of securities issued by government agencies and government-sponsored enterprises, totaled $105.5 million as of March 31, 2015 as compared to $113.9 million as of June 30, 2014, representing a decrease of $8.4 million or 7.4%. At March 31, 2015, securities with a fair value of $34.2 million were pledged for outstanding borrowings.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composition of the Company’s loan portfolio.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453"/>
              <w:spacing w:after="0"/>
              <w:rPr>
                <w:sz w:val="20"/>
                <w:szCs w:val="20"/>
                <w:color w:val="auto"/>
              </w:rPr>
            </w:pPr>
            <w:r>
              <w:rPr>
                <w:rFonts w:ascii="Arial" w:cs="Arial" w:eastAsia="Arial" w:hAnsi="Arial"/>
                <w:sz w:val="14"/>
                <w:szCs w:val="14"/>
                <w:b w:val="1"/>
                <w:bCs w:val="1"/>
                <w:color w:val="auto"/>
                <w:w w:val="96"/>
              </w:rPr>
              <w:t>March 31, 2015</w:t>
            </w: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Community</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Banking</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LASG</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Division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center"/>
              <w:ind w:right="5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110,177</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110,314</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24,321</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50,264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43,861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94,125</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25,841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14,517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40,358</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93,899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106,015</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8,377</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231,096</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383,510</w:t>
            </w:r>
          </w:p>
        </w:tc>
        <w:tc>
          <w:tcPr>
            <w:tcW w:w="280" w:type="dxa"/>
            <w:vAlign w:val="bottom"/>
            <w:vMerge w:val="continue"/>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Purchased loans: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2,143</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148,106</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45,178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45,178</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195,683</w:t>
            </w:r>
          </w:p>
        </w:tc>
        <w:tc>
          <w:tcPr>
            <w:tcW w:w="280" w:type="dxa"/>
            <w:vAlign w:val="bottom"/>
            <w:vMerge w:val="continue"/>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23"/>
        </w:trPr>
        <w:tc>
          <w:tcPr>
            <w:tcW w:w="4380" w:type="dxa"/>
            <w:vAlign w:val="bottom"/>
          </w:tcPr>
          <w:p>
            <w:pPr>
              <w:ind w:left="5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348,097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579,193</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22" w:name="page23"/>
    <w:bookmarkEnd w:id="2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2014</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Community</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Banking</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LASG</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Division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6"/>
          </w:tcPr>
          <w:p>
            <w:pPr>
              <w:jc w:val="right"/>
              <w:ind w:right="8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116,660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116,972</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27,975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27,975</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46,191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33,969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80,160</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24,519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36,426</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31,373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41,518</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9,884</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235,405</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77,561</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312,966</w:t>
            </w:r>
          </w:p>
        </w:tc>
        <w:tc>
          <w:tcPr>
            <w:tcW w:w="300" w:type="dxa"/>
            <w:vAlign w:val="bottom"/>
            <w:vMerge w:val="continue"/>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Purchased loans: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3,687</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282</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133,581</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65,900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65,900</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203,450</w:t>
            </w:r>
          </w:p>
        </w:tc>
        <w:tc>
          <w:tcPr>
            <w:tcW w:w="300" w:type="dxa"/>
            <w:vAlign w:val="bottom"/>
            <w:vMerge w:val="continue"/>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23"/>
        </w:trPr>
        <w:tc>
          <w:tcPr>
            <w:tcW w:w="4360" w:type="dxa"/>
            <w:vAlign w:val="bottom"/>
          </w:tcPr>
          <w:p>
            <w:pPr>
              <w:ind w:left="5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281,011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516,416</w:t>
            </w:r>
          </w:p>
        </w:tc>
        <w:tc>
          <w:tcPr>
            <w:tcW w:w="3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Loans are classified as non-performing when 90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March 31, 2015 and June 30, 2014. Management believes that, based on their carrying amounts, nonperforming assets are well secured based on the estimated fair value of underlying collateral.</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5"/>
          </w:tcPr>
          <w:p>
            <w:pPr>
              <w:jc w:val="center"/>
              <w:ind w:left="617"/>
              <w:spacing w:after="0"/>
              <w:rPr>
                <w:sz w:val="20"/>
                <w:szCs w:val="20"/>
                <w:color w:val="auto"/>
              </w:rPr>
            </w:pPr>
            <w:r>
              <w:rPr>
                <w:rFonts w:ascii="Arial" w:cs="Arial" w:eastAsia="Arial" w:hAnsi="Arial"/>
                <w:sz w:val="14"/>
                <w:szCs w:val="14"/>
                <w:b w:val="1"/>
                <w:bCs w:val="1"/>
                <w:color w:val="auto"/>
                <w:w w:val="92"/>
              </w:rPr>
              <w:t>Non-Performing Assets at March 31, 2015</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99"/>
              </w:rPr>
              <w:t>Community Banking Division</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LASG</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gridSpan w:val="5"/>
          </w:tcPr>
          <w:p>
            <w:pPr>
              <w:jc w:val="center"/>
              <w:ind w:left="617"/>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3,163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8"/>
                <w:szCs w:val="18"/>
                <w:color w:val="auto"/>
              </w:rPr>
            </w:pP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1,201</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5,850</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2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200" w:type="dxa"/>
            <w:vAlign w:val="bottom"/>
          </w:tcPr>
          <w:p>
            <w:pPr>
              <w:spacing w:after="0"/>
              <w:rPr>
                <w:sz w:val="18"/>
                <w:szCs w:val="18"/>
                <w:color w:val="auto"/>
              </w:rPr>
            </w:pP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2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8,294</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Ratio of nonperforming loans to total loans</w:t>
            </w: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Commercial loans risk rated substandard or worse</w:t>
            </w: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nonaccrual status</w:t>
            </w: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tcPr>
          <w:p>
            <w:pPr>
              <w:jc w:val="center"/>
              <w:ind w:left="597"/>
              <w:spacing w:after="0"/>
              <w:rPr>
                <w:sz w:val="20"/>
                <w:szCs w:val="20"/>
                <w:color w:val="auto"/>
              </w:rPr>
            </w:pPr>
            <w:r>
              <w:rPr>
                <w:rFonts w:ascii="Arial" w:cs="Arial" w:eastAsia="Arial" w:hAnsi="Arial"/>
                <w:sz w:val="14"/>
                <w:szCs w:val="14"/>
                <w:b w:val="1"/>
                <w:bCs w:val="1"/>
                <w:color w:val="auto"/>
                <w:w w:val="91"/>
              </w:rPr>
              <w:t>Non-Performing Assets at June 30, 2014</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99"/>
              </w:rPr>
              <w:t>Community Banking Division</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LASG</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gridSpan w:val="5"/>
          </w:tcPr>
          <w:p>
            <w:pPr>
              <w:jc w:val="center"/>
              <w:ind w:left="617"/>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1,572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23" w:name="page24"/>
    <w:bookmarkEnd w:id="2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0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0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1,162</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4,116</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0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0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0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0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10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5,029</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Ratio of nonperforming loans to total loans</w:t>
            </w: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Commercial loans risk rated substandard or worse</w:t>
            </w: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status</w:t>
            </w: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2015, nonperforming assets totaled $14.1 million, or 1.7% of total assets, as compared to $9.3 million, or 1.2% of total assets at June 30, 2014.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nonperforming assets during the nine months ended March 31, 2014 was mainly due to the addition of one purchased loan relationship.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Company’s allowance for loan losses was $1.7 million as of March 31, 2015, which represents an increase of $374 thousand from $1.4 million as of June 30, 2014. The increase during the period was principally due to increases in reserves necessary for loans accounted for under ASC 310-30 and due to increased volume of newly originated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March 31, 2015</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June 30, 2014</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8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3460" w:type="dxa"/>
            <w:vAlign w:val="bottom"/>
            <w:gridSpan w:val="3"/>
          </w:tcPr>
          <w:p>
            <w:pPr>
              <w:jc w:val="right"/>
              <w:ind w:right="120"/>
              <w:spacing w:after="0"/>
              <w:rPr>
                <w:sz w:val="20"/>
                <w:szCs w:val="20"/>
                <w:color w:val="auto"/>
              </w:rPr>
            </w:pPr>
            <w:r>
              <w:rPr>
                <w:rFonts w:ascii="Arial" w:cs="Arial" w:eastAsia="Arial" w:hAnsi="Arial"/>
                <w:sz w:val="18"/>
                <w:szCs w:val="18"/>
                <w:color w:val="auto"/>
              </w:rPr>
              <w:t>0.30%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3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40" w:type="dxa"/>
            <w:vAlign w:val="bottom"/>
          </w:tcPr>
          <w:p>
            <w:pPr>
              <w:spacing w:after="0"/>
              <w:rPr>
                <w:sz w:val="18"/>
                <w:szCs w:val="18"/>
                <w:color w:val="auto"/>
              </w:rPr>
            </w:pPr>
          </w:p>
        </w:tc>
      </w:tr>
      <w:tr>
        <w:trPr>
          <w:trHeight w:val="432"/>
        </w:trPr>
        <w:tc>
          <w:tcPr>
            <w:tcW w:w="4780" w:type="dxa"/>
            <w:vAlign w:val="bottom"/>
          </w:tcPr>
          <w:p>
            <w:pPr>
              <w:spacing w:after="0"/>
              <w:rPr>
                <w:sz w:val="24"/>
                <w:szCs w:val="24"/>
                <w:color w:val="auto"/>
              </w:rPr>
            </w:pPr>
          </w:p>
        </w:tc>
        <w:tc>
          <w:tcPr>
            <w:tcW w:w="1820" w:type="dxa"/>
            <w:vAlign w:val="bottom"/>
          </w:tcPr>
          <w:p>
            <w:pPr>
              <w:jc w:val="right"/>
              <w:ind w:right="710"/>
              <w:spacing w:after="0"/>
              <w:rPr>
                <w:sz w:val="20"/>
                <w:szCs w:val="20"/>
                <w:color w:val="auto"/>
              </w:rPr>
            </w:pPr>
            <w:r>
              <w:rPr>
                <w:rFonts w:ascii="Arial" w:cs="Arial" w:eastAsia="Arial" w:hAnsi="Arial"/>
                <w:sz w:val="18"/>
                <w:szCs w:val="18"/>
                <w:color w:val="auto"/>
              </w:rPr>
              <w:t>34</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78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cash surrender value of the Company’s bank-owned life insurance (“BOLI”) assets increased $329 thousand, or 2.2% to $15.2 million at March 31, 2015, compared to $14.8 million at June 30, 2014.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12.4% of the Company’s total risk-based capital at March 31, 2015.</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Intangible assets totaled $2.3 million and $2.8 million at March 31, 2015 and June 30, 2014, respectively. The $460 thousand decrease was the result of core deposit intangible asset amortization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Borrowed Funds, 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March 31, 2015, non-maturity accounts, and certificates of deposit with balances less than $250 thousand represented 99.7% of total deposits.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deposits increased $80.8 million to $655.2 million as of March 31, 2015 from $574.3 million as of June 30, 2014. The increase, which funded growth in the Company’s loan portfolio, was centered mainly in money market accounts attracted through the Bank’s ableBanking division. The composition of total deposits at March 31, 2015 and June 30, 2014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Pr>
          <w:p>
            <w:pPr>
              <w:spacing w:after="0"/>
              <w:rPr>
                <w:sz w:val="14"/>
                <w:szCs w:val="14"/>
                <w:color w:val="auto"/>
              </w:rPr>
            </w:pPr>
          </w:p>
        </w:tc>
        <w:tc>
          <w:tcPr>
            <w:tcW w:w="25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Percent of</w:t>
            </w: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tcBorders>
          </w:tcPr>
          <w:p>
            <w:pPr>
              <w:jc w:val="right"/>
              <w:ind w:right="157"/>
              <w:spacing w:after="0" w:line="119" w:lineRule="exact"/>
              <w:rPr>
                <w:sz w:val="20"/>
                <w:szCs w:val="20"/>
                <w:color w:val="auto"/>
              </w:rPr>
            </w:pPr>
            <w:r>
              <w:rPr>
                <w:rFonts w:ascii="Arial" w:cs="Arial" w:eastAsia="Arial" w:hAnsi="Arial"/>
                <w:sz w:val="13"/>
                <w:szCs w:val="13"/>
                <w:b w:val="1"/>
                <w:bCs w:val="1"/>
                <w:color w:val="auto"/>
              </w:rPr>
              <w:t>Percent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5"/>
          </w:tcPr>
          <w:p>
            <w:pPr>
              <w:ind w:left="5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50,870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50,140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NOW accounts</w:t>
            </w: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62,645</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63,648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35,405</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34,692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Money market deposits</w:t>
            </w: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163,004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24.88%</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83,901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64"/>
        </w:trPr>
        <w:tc>
          <w:tcPr>
            <w:tcW w:w="47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non-certificate accounts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311,924</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47.61%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232,381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Term certificates less than $250 thousand</w:t>
            </w: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w w:val="86"/>
              </w:rPr>
              <w:t>341,331</w:t>
            </w:r>
          </w:p>
        </w:tc>
        <w:tc>
          <w:tcPr>
            <w:tcW w:w="300" w:type="dxa"/>
            <w:vAlign w:val="bottom"/>
            <w:vMerge w:val="continue"/>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52.10%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339,616</w:t>
            </w:r>
          </w:p>
        </w:tc>
        <w:tc>
          <w:tcPr>
            <w:tcW w:w="280" w:type="dxa"/>
            <w:vAlign w:val="bottom"/>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59.13%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Term certificates of $250 thousand or more</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1,922</w:t>
            </w: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180"/>
              <w:spacing w:after="0"/>
              <w:rPr>
                <w:sz w:val="20"/>
                <w:szCs w:val="20"/>
                <w:color w:val="auto"/>
              </w:rPr>
            </w:pPr>
            <w:r>
              <w:rPr>
                <w:rFonts w:ascii="Arial" w:cs="Arial" w:eastAsia="Arial" w:hAnsi="Arial"/>
                <w:sz w:val="18"/>
                <w:szCs w:val="18"/>
                <w:color w:val="auto"/>
              </w:rPr>
              <w:t>Total certificate accounts</w:t>
            </w: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w w:val="86"/>
              </w:rPr>
              <w:t>343,253</w:t>
            </w:r>
          </w:p>
        </w:tc>
        <w:tc>
          <w:tcPr>
            <w:tcW w:w="300" w:type="dxa"/>
            <w:vAlign w:val="bottom"/>
            <w:vMerge w:val="continue"/>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52.39%</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341,948</w:t>
            </w:r>
          </w:p>
        </w:tc>
        <w:tc>
          <w:tcPr>
            <w:tcW w:w="280" w:type="dxa"/>
            <w:vAlign w:val="bottom"/>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59.54%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655,177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574,329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Borrowed Funds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Advances from the FHLB were $30.2 million and $42.8 million at March 31, 2015 and June 30, 2014, respectively; the decrease was due to $12.5 million of maturing advances during the period. At March 31, 2015, the Company had pledged investment securities with a fair value of $21.2 million, as well as certain residential real estate loans, commercial real estate loans, and FHLB deposits free of liens or pledges to secure outstanding advances and available additional borrowing capacity.</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Wholesale repurchase agreements were $10.1 million and $10.2 million at March 31, 2015 and June 30, 2014, respectively. At March 31, 2015, the Company had pledged investment securities with a fair value of $13.0 million as collateral for outstanding wholesale repurchase agreements.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Short-term borrowings, consisting of sweep accounts and repurchase agreements, were $2.9 million and $3.0 million as of March 31, 2015 and June 30,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is a summary of unused borrowing capacity of the Company at March 31, 2015, in addition to traditional retail deposit products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207,641</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81,411</w:t>
            </w:r>
          </w:p>
        </w:tc>
        <w:tc>
          <w:tcPr>
            <w:tcW w:w="1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Subject to eligible and qualified collateral</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Federal Reserve Discount Window Borrower-in-Custody</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Subject to the pledge of indirect auto loans</w:t>
            </w: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Total unused borrowing capacity</w:t>
            </w: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290,457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Unencumbered investment securities</w:t>
            </w:r>
          </w:p>
        </w:tc>
        <w:tc>
          <w:tcPr>
            <w:tcW w:w="4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71,912</w:t>
            </w:r>
          </w:p>
        </w:tc>
        <w:tc>
          <w:tcPr>
            <w:tcW w:w="4480" w:type="dxa"/>
            <w:vAlign w:val="bottom"/>
            <w:shd w:val="clear" w:color="auto" w:fill="CCEEFF"/>
          </w:tcPr>
          <w:p>
            <w:pPr>
              <w:spacing w:after="0"/>
              <w:rPr>
                <w:sz w:val="18"/>
                <w:szCs w:val="18"/>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Total sources of liquidity</w:t>
            </w: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362,369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Retail deposits and other core deposit sources including deposit listing services are used by the Company to manage its overall liquidity position. While the Company typically does not seek wholesale funding such as brokered deposits, the ability to raise them remains an important part of its liquidity contingency planning. While management closely monitors and forecasts the Company’s liquidity position, it is affected by asset growth, deposit withdrawals and other contractual obligations and commitments. The accuracy of management’s forecast assumptions may increase or decrease the Company’s overall available liquidity.</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March 31, 2015, the Company had $362.4 million of immediately accessible liquidity, defined as additional cash that could be raised within seven days through collateralized borrowings, brokered deposits or security sales. This position represented 43.5% of total assets. The Company also had $105.1 million of cash and cash equivalents at March 31, 2015.</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carrying amount and unpaid principal balance of junior subordinated debentures totaled $8.6 million and $16.5 million, respectively, as of March 31, 2015. This debt represents qualifying Tier 1 capital for the Company, up to a maximum of 25% of total Tier 1 capital. At March 31, 2015, the carrying amounts of the junior subordinated notes, net of the Company’s $496 thousand investment in the affiliated trusts, qualified as Tier 1 capital.</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At March 31, 2015, shareholders’ equity was $112.5 million, an increase of $421 thousand, or 0.4% from June 30, 2014. Book value per outstanding common share was $11.46 at March 31, 2015 and $11.05 at June 30, 2014. Tier 1 capital to total average assets of the Company was 14.96% as of March 31, 2015 and 15.90% at June 30, 2014.</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the risk-based capital requirements, the Federal Reserve requires top-rated bank holding companies to maintain a minimum leverage capital ratio of Tier 1 capital (defined by reference to the risk-based capital guidelines) to its average total consolidated assets of at least 3.0%. For most other bank holding companies (including the Company), the minimum leverage capital ratio was 4.0%. Bank holding companies with supervisory, financial, operational or managerial weaknesses, as well as bank holding companies that are anticipating or experiencing significant growth, were expected to maintain capital ratios well above the minimum levels.</w:t>
      </w:r>
    </w:p>
    <w:p>
      <w:pPr>
        <w:spacing w:after="0" w:line="18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Prior to the effectiveness of the Dodd-Frank Wall Street Reform and Consumer Protection Act (the “Dodd-Frank Act”), the FDIC had adopted a statement of policy regarding the capital adequacy of state-chartered banks and promulgated regulations to implement the system of prompt corrective action established by Section 38 of the Federal Deposit Insurance Act. Under FDIC regulations, a bank was considered “well capitalized” if it had: (i) a total risk-based capital ratio of 10.0% or greater; (ii) a Tier 1 risk-based capital ratio of 6.0% or greater; (iii) a leverage capital ratio of 5.0% or greater; and (iv) was not subject to any written agreement, order, capital directive or prompt corrective action directive to meet and maintain a specific capital level for any capital measure.</w:t>
      </w:r>
    </w:p>
    <w:p>
      <w:pPr>
        <w:sectPr>
          <w:pgSz w:w="11900" w:h="16838" w:orient="portrait"/>
          <w:cols w:equalWidth="0" w:num="1">
            <w:col w:w="11460"/>
          </w:cols>
          <w:pgMar w:left="240" w:top="140" w:right="199" w:bottom="0" w:gutter="0" w:footer="0" w:header="0"/>
        </w:sectPr>
      </w:pP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2010, the Basel Committee on Banking Supervision released new capital requirements, known as Basel III, setting forth higher capital requirements, enhanced risk coverage, a global leverage ratio, provisions for counter-cyclical capital, and liquidity standards. In 2013, the Federal Reserve, along with the other federal banking agencies, issued final rules implementing the Basel III capital standards and establishing the minimum capital requirements for banks and bank holding companies required under the Dodd-Frank Act. These rules, which became effective for the Company on January 1, 2015, establish a minimum common equity Tier 1 capital ratio requirement of 4.5%, a minimum Tier 1 capital ratio requirement of 6%, a minimum total capital requirement of 8.0% and a minimum leverage ratio requirement of 4%. Additionally, subject to a transition schedule, these rules require that an institution establish a capital conservation buffer of common equity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bank holding company, such as the Company, is considered “well capitalized” if the bank holding company (i) has a total risk based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new capital rules implementing Basel III. Under the FDIC’s revised rules, an FDIC supervised institution is considered “well capitalized” if it (i) has a total risk-based capital ratio of 10.0% or greater; (ii) a Tier 1 risk-based capital ratio of 8.0% or greater; (iii) a common Tier 1 equity ratio of at least 6.5% or greater, (iv) a leverage capital ratio of 5.0% or greater; and (iv) is not subject to any written agreement, order, capital directive, or prompt corrective action directive to meet and maintain a specific capital level for any capital measure.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Bank are considered “well capitalized” under all regulatory definitions.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and the Bank’s regulatory capital ratios are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left="495"/>
              <w:spacing w:after="0"/>
              <w:rPr>
                <w:sz w:val="20"/>
                <w:szCs w:val="20"/>
                <w:color w:val="auto"/>
              </w:rPr>
            </w:pPr>
            <w:r>
              <w:rPr>
                <w:rFonts w:ascii="Arial" w:cs="Arial" w:eastAsia="Arial" w:hAnsi="Arial"/>
                <w:sz w:val="14"/>
                <w:szCs w:val="14"/>
                <w:b w:val="1"/>
                <w:bCs w:val="1"/>
                <w:color w:val="auto"/>
              </w:rPr>
              <w:t>Minimum</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center"/>
              <w:ind w:left="435"/>
              <w:spacing w:after="0"/>
              <w:rPr>
                <w:sz w:val="20"/>
                <w:szCs w:val="20"/>
                <w:color w:val="auto"/>
              </w:rPr>
            </w:pPr>
            <w:r>
              <w:rPr>
                <w:rFonts w:ascii="Arial" w:cs="Arial" w:eastAsia="Arial" w:hAnsi="Arial"/>
                <w:sz w:val="14"/>
                <w:szCs w:val="14"/>
                <w:b w:val="1"/>
                <w:bCs w:val="1"/>
                <w:color w:val="auto"/>
              </w:rPr>
              <w:t>Minimum</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left="495"/>
              <w:spacing w:after="0" w:line="149" w:lineRule="exact"/>
              <w:rPr>
                <w:sz w:val="20"/>
                <w:szCs w:val="20"/>
                <w:color w:val="auto"/>
              </w:rPr>
            </w:pPr>
            <w:r>
              <w:rPr>
                <w:rFonts w:ascii="Arial" w:cs="Arial" w:eastAsia="Arial" w:hAnsi="Arial"/>
                <w:sz w:val="14"/>
                <w:szCs w:val="14"/>
                <w:b w:val="1"/>
                <w:bCs w:val="1"/>
                <w:color w:val="auto"/>
                <w:w w:val="92"/>
              </w:rPr>
              <w:t>To Be Well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Capitalized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ind w:left="435"/>
              <w:spacing w:after="0" w:line="149" w:lineRule="exact"/>
              <w:rPr>
                <w:sz w:val="20"/>
                <w:szCs w:val="20"/>
                <w:color w:val="auto"/>
              </w:rPr>
            </w:pPr>
            <w:r>
              <w:rPr>
                <w:rFonts w:ascii="Arial" w:cs="Arial" w:eastAsia="Arial" w:hAnsi="Arial"/>
                <w:sz w:val="14"/>
                <w:szCs w:val="14"/>
                <w:b w:val="1"/>
                <w:bCs w:val="1"/>
                <w:color w:val="auto"/>
                <w:w w:val="98"/>
              </w:rPr>
              <w:t>Capital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Prompt Correction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left="435"/>
              <w:spacing w:after="0"/>
              <w:rPr>
                <w:sz w:val="20"/>
                <w:szCs w:val="20"/>
                <w:color w:val="auto"/>
              </w:rPr>
            </w:pPr>
            <w:r>
              <w:rPr>
                <w:rFonts w:ascii="Arial" w:cs="Arial" w:eastAsia="Arial" w:hAnsi="Arial"/>
                <w:sz w:val="14"/>
                <w:szCs w:val="14"/>
                <w:b w:val="1"/>
                <w:bCs w:val="1"/>
                <w:color w:val="auto"/>
                <w:w w:val="92"/>
              </w:rPr>
              <w:t>Requirements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0"/>
              </w:rPr>
              <w:t>Action Provisions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715"/>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Ratio</w:t>
            </w: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5"/>
              <w:spacing w:after="0" w:line="142"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gridSpan w:val="5"/>
          </w:tcPr>
          <w:p>
            <w:pPr>
              <w:jc w:val="right"/>
              <w:ind w:right="360"/>
              <w:spacing w:after="0" w:line="142" w:lineRule="exact"/>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left="95"/>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52"/>
              <w:spacing w:after="0" w:line="176" w:lineRule="exact"/>
              <w:rPr>
                <w:sz w:val="20"/>
                <w:szCs w:val="20"/>
                <w:color w:val="auto"/>
              </w:rPr>
            </w:pPr>
            <w:r>
              <w:rPr>
                <w:rFonts w:ascii="Arial" w:cs="Arial" w:eastAsia="Arial" w:hAnsi="Arial"/>
                <w:sz w:val="18"/>
                <w:szCs w:val="18"/>
                <w:color w:val="auto"/>
              </w:rPr>
              <w:t>120,612</w:t>
            </w: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w w:val="98"/>
              </w:rPr>
              <w:t>20.90%</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455"/>
              <w:spacing w:after="0" w:line="176" w:lineRule="exact"/>
              <w:rPr>
                <w:sz w:val="20"/>
                <w:szCs w:val="20"/>
                <w:color w:val="auto"/>
              </w:rPr>
            </w:pPr>
            <w:r>
              <w:rPr>
                <w:rFonts w:ascii="Arial" w:cs="Arial" w:eastAsia="Arial" w:hAnsi="Arial"/>
                <w:sz w:val="18"/>
                <w:szCs w:val="18"/>
                <w:color w:val="auto"/>
              </w:rPr>
              <w:t>25,969</w:t>
            </w:r>
          </w:p>
        </w:tc>
        <w:tc>
          <w:tcPr>
            <w:tcW w:w="3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&gt;4.5%</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15"/>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52"/>
              <w:spacing w:after="0"/>
              <w:rPr>
                <w:sz w:val="20"/>
                <w:szCs w:val="20"/>
                <w:color w:val="auto"/>
              </w:rPr>
            </w:pPr>
            <w:r>
              <w:rPr>
                <w:rFonts w:ascii="Arial" w:cs="Arial" w:eastAsia="Arial" w:hAnsi="Arial"/>
                <w:sz w:val="18"/>
                <w:szCs w:val="18"/>
                <w:color w:val="auto"/>
              </w:rPr>
              <w:t>105,270</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w w:val="98"/>
              </w:rPr>
              <w:t>18.23%</w:t>
            </w:r>
          </w:p>
        </w:tc>
        <w:tc>
          <w:tcPr>
            <w:tcW w:w="180" w:type="dxa"/>
            <w:vAlign w:val="bottom"/>
          </w:tcPr>
          <w:p>
            <w:pPr>
              <w:spacing w:after="0"/>
              <w:rPr>
                <w:sz w:val="18"/>
                <w:szCs w:val="18"/>
                <w:color w:val="auto"/>
              </w:rPr>
            </w:pPr>
          </w:p>
        </w:tc>
        <w:tc>
          <w:tcPr>
            <w:tcW w:w="1380" w:type="dxa"/>
            <w:vAlign w:val="bottom"/>
          </w:tcPr>
          <w:p>
            <w:pPr>
              <w:jc w:val="right"/>
              <w:ind w:right="455"/>
              <w:spacing w:after="0"/>
              <w:rPr>
                <w:sz w:val="20"/>
                <w:szCs w:val="20"/>
                <w:color w:val="auto"/>
              </w:rPr>
            </w:pPr>
            <w:r>
              <w:rPr>
                <w:rFonts w:ascii="Arial" w:cs="Arial" w:eastAsia="Arial" w:hAnsi="Arial"/>
                <w:sz w:val="18"/>
                <w:szCs w:val="18"/>
                <w:color w:val="auto"/>
              </w:rPr>
              <w:t>25,985</w:t>
            </w:r>
          </w:p>
        </w:tc>
        <w:tc>
          <w:tcPr>
            <w:tcW w:w="36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auto"/>
              </w:rPr>
              <w:t>&gt;4.5%</w:t>
            </w:r>
          </w:p>
        </w:tc>
        <w:tc>
          <w:tcPr>
            <w:tcW w:w="160" w:type="dxa"/>
            <w:vAlign w:val="bottom"/>
          </w:tcPr>
          <w:p>
            <w:pPr>
              <w:spacing w:after="0"/>
              <w:rPr>
                <w:sz w:val="18"/>
                <w:szCs w:val="18"/>
                <w:color w:val="auto"/>
              </w:rPr>
            </w:pPr>
          </w:p>
        </w:tc>
        <w:tc>
          <w:tcPr>
            <w:tcW w:w="1360" w:type="dxa"/>
            <w:vAlign w:val="bottom"/>
          </w:tcPr>
          <w:p>
            <w:pPr>
              <w:jc w:val="right"/>
              <w:ind w:right="415"/>
              <w:spacing w:after="0"/>
              <w:rPr>
                <w:sz w:val="20"/>
                <w:szCs w:val="20"/>
                <w:color w:val="auto"/>
              </w:rPr>
            </w:pPr>
            <w:r>
              <w:rPr>
                <w:rFonts w:ascii="Arial" w:cs="Arial" w:eastAsia="Arial" w:hAnsi="Arial"/>
                <w:sz w:val="18"/>
                <w:szCs w:val="18"/>
                <w:color w:val="auto"/>
              </w:rPr>
              <w:t>37,535</w:t>
            </w: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&gt;6.5%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4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52"/>
              <w:spacing w:after="0" w:line="176" w:lineRule="exact"/>
              <w:rPr>
                <w:sz w:val="20"/>
                <w:szCs w:val="20"/>
                <w:color w:val="auto"/>
              </w:rPr>
            </w:pPr>
            <w:r>
              <w:rPr>
                <w:rFonts w:ascii="Arial" w:cs="Arial" w:eastAsia="Arial" w:hAnsi="Arial"/>
                <w:sz w:val="18"/>
                <w:szCs w:val="18"/>
                <w:color w:val="auto"/>
              </w:rPr>
              <w:t>122,383</w:t>
            </w:r>
          </w:p>
        </w:tc>
        <w:tc>
          <w:tcPr>
            <w:tcW w:w="1200" w:type="dxa"/>
            <w:vAlign w:val="bottom"/>
            <w:gridSpan w:val="3"/>
            <w:shd w:val="clear" w:color="auto" w:fill="CCEEFF"/>
          </w:tcPr>
          <w:p>
            <w:pPr>
              <w:ind w:left="400"/>
              <w:spacing w:after="0" w:line="176" w:lineRule="exact"/>
              <w:rPr>
                <w:sz w:val="20"/>
                <w:szCs w:val="20"/>
                <w:color w:val="auto"/>
              </w:rPr>
            </w:pPr>
            <w:r>
              <w:rPr>
                <w:rFonts w:ascii="Arial" w:cs="Arial" w:eastAsia="Arial" w:hAnsi="Arial"/>
                <w:sz w:val="18"/>
                <w:szCs w:val="18"/>
                <w:color w:val="auto"/>
              </w:rPr>
              <w:t>21.21% $</w:t>
            </w:r>
          </w:p>
        </w:tc>
        <w:tc>
          <w:tcPr>
            <w:tcW w:w="1380" w:type="dxa"/>
            <w:vAlign w:val="bottom"/>
            <w:shd w:val="clear" w:color="auto" w:fill="CCEEFF"/>
          </w:tcPr>
          <w:p>
            <w:pPr>
              <w:jc w:val="right"/>
              <w:ind w:right="455"/>
              <w:spacing w:after="0" w:line="176" w:lineRule="exact"/>
              <w:rPr>
                <w:sz w:val="20"/>
                <w:szCs w:val="20"/>
                <w:color w:val="auto"/>
              </w:rPr>
            </w:pPr>
            <w:r>
              <w:rPr>
                <w:rFonts w:ascii="Arial" w:cs="Arial" w:eastAsia="Arial" w:hAnsi="Arial"/>
                <w:sz w:val="18"/>
                <w:szCs w:val="18"/>
                <w:color w:val="auto"/>
              </w:rPr>
              <w:t>46,160</w:t>
            </w:r>
          </w:p>
        </w:tc>
        <w:tc>
          <w:tcPr>
            <w:tcW w:w="360" w:type="dxa"/>
            <w:vAlign w:val="bottom"/>
            <w:shd w:val="clear" w:color="auto" w:fill="CCEEFF"/>
          </w:tcPr>
          <w:p>
            <w:pPr>
              <w:spacing w:after="0"/>
              <w:rPr>
                <w:sz w:val="15"/>
                <w:szCs w:val="15"/>
                <w:color w:val="auto"/>
              </w:rPr>
            </w:pPr>
          </w:p>
        </w:tc>
        <w:tc>
          <w:tcPr>
            <w:tcW w:w="7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&gt;8.0% $</w:t>
            </w:r>
          </w:p>
        </w:tc>
        <w:tc>
          <w:tcPr>
            <w:tcW w:w="1360" w:type="dxa"/>
            <w:vAlign w:val="bottom"/>
            <w:shd w:val="clear" w:color="auto" w:fill="CCEEFF"/>
          </w:tcPr>
          <w:p>
            <w:pPr>
              <w:jc w:val="right"/>
              <w:ind w:right="415"/>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352"/>
              <w:spacing w:after="0" w:line="176" w:lineRule="exact"/>
              <w:rPr>
                <w:sz w:val="20"/>
                <w:szCs w:val="20"/>
                <w:color w:val="auto"/>
              </w:rPr>
            </w:pPr>
            <w:r>
              <w:rPr>
                <w:rFonts w:ascii="Arial" w:cs="Arial" w:eastAsia="Arial" w:hAnsi="Arial"/>
                <w:sz w:val="18"/>
                <w:szCs w:val="18"/>
                <w:color w:val="auto"/>
              </w:rPr>
              <w:t>109,071</w:t>
            </w: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w w:val="98"/>
              </w:rPr>
              <w:t>18.89%</w:t>
            </w:r>
          </w:p>
        </w:tc>
        <w:tc>
          <w:tcPr>
            <w:tcW w:w="180" w:type="dxa"/>
            <w:vAlign w:val="bottom"/>
          </w:tcPr>
          <w:p>
            <w:pPr>
              <w:spacing w:after="0"/>
              <w:rPr>
                <w:sz w:val="15"/>
                <w:szCs w:val="15"/>
                <w:color w:val="auto"/>
              </w:rPr>
            </w:pPr>
          </w:p>
        </w:tc>
        <w:tc>
          <w:tcPr>
            <w:tcW w:w="1380" w:type="dxa"/>
            <w:vAlign w:val="bottom"/>
          </w:tcPr>
          <w:p>
            <w:pPr>
              <w:jc w:val="right"/>
              <w:ind w:right="455"/>
              <w:spacing w:after="0" w:line="176" w:lineRule="exact"/>
              <w:rPr>
                <w:sz w:val="20"/>
                <w:szCs w:val="20"/>
                <w:color w:val="auto"/>
              </w:rPr>
            </w:pPr>
            <w:r>
              <w:rPr>
                <w:rFonts w:ascii="Arial" w:cs="Arial" w:eastAsia="Arial" w:hAnsi="Arial"/>
                <w:sz w:val="18"/>
                <w:szCs w:val="18"/>
                <w:color w:val="auto"/>
              </w:rPr>
              <w:t>46,192</w:t>
            </w:r>
          </w:p>
        </w:tc>
        <w:tc>
          <w:tcPr>
            <w:tcW w:w="360" w:type="dxa"/>
            <w:vAlign w:val="bottom"/>
          </w:tcPr>
          <w:p>
            <w:pPr>
              <w:spacing w:after="0"/>
              <w:rPr>
                <w:sz w:val="15"/>
                <w:szCs w:val="15"/>
                <w:color w:val="auto"/>
              </w:rPr>
            </w:pPr>
          </w:p>
        </w:tc>
        <w:tc>
          <w:tcPr>
            <w:tcW w:w="560" w:type="dxa"/>
            <w:vAlign w:val="bottom"/>
            <w:gridSpan w:val="3"/>
          </w:tcPr>
          <w:p>
            <w:pPr>
              <w:spacing w:after="0" w:line="176" w:lineRule="exact"/>
              <w:rPr>
                <w:sz w:val="20"/>
                <w:szCs w:val="20"/>
                <w:color w:val="auto"/>
              </w:rPr>
            </w:pPr>
            <w:r>
              <w:rPr>
                <w:rFonts w:ascii="Arial" w:cs="Arial" w:eastAsia="Arial" w:hAnsi="Arial"/>
                <w:sz w:val="18"/>
                <w:szCs w:val="18"/>
                <w:color w:val="auto"/>
              </w:rPr>
              <w:t>&gt;8.0%</w:t>
            </w:r>
          </w:p>
        </w:tc>
        <w:tc>
          <w:tcPr>
            <w:tcW w:w="160" w:type="dxa"/>
            <w:vAlign w:val="bottom"/>
          </w:tcPr>
          <w:p>
            <w:pPr>
              <w:spacing w:after="0"/>
              <w:rPr>
                <w:sz w:val="15"/>
                <w:szCs w:val="15"/>
                <w:color w:val="auto"/>
              </w:rPr>
            </w:pPr>
          </w:p>
        </w:tc>
        <w:tc>
          <w:tcPr>
            <w:tcW w:w="1360" w:type="dxa"/>
            <w:vAlign w:val="bottom"/>
          </w:tcPr>
          <w:p>
            <w:pPr>
              <w:jc w:val="right"/>
              <w:ind w:right="415"/>
              <w:spacing w:after="0" w:line="176" w:lineRule="exact"/>
              <w:rPr>
                <w:sz w:val="20"/>
                <w:szCs w:val="20"/>
                <w:color w:val="auto"/>
              </w:rPr>
            </w:pPr>
            <w:r>
              <w:rPr>
                <w:rFonts w:ascii="Arial" w:cs="Arial" w:eastAsia="Arial" w:hAnsi="Arial"/>
                <w:sz w:val="18"/>
                <w:szCs w:val="18"/>
                <w:color w:val="auto"/>
              </w:rPr>
              <w:t>57,740</w:t>
            </w:r>
          </w:p>
        </w:tc>
        <w:tc>
          <w:tcPr>
            <w:tcW w:w="940" w:type="dxa"/>
            <w:vAlign w:val="bottom"/>
            <w:gridSpan w:val="6"/>
          </w:tcPr>
          <w:p>
            <w:pPr>
              <w:jc w:val="right"/>
              <w:ind w:right="4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8"/>
              </w:rPr>
              <w:t>Tier 1 capital to risk weighted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52"/>
              <w:spacing w:after="0" w:line="176" w:lineRule="exact"/>
              <w:rPr>
                <w:sz w:val="20"/>
                <w:szCs w:val="20"/>
                <w:color w:val="auto"/>
              </w:rPr>
            </w:pPr>
            <w:r>
              <w:rPr>
                <w:rFonts w:ascii="Arial" w:cs="Arial" w:eastAsia="Arial" w:hAnsi="Arial"/>
                <w:sz w:val="18"/>
                <w:szCs w:val="18"/>
                <w:color w:val="auto"/>
              </w:rPr>
              <w:t>120,612</w:t>
            </w: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w w:val="98"/>
              </w:rPr>
              <w:t>20.90%</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455"/>
              <w:spacing w:after="0" w:line="176" w:lineRule="exact"/>
              <w:rPr>
                <w:sz w:val="20"/>
                <w:szCs w:val="20"/>
                <w:color w:val="auto"/>
              </w:rPr>
            </w:pPr>
            <w:r>
              <w:rPr>
                <w:rFonts w:ascii="Arial" w:cs="Arial" w:eastAsia="Arial" w:hAnsi="Arial"/>
                <w:sz w:val="18"/>
                <w:szCs w:val="18"/>
                <w:color w:val="auto"/>
              </w:rPr>
              <w:t>23,084</w:t>
            </w:r>
          </w:p>
        </w:tc>
        <w:tc>
          <w:tcPr>
            <w:tcW w:w="3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15"/>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52"/>
              <w:spacing w:after="0"/>
              <w:rPr>
                <w:sz w:val="20"/>
                <w:szCs w:val="20"/>
                <w:color w:val="auto"/>
              </w:rPr>
            </w:pPr>
            <w:r>
              <w:rPr>
                <w:rFonts w:ascii="Arial" w:cs="Arial" w:eastAsia="Arial" w:hAnsi="Arial"/>
                <w:sz w:val="18"/>
                <w:szCs w:val="18"/>
                <w:color w:val="auto"/>
              </w:rPr>
              <w:t>105,270</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w w:val="98"/>
              </w:rPr>
              <w:t>18.23%</w:t>
            </w:r>
          </w:p>
        </w:tc>
        <w:tc>
          <w:tcPr>
            <w:tcW w:w="180" w:type="dxa"/>
            <w:vAlign w:val="bottom"/>
          </w:tcPr>
          <w:p>
            <w:pPr>
              <w:spacing w:after="0"/>
              <w:rPr>
                <w:sz w:val="18"/>
                <w:szCs w:val="18"/>
                <w:color w:val="auto"/>
              </w:rPr>
            </w:pPr>
          </w:p>
        </w:tc>
        <w:tc>
          <w:tcPr>
            <w:tcW w:w="1380" w:type="dxa"/>
            <w:vAlign w:val="bottom"/>
          </w:tcPr>
          <w:p>
            <w:pPr>
              <w:jc w:val="right"/>
              <w:ind w:right="455"/>
              <w:spacing w:after="0"/>
              <w:rPr>
                <w:sz w:val="20"/>
                <w:szCs w:val="20"/>
                <w:color w:val="auto"/>
              </w:rPr>
            </w:pPr>
            <w:r>
              <w:rPr>
                <w:rFonts w:ascii="Arial" w:cs="Arial" w:eastAsia="Arial" w:hAnsi="Arial"/>
                <w:sz w:val="18"/>
                <w:szCs w:val="18"/>
                <w:color w:val="auto"/>
              </w:rPr>
              <w:t>23,098</w:t>
            </w:r>
          </w:p>
        </w:tc>
        <w:tc>
          <w:tcPr>
            <w:tcW w:w="36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auto"/>
              </w:rPr>
              <w:t>&gt;4.0%</w:t>
            </w:r>
          </w:p>
        </w:tc>
        <w:tc>
          <w:tcPr>
            <w:tcW w:w="160" w:type="dxa"/>
            <w:vAlign w:val="bottom"/>
          </w:tcPr>
          <w:p>
            <w:pPr>
              <w:spacing w:after="0"/>
              <w:rPr>
                <w:sz w:val="18"/>
                <w:szCs w:val="18"/>
                <w:color w:val="auto"/>
              </w:rPr>
            </w:pPr>
          </w:p>
        </w:tc>
        <w:tc>
          <w:tcPr>
            <w:tcW w:w="1360" w:type="dxa"/>
            <w:vAlign w:val="bottom"/>
          </w:tcPr>
          <w:p>
            <w:pPr>
              <w:jc w:val="right"/>
              <w:ind w:right="415"/>
              <w:spacing w:after="0"/>
              <w:rPr>
                <w:sz w:val="20"/>
                <w:szCs w:val="20"/>
                <w:color w:val="auto"/>
              </w:rPr>
            </w:pPr>
            <w:r>
              <w:rPr>
                <w:rFonts w:ascii="Arial" w:cs="Arial" w:eastAsia="Arial" w:hAnsi="Arial"/>
                <w:sz w:val="18"/>
                <w:szCs w:val="18"/>
                <w:color w:val="auto"/>
              </w:rPr>
              <w:t>34,647</w:t>
            </w: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52"/>
              <w:spacing w:after="0" w:line="176" w:lineRule="exact"/>
              <w:rPr>
                <w:sz w:val="20"/>
                <w:szCs w:val="20"/>
                <w:color w:val="auto"/>
              </w:rPr>
            </w:pPr>
            <w:r>
              <w:rPr>
                <w:rFonts w:ascii="Arial" w:cs="Arial" w:eastAsia="Arial" w:hAnsi="Arial"/>
                <w:sz w:val="18"/>
                <w:szCs w:val="18"/>
                <w:color w:val="auto"/>
              </w:rPr>
              <w:t>120,612</w:t>
            </w: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w w:val="98"/>
              </w:rPr>
              <w:t>14.96%</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455"/>
              <w:spacing w:after="0" w:line="176" w:lineRule="exact"/>
              <w:rPr>
                <w:sz w:val="20"/>
                <w:szCs w:val="20"/>
                <w:color w:val="auto"/>
              </w:rPr>
            </w:pPr>
            <w:r>
              <w:rPr>
                <w:rFonts w:ascii="Arial" w:cs="Arial" w:eastAsia="Arial" w:hAnsi="Arial"/>
                <w:sz w:val="18"/>
                <w:szCs w:val="18"/>
                <w:color w:val="auto"/>
              </w:rPr>
              <w:t>32,249</w:t>
            </w:r>
          </w:p>
        </w:tc>
        <w:tc>
          <w:tcPr>
            <w:tcW w:w="3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15"/>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352"/>
              <w:spacing w:after="0" w:line="176" w:lineRule="exact"/>
              <w:rPr>
                <w:sz w:val="20"/>
                <w:szCs w:val="20"/>
                <w:color w:val="auto"/>
              </w:rPr>
            </w:pPr>
            <w:r>
              <w:rPr>
                <w:rFonts w:ascii="Arial" w:cs="Arial" w:eastAsia="Arial" w:hAnsi="Arial"/>
                <w:sz w:val="18"/>
                <w:szCs w:val="18"/>
                <w:color w:val="auto"/>
              </w:rPr>
              <w:t>105,270</w:t>
            </w: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w w:val="98"/>
              </w:rPr>
              <w:t>13.08%</w:t>
            </w:r>
          </w:p>
        </w:tc>
        <w:tc>
          <w:tcPr>
            <w:tcW w:w="180" w:type="dxa"/>
            <w:vAlign w:val="bottom"/>
          </w:tcPr>
          <w:p>
            <w:pPr>
              <w:spacing w:after="0"/>
              <w:rPr>
                <w:sz w:val="15"/>
                <w:szCs w:val="15"/>
                <w:color w:val="auto"/>
              </w:rPr>
            </w:pPr>
          </w:p>
        </w:tc>
        <w:tc>
          <w:tcPr>
            <w:tcW w:w="1380" w:type="dxa"/>
            <w:vAlign w:val="bottom"/>
          </w:tcPr>
          <w:p>
            <w:pPr>
              <w:jc w:val="right"/>
              <w:ind w:right="455"/>
              <w:spacing w:after="0" w:line="176" w:lineRule="exact"/>
              <w:rPr>
                <w:sz w:val="20"/>
                <w:szCs w:val="20"/>
                <w:color w:val="auto"/>
              </w:rPr>
            </w:pPr>
            <w:r>
              <w:rPr>
                <w:rFonts w:ascii="Arial" w:cs="Arial" w:eastAsia="Arial" w:hAnsi="Arial"/>
                <w:sz w:val="18"/>
                <w:szCs w:val="18"/>
                <w:color w:val="auto"/>
              </w:rPr>
              <w:t>32,193</w:t>
            </w:r>
          </w:p>
        </w:tc>
        <w:tc>
          <w:tcPr>
            <w:tcW w:w="360" w:type="dxa"/>
            <w:vAlign w:val="bottom"/>
          </w:tcPr>
          <w:p>
            <w:pPr>
              <w:spacing w:after="0"/>
              <w:rPr>
                <w:sz w:val="15"/>
                <w:szCs w:val="15"/>
                <w:color w:val="auto"/>
              </w:rPr>
            </w:pPr>
          </w:p>
        </w:tc>
        <w:tc>
          <w:tcPr>
            <w:tcW w:w="56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160" w:type="dxa"/>
            <w:vAlign w:val="bottom"/>
          </w:tcPr>
          <w:p>
            <w:pPr>
              <w:spacing w:after="0"/>
              <w:rPr>
                <w:sz w:val="15"/>
                <w:szCs w:val="15"/>
                <w:color w:val="auto"/>
              </w:rPr>
            </w:pPr>
          </w:p>
        </w:tc>
        <w:tc>
          <w:tcPr>
            <w:tcW w:w="1360" w:type="dxa"/>
            <w:vAlign w:val="bottom"/>
          </w:tcPr>
          <w:p>
            <w:pPr>
              <w:jc w:val="right"/>
              <w:ind w:right="415"/>
              <w:spacing w:after="0" w:line="176" w:lineRule="exact"/>
              <w:rPr>
                <w:sz w:val="20"/>
                <w:szCs w:val="20"/>
                <w:color w:val="auto"/>
              </w:rPr>
            </w:pPr>
            <w:r>
              <w:rPr>
                <w:rFonts w:ascii="Arial" w:cs="Arial" w:eastAsia="Arial" w:hAnsi="Arial"/>
                <w:sz w:val="18"/>
                <w:szCs w:val="18"/>
                <w:color w:val="auto"/>
              </w:rPr>
              <w:t>40,241</w:t>
            </w:r>
          </w:p>
        </w:tc>
        <w:tc>
          <w:tcPr>
            <w:tcW w:w="940" w:type="dxa"/>
            <w:vAlign w:val="bottom"/>
            <w:gridSpan w:val="6"/>
          </w:tcPr>
          <w:p>
            <w:pPr>
              <w:jc w:val="right"/>
              <w:ind w:right="4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June 30, 2014: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4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52"/>
              <w:spacing w:after="0" w:line="176" w:lineRule="exact"/>
              <w:rPr>
                <w:sz w:val="20"/>
                <w:szCs w:val="20"/>
                <w:color w:val="auto"/>
              </w:rPr>
            </w:pPr>
            <w:r>
              <w:rPr>
                <w:rFonts w:ascii="Arial" w:cs="Arial" w:eastAsia="Arial" w:hAnsi="Arial"/>
                <w:sz w:val="18"/>
                <w:szCs w:val="18"/>
                <w:color w:val="auto"/>
              </w:rPr>
              <w:t>120,818</w:t>
            </w:r>
          </w:p>
        </w:tc>
        <w:tc>
          <w:tcPr>
            <w:tcW w:w="1200" w:type="dxa"/>
            <w:vAlign w:val="bottom"/>
            <w:gridSpan w:val="3"/>
          </w:tcPr>
          <w:p>
            <w:pPr>
              <w:ind w:left="400"/>
              <w:spacing w:after="0" w:line="176" w:lineRule="exact"/>
              <w:rPr>
                <w:sz w:val="20"/>
                <w:szCs w:val="20"/>
                <w:color w:val="auto"/>
              </w:rPr>
            </w:pPr>
            <w:r>
              <w:rPr>
                <w:rFonts w:ascii="Arial" w:cs="Arial" w:eastAsia="Arial" w:hAnsi="Arial"/>
                <w:sz w:val="18"/>
                <w:szCs w:val="18"/>
                <w:color w:val="auto"/>
              </w:rPr>
              <w:t>23.71% $</w:t>
            </w:r>
          </w:p>
        </w:tc>
        <w:tc>
          <w:tcPr>
            <w:tcW w:w="1380" w:type="dxa"/>
            <w:vAlign w:val="bottom"/>
          </w:tcPr>
          <w:p>
            <w:pPr>
              <w:jc w:val="right"/>
              <w:ind w:right="455"/>
              <w:spacing w:after="0" w:line="176" w:lineRule="exact"/>
              <w:rPr>
                <w:sz w:val="20"/>
                <w:szCs w:val="20"/>
                <w:color w:val="auto"/>
              </w:rPr>
            </w:pPr>
            <w:r>
              <w:rPr>
                <w:rFonts w:ascii="Arial" w:cs="Arial" w:eastAsia="Arial" w:hAnsi="Arial"/>
                <w:sz w:val="18"/>
                <w:szCs w:val="18"/>
                <w:color w:val="auto"/>
              </w:rPr>
              <w:t>40,766</w:t>
            </w:r>
          </w:p>
        </w:tc>
        <w:tc>
          <w:tcPr>
            <w:tcW w:w="360" w:type="dxa"/>
            <w:vAlign w:val="bottom"/>
          </w:tcPr>
          <w:p>
            <w:pPr>
              <w:spacing w:after="0"/>
              <w:rPr>
                <w:sz w:val="15"/>
                <w:szCs w:val="15"/>
                <w:color w:val="auto"/>
              </w:rPr>
            </w:pPr>
          </w:p>
        </w:tc>
        <w:tc>
          <w:tcPr>
            <w:tcW w:w="720" w:type="dxa"/>
            <w:vAlign w:val="bottom"/>
            <w:gridSpan w:val="4"/>
          </w:tcPr>
          <w:p>
            <w:pPr>
              <w:spacing w:after="0" w:line="176" w:lineRule="exact"/>
              <w:rPr>
                <w:sz w:val="20"/>
                <w:szCs w:val="20"/>
                <w:color w:val="auto"/>
              </w:rPr>
            </w:pPr>
            <w:r>
              <w:rPr>
                <w:rFonts w:ascii="Arial" w:cs="Arial" w:eastAsia="Arial" w:hAnsi="Arial"/>
                <w:sz w:val="18"/>
                <w:szCs w:val="18"/>
                <w:color w:val="auto"/>
              </w:rPr>
              <w:t>&gt;8.0% $</w:t>
            </w:r>
          </w:p>
        </w:tc>
        <w:tc>
          <w:tcPr>
            <w:tcW w:w="1360" w:type="dxa"/>
            <w:vAlign w:val="bottom"/>
          </w:tcPr>
          <w:p>
            <w:pPr>
              <w:jc w:val="right"/>
              <w:ind w:right="415"/>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tcPr>
          <w:p>
            <w:pPr>
              <w:jc w:val="right"/>
              <w:ind w:right="180"/>
              <w:spacing w:after="0" w:line="17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52"/>
              <w:spacing w:after="0" w:line="176" w:lineRule="exact"/>
              <w:rPr>
                <w:sz w:val="20"/>
                <w:szCs w:val="20"/>
                <w:color w:val="auto"/>
              </w:rPr>
            </w:pPr>
            <w:r>
              <w:rPr>
                <w:rFonts w:ascii="Arial" w:cs="Arial" w:eastAsia="Arial" w:hAnsi="Arial"/>
                <w:sz w:val="18"/>
                <w:szCs w:val="18"/>
                <w:color w:val="auto"/>
              </w:rPr>
              <w:t>103,160</w:t>
            </w: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w w:val="98"/>
              </w:rPr>
              <w:t>20.12%</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55"/>
              <w:spacing w:after="0" w:line="176" w:lineRule="exact"/>
              <w:rPr>
                <w:sz w:val="20"/>
                <w:szCs w:val="20"/>
                <w:color w:val="auto"/>
              </w:rPr>
            </w:pPr>
            <w:r>
              <w:rPr>
                <w:rFonts w:ascii="Arial" w:cs="Arial" w:eastAsia="Arial" w:hAnsi="Arial"/>
                <w:sz w:val="18"/>
                <w:szCs w:val="18"/>
                <w:color w:val="auto"/>
              </w:rPr>
              <w:t>41,027</w:t>
            </w:r>
          </w:p>
        </w:tc>
        <w:tc>
          <w:tcPr>
            <w:tcW w:w="3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&gt;8.0%</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15"/>
              <w:spacing w:after="0" w:line="176" w:lineRule="exact"/>
              <w:rPr>
                <w:sz w:val="20"/>
                <w:szCs w:val="20"/>
                <w:color w:val="auto"/>
              </w:rPr>
            </w:pPr>
            <w:r>
              <w:rPr>
                <w:rFonts w:ascii="Arial" w:cs="Arial" w:eastAsia="Arial" w:hAnsi="Arial"/>
                <w:sz w:val="18"/>
                <w:szCs w:val="18"/>
                <w:color w:val="auto"/>
              </w:rPr>
              <w:t>51,284</w:t>
            </w:r>
          </w:p>
        </w:tc>
        <w:tc>
          <w:tcPr>
            <w:tcW w:w="940" w:type="dxa"/>
            <w:vAlign w:val="bottom"/>
            <w:gridSpan w:val="6"/>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8"/>
              </w:rPr>
              <w:t>Tier 1 capital to risk 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352"/>
              <w:spacing w:after="0" w:line="176" w:lineRule="exact"/>
              <w:rPr>
                <w:sz w:val="20"/>
                <w:szCs w:val="20"/>
                <w:color w:val="auto"/>
              </w:rPr>
            </w:pPr>
            <w:r>
              <w:rPr>
                <w:rFonts w:ascii="Arial" w:cs="Arial" w:eastAsia="Arial" w:hAnsi="Arial"/>
                <w:sz w:val="18"/>
                <w:szCs w:val="18"/>
                <w:color w:val="auto"/>
              </w:rPr>
              <w:t>119,421</w:t>
            </w: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w w:val="98"/>
              </w:rPr>
              <w:t>23.44%</w:t>
            </w:r>
          </w:p>
        </w:tc>
        <w:tc>
          <w:tcPr>
            <w:tcW w:w="180" w:type="dxa"/>
            <w:vAlign w:val="bottom"/>
          </w:tcPr>
          <w:p>
            <w:pPr>
              <w:spacing w:after="0"/>
              <w:rPr>
                <w:sz w:val="15"/>
                <w:szCs w:val="15"/>
                <w:color w:val="auto"/>
              </w:rPr>
            </w:pPr>
          </w:p>
        </w:tc>
        <w:tc>
          <w:tcPr>
            <w:tcW w:w="1380" w:type="dxa"/>
            <w:vAlign w:val="bottom"/>
          </w:tcPr>
          <w:p>
            <w:pPr>
              <w:jc w:val="right"/>
              <w:ind w:right="455"/>
              <w:spacing w:after="0" w:line="176" w:lineRule="exact"/>
              <w:rPr>
                <w:sz w:val="20"/>
                <w:szCs w:val="20"/>
                <w:color w:val="auto"/>
              </w:rPr>
            </w:pPr>
            <w:r>
              <w:rPr>
                <w:rFonts w:ascii="Arial" w:cs="Arial" w:eastAsia="Arial" w:hAnsi="Arial"/>
                <w:sz w:val="18"/>
                <w:szCs w:val="18"/>
                <w:color w:val="auto"/>
              </w:rPr>
              <w:t>20,383</w:t>
            </w:r>
          </w:p>
        </w:tc>
        <w:tc>
          <w:tcPr>
            <w:tcW w:w="360" w:type="dxa"/>
            <w:vAlign w:val="bottom"/>
          </w:tcPr>
          <w:p>
            <w:pPr>
              <w:spacing w:after="0"/>
              <w:rPr>
                <w:sz w:val="15"/>
                <w:szCs w:val="15"/>
                <w:color w:val="auto"/>
              </w:rPr>
            </w:pPr>
          </w:p>
        </w:tc>
        <w:tc>
          <w:tcPr>
            <w:tcW w:w="56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160" w:type="dxa"/>
            <w:vAlign w:val="bottom"/>
          </w:tcPr>
          <w:p>
            <w:pPr>
              <w:spacing w:after="0"/>
              <w:rPr>
                <w:sz w:val="15"/>
                <w:szCs w:val="15"/>
                <w:color w:val="auto"/>
              </w:rPr>
            </w:pPr>
          </w:p>
        </w:tc>
        <w:tc>
          <w:tcPr>
            <w:tcW w:w="1360" w:type="dxa"/>
            <w:vAlign w:val="bottom"/>
          </w:tcPr>
          <w:p>
            <w:pPr>
              <w:jc w:val="right"/>
              <w:ind w:right="415"/>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tcPr>
          <w:p>
            <w:pPr>
              <w:jc w:val="right"/>
              <w:ind w:right="180"/>
              <w:spacing w:after="0" w:line="17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52"/>
              <w:spacing w:after="0" w:line="176" w:lineRule="exact"/>
              <w:rPr>
                <w:sz w:val="20"/>
                <w:szCs w:val="20"/>
                <w:color w:val="auto"/>
              </w:rPr>
            </w:pPr>
            <w:r>
              <w:rPr>
                <w:rFonts w:ascii="Arial" w:cs="Arial" w:eastAsia="Arial" w:hAnsi="Arial"/>
                <w:sz w:val="18"/>
                <w:szCs w:val="18"/>
                <w:color w:val="auto"/>
              </w:rPr>
              <w:t>99,256</w:t>
            </w: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w w:val="98"/>
              </w:rPr>
              <w:t>19.35%</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55"/>
              <w:spacing w:after="0" w:line="176" w:lineRule="exact"/>
              <w:rPr>
                <w:sz w:val="20"/>
                <w:szCs w:val="20"/>
                <w:color w:val="auto"/>
              </w:rPr>
            </w:pPr>
            <w:r>
              <w:rPr>
                <w:rFonts w:ascii="Arial" w:cs="Arial" w:eastAsia="Arial" w:hAnsi="Arial"/>
                <w:sz w:val="18"/>
                <w:szCs w:val="18"/>
                <w:color w:val="auto"/>
              </w:rPr>
              <w:t>20,514</w:t>
            </w:r>
          </w:p>
        </w:tc>
        <w:tc>
          <w:tcPr>
            <w:tcW w:w="3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15"/>
              <w:spacing w:after="0" w:line="176" w:lineRule="exact"/>
              <w:rPr>
                <w:sz w:val="20"/>
                <w:szCs w:val="20"/>
                <w:color w:val="auto"/>
              </w:rPr>
            </w:pPr>
            <w:r>
              <w:rPr>
                <w:rFonts w:ascii="Arial" w:cs="Arial" w:eastAsia="Arial" w:hAnsi="Arial"/>
                <w:sz w:val="18"/>
                <w:szCs w:val="18"/>
                <w:color w:val="auto"/>
              </w:rPr>
              <w:t>30,771</w:t>
            </w:r>
          </w:p>
        </w:tc>
        <w:tc>
          <w:tcPr>
            <w:tcW w:w="940" w:type="dxa"/>
            <w:vAlign w:val="bottom"/>
            <w:gridSpan w:val="6"/>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352"/>
              <w:spacing w:after="0" w:line="176" w:lineRule="exact"/>
              <w:rPr>
                <w:sz w:val="20"/>
                <w:szCs w:val="20"/>
                <w:color w:val="auto"/>
              </w:rPr>
            </w:pPr>
            <w:r>
              <w:rPr>
                <w:rFonts w:ascii="Arial" w:cs="Arial" w:eastAsia="Arial" w:hAnsi="Arial"/>
                <w:sz w:val="18"/>
                <w:szCs w:val="18"/>
                <w:color w:val="auto"/>
              </w:rPr>
              <w:t>119,421</w:t>
            </w:r>
          </w:p>
        </w:tc>
        <w:tc>
          <w:tcPr>
            <w:tcW w:w="1020" w:type="dxa"/>
            <w:vAlign w:val="bottom"/>
            <w:gridSpan w:val="2"/>
          </w:tcPr>
          <w:p>
            <w:pPr>
              <w:ind w:left="400"/>
              <w:spacing w:after="0" w:line="176" w:lineRule="exact"/>
              <w:rPr>
                <w:sz w:val="20"/>
                <w:szCs w:val="20"/>
                <w:color w:val="auto"/>
              </w:rPr>
            </w:pPr>
            <w:r>
              <w:rPr>
                <w:rFonts w:ascii="Arial" w:cs="Arial" w:eastAsia="Arial" w:hAnsi="Arial"/>
                <w:sz w:val="18"/>
                <w:szCs w:val="18"/>
                <w:color w:val="auto"/>
                <w:w w:val="98"/>
              </w:rPr>
              <w:t>15.90%</w:t>
            </w:r>
          </w:p>
        </w:tc>
        <w:tc>
          <w:tcPr>
            <w:tcW w:w="180" w:type="dxa"/>
            <w:vAlign w:val="bottom"/>
          </w:tcPr>
          <w:p>
            <w:pPr>
              <w:spacing w:after="0"/>
              <w:rPr>
                <w:sz w:val="15"/>
                <w:szCs w:val="15"/>
                <w:color w:val="auto"/>
              </w:rPr>
            </w:pPr>
          </w:p>
        </w:tc>
        <w:tc>
          <w:tcPr>
            <w:tcW w:w="1380" w:type="dxa"/>
            <w:vAlign w:val="bottom"/>
          </w:tcPr>
          <w:p>
            <w:pPr>
              <w:jc w:val="right"/>
              <w:ind w:right="455"/>
              <w:spacing w:after="0" w:line="176" w:lineRule="exact"/>
              <w:rPr>
                <w:sz w:val="20"/>
                <w:szCs w:val="20"/>
                <w:color w:val="auto"/>
              </w:rPr>
            </w:pPr>
            <w:r>
              <w:rPr>
                <w:rFonts w:ascii="Arial" w:cs="Arial" w:eastAsia="Arial" w:hAnsi="Arial"/>
                <w:sz w:val="18"/>
                <w:szCs w:val="18"/>
                <w:color w:val="auto"/>
              </w:rPr>
              <w:t>30,049</w:t>
            </w:r>
          </w:p>
        </w:tc>
        <w:tc>
          <w:tcPr>
            <w:tcW w:w="360" w:type="dxa"/>
            <w:vAlign w:val="bottom"/>
          </w:tcPr>
          <w:p>
            <w:pPr>
              <w:spacing w:after="0"/>
              <w:rPr>
                <w:sz w:val="15"/>
                <w:szCs w:val="15"/>
                <w:color w:val="auto"/>
              </w:rPr>
            </w:pPr>
          </w:p>
        </w:tc>
        <w:tc>
          <w:tcPr>
            <w:tcW w:w="56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160" w:type="dxa"/>
            <w:vAlign w:val="bottom"/>
          </w:tcPr>
          <w:p>
            <w:pPr>
              <w:spacing w:after="0"/>
              <w:rPr>
                <w:sz w:val="15"/>
                <w:szCs w:val="15"/>
                <w:color w:val="auto"/>
              </w:rPr>
            </w:pPr>
          </w:p>
        </w:tc>
        <w:tc>
          <w:tcPr>
            <w:tcW w:w="1360" w:type="dxa"/>
            <w:vAlign w:val="bottom"/>
          </w:tcPr>
          <w:p>
            <w:pPr>
              <w:jc w:val="right"/>
              <w:ind w:right="415"/>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tcPr>
          <w:p>
            <w:pPr>
              <w:jc w:val="right"/>
              <w:ind w:right="180"/>
              <w:spacing w:after="0" w:line="17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52"/>
              <w:spacing w:after="0" w:line="176" w:lineRule="exact"/>
              <w:rPr>
                <w:sz w:val="20"/>
                <w:szCs w:val="20"/>
                <w:color w:val="auto"/>
              </w:rPr>
            </w:pPr>
            <w:r>
              <w:rPr>
                <w:rFonts w:ascii="Arial" w:cs="Arial" w:eastAsia="Arial" w:hAnsi="Arial"/>
                <w:sz w:val="18"/>
                <w:szCs w:val="18"/>
                <w:color w:val="auto"/>
              </w:rPr>
              <w:t>99,256</w:t>
            </w:r>
          </w:p>
        </w:tc>
        <w:tc>
          <w:tcPr>
            <w:tcW w:w="10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w w:val="98"/>
              </w:rPr>
              <w:t>13.22%</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455"/>
              <w:spacing w:after="0" w:line="176" w:lineRule="exact"/>
              <w:rPr>
                <w:sz w:val="20"/>
                <w:szCs w:val="20"/>
                <w:color w:val="auto"/>
              </w:rPr>
            </w:pPr>
            <w:r>
              <w:rPr>
                <w:rFonts w:ascii="Arial" w:cs="Arial" w:eastAsia="Arial" w:hAnsi="Arial"/>
                <w:sz w:val="18"/>
                <w:szCs w:val="18"/>
                <w:color w:val="auto"/>
              </w:rPr>
              <w:t>30,028</w:t>
            </w:r>
          </w:p>
        </w:tc>
        <w:tc>
          <w:tcPr>
            <w:tcW w:w="3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15"/>
              <w:spacing w:after="0" w:line="176" w:lineRule="exact"/>
              <w:rPr>
                <w:sz w:val="20"/>
                <w:szCs w:val="20"/>
                <w:color w:val="auto"/>
              </w:rPr>
            </w:pPr>
            <w:r>
              <w:rPr>
                <w:rFonts w:ascii="Arial" w:cs="Arial" w:eastAsia="Arial" w:hAnsi="Arial"/>
                <w:sz w:val="18"/>
                <w:szCs w:val="18"/>
                <w:color w:val="auto"/>
              </w:rPr>
              <w:t>37,536</w:t>
            </w:r>
          </w:p>
        </w:tc>
        <w:tc>
          <w:tcPr>
            <w:tcW w:w="940" w:type="dxa"/>
            <w:vAlign w:val="bottom"/>
            <w:gridSpan w:val="6"/>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9: Commitments and Contingencies” for further discussion.</w:t>
      </w:r>
    </w:p>
    <w:p>
      <w:pPr>
        <w:sectPr>
          <w:pgSz w:w="11900" w:h="16838" w:orient="portrait"/>
          <w:cols w:equalWidth="0" w:num="1">
            <w:col w:w="11420"/>
          </w:cols>
          <w:pgMar w:left="240" w:top="368"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68" w:right="239" w:bottom="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Net income increased by $1.3 million to $1.8 million for the quarter ended March 31, 2015, compared to $437 thousand for the quarter ended March 31, 2014. Net income increased by $2.8 million to $5.0 million for the nine months ended March 31, 2015, compared to $2.2 million for the nine months ended March 31, 2014. When compared to the prior year, increases in net income for both the three and nine months ended March 31, 2015 resulted principally from higher transactional interest income from purchased loan payoffs and the positive effect of balance sheet growth.</w:t>
      </w:r>
    </w:p>
    <w:p>
      <w:pPr>
        <w:spacing w:after="0" w:line="17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following table details the “total return” on purchased loans, which includes transactional interest income of $2.7 million for the quarter ended March 31, 2015, an increase of $2.0 million from the quarter ended March 31, 2014. Transactional interest income for the nine months ended March 31, 2015 was $7.5 million, an increase of $3.8 million from the nine months ended March 31, 2014 principally due to higher payoffs in the first three quarters of fiscal 2015.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1"/>
              </w:rPr>
              <w:t>Total Return on Purchased Loans</w:t>
            </w: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center"/>
              <w:ind w:right="80"/>
              <w:spacing w:after="0" w:line="142" w:lineRule="exact"/>
              <w:rPr>
                <w:sz w:val="20"/>
                <w:szCs w:val="20"/>
                <w:color w:val="auto"/>
              </w:rPr>
            </w:pPr>
            <w:r>
              <w:rPr>
                <w:rFonts w:ascii="Arial" w:cs="Arial" w:eastAsia="Arial" w:hAnsi="Arial"/>
                <w:sz w:val="14"/>
                <w:szCs w:val="14"/>
                <w:b w:val="1"/>
                <w:bCs w:val="1"/>
                <w:color w:val="auto"/>
                <w:w w:val="95"/>
              </w:rPr>
              <w:t>Three Months Ended March 31,</w:t>
            </w:r>
          </w:p>
        </w:tc>
        <w:tc>
          <w:tcPr>
            <w:tcW w:w="1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934"/>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Income</w:t>
            </w:r>
          </w:p>
        </w:tc>
        <w:tc>
          <w:tcPr>
            <w:tcW w:w="9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Return (1)</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Income</w:t>
            </w:r>
          </w:p>
        </w:tc>
        <w:tc>
          <w:tcPr>
            <w:tcW w:w="13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Return (1)</w:t>
            </w:r>
          </w:p>
        </w:tc>
        <w:tc>
          <w:tcPr>
            <w:tcW w:w="16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gridSpan w:val="6"/>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4,322</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Transactional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0.79%</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379</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Accelerated accretion and loan fees</w:t>
            </w: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2,292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r>
      <w:tr>
        <w:trPr>
          <w:trHeight w:val="210"/>
        </w:trPr>
        <w:tc>
          <w:tcPr>
            <w:tcW w:w="4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r>
      <w:tr>
        <w:trPr>
          <w:trHeight w:val="210"/>
        </w:trPr>
        <w:tc>
          <w:tcPr>
            <w:tcW w:w="4040" w:type="dxa"/>
            <w:vAlign w:val="bottom"/>
          </w:tcPr>
          <w:p>
            <w:pPr>
              <w:ind w:left="5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3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13.60%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10.39%</w:t>
            </w: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4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5"/>
              </w:rPr>
              <w:t>Nine Months Ended March 31,</w:t>
            </w:r>
          </w:p>
        </w:tc>
        <w:tc>
          <w:tcPr>
            <w:tcW w:w="13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4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934"/>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Income</w:t>
            </w:r>
          </w:p>
        </w:tc>
        <w:tc>
          <w:tcPr>
            <w:tcW w:w="9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Return (1)</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Income</w:t>
            </w:r>
          </w:p>
        </w:tc>
        <w:tc>
          <w:tcPr>
            <w:tcW w:w="13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Return (1)</w:t>
            </w:r>
          </w:p>
        </w:tc>
        <w:tc>
          <w:tcPr>
            <w:tcW w:w="16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gridSpan w:val="6"/>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13,195</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11,632</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Transactional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0.44%</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419</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Accelerated accretion and loan fees</w:t>
            </w: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6,930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3,079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r>
      <w:tr>
        <w:trPr>
          <w:trHeight w:val="210"/>
        </w:trPr>
        <w:tc>
          <w:tcPr>
            <w:tcW w:w="4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r>
      <w:tr>
        <w:trPr>
          <w:trHeight w:val="210"/>
        </w:trPr>
        <w:tc>
          <w:tcPr>
            <w:tcW w:w="4040" w:type="dxa"/>
            <w:vAlign w:val="bottom"/>
          </w:tcPr>
          <w:p>
            <w:pPr>
              <w:ind w:left="5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20,734</w:t>
            </w:r>
          </w:p>
        </w:tc>
        <w:tc>
          <w:tcPr>
            <w:tcW w:w="3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13.36%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w:t>
            </w:r>
          </w:p>
        </w:tc>
        <w:tc>
          <w:tcPr>
            <w:tcW w:w="20" w:type="dxa"/>
            <w:vAlign w:val="bottom"/>
            <w:tcBorders>
              <w:bottom w:val="single" w:sz="8" w:color="auto"/>
            </w:tcBorders>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11.60%</w:t>
            </w: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60" w:firstLine="8"/>
        <w:spacing w:after="0" w:line="277" w:lineRule="auto"/>
        <w:tabs>
          <w:tab w:leader="none" w:pos="2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2015 and 2014</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Net interest and dividend income before provision for the three months ended March 31, 2015 and 2014 was $9.1 million and $7.1 million, respectively. The increase of $2.0 million was largely attributable to growth in the LASG loan portfolio, which earned a yield of 9.4% for the quarter ended March 31, 2015 on an average outstanding balance of $337.6 million. The following table summarizes interest income and related yields recognized on the Company’s loans for the three months ended March 31, 2015 and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57"/>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0"/>
                <w:szCs w:val="10"/>
                <w:color w:val="auto"/>
              </w:rPr>
            </w:pPr>
          </w:p>
        </w:tc>
        <w:tc>
          <w:tcPr>
            <w:tcW w:w="9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Interest</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Yield</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Interest</w:t>
            </w: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Yield</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08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6"/>
          </w:tcPr>
          <w:p>
            <w:pPr>
              <w:jc w:val="right"/>
              <w:ind w:right="4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232,369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2,823</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249,962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3,183</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LASG: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80,567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208,487</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6,614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4,164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9.51%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Secured Loans to Broker-Dealers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48,551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LASG</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337,605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9.37%</w:t>
            </w:r>
          </w:p>
        </w:tc>
        <w:tc>
          <w:tcPr>
            <w:tcW w:w="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261,085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2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8.11%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569,974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511,047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right"/>
              <w:ind w:right="295"/>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the quarter ended March 31, 2015, net interest income was negatively affected by a lower level of noncash accretion of fair value adjustments resulting from the 2010 merger than in the quarter ended March 31, 2014. The effect of such accretion will continue to diminish as financial instruments held at the merger mature or prepay. The following table summarizes the effects of such accretion.</w:t>
      </w:r>
    </w:p>
    <w:p>
      <w:pPr>
        <w:sectPr>
          <w:pgSz w:w="11900" w:h="16838" w:orient="portrait"/>
          <w:cols w:equalWidth="0" w:num="1">
            <w:col w:w="11460"/>
          </w:cols>
          <w:pgMar w:left="240" w:top="517" w:right="199" w:bottom="0" w:gutter="0" w:footer="0" w:header="0"/>
        </w:sectPr>
      </w:pPr>
    </w:p>
    <w:bookmarkStart w:id="27" w:name="page28"/>
    <w:bookmarkEnd w:id="27"/>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Income</w:t>
            </w:r>
          </w:p>
        </w:tc>
        <w:tc>
          <w:tcPr>
            <w:tcW w:w="108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Effect on</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Income</w:t>
            </w:r>
          </w:p>
        </w:tc>
        <w:tc>
          <w:tcPr>
            <w:tcW w:w="106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Effect on</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(Expense)</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Yield / Rate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(Expense)</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Yield / Rate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6"/>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107,010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114,925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569,974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94,824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578,577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508,917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43,718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59,399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633,204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interest rate spread and net interest margin increased by 70 basis points and 71 basis points, respectively, for the quarter ended March 31, 2015 compared to the quarter ended March 31, 2014. These increases were principally the result of the aforementioned increase in loan volume and average yield. The following sets forth the average balance sheets, interest income and interest expense, and average yields and costs for the three months ended March 31, 2015 and 2014.</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5000"/>
        <w:spacing w:after="0" w:line="250" w:lineRule="auto"/>
        <w:rPr>
          <w:sz w:val="20"/>
          <w:szCs w:val="20"/>
          <w:color w:val="auto"/>
        </w:rPr>
      </w:pPr>
      <w:r>
        <w:rPr>
          <w:rFonts w:ascii="Arial" w:cs="Arial" w:eastAsia="Arial" w:hAnsi="Arial"/>
          <w:sz w:val="18"/>
          <w:szCs w:val="18"/>
          <w:b w:val="1"/>
          <w:bCs w:val="1"/>
          <w:color w:val="auto"/>
        </w:rPr>
        <w:t xml:space="preserve">CONSOLIDATED AVERAGE BALANCE SHEETS AND ANNUALIZED YIELDS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9"/>
              </w:rPr>
              <w:t>Three Months Ended March 31,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98"/>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Interest</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Interest</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Income/</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Yield/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Income/</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Expense</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Rate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Expense</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Interest-earning assets: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Investment securities (1)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107,010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114,925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rPr>
                <w:sz w:val="20"/>
                <w:szCs w:val="20"/>
                <w:color w:val="auto"/>
              </w:rPr>
            </w:pPr>
            <w:r>
              <w:rPr>
                <w:rFonts w:ascii="Arial" w:cs="Arial" w:eastAsia="Arial" w:hAnsi="Arial"/>
                <w:sz w:val="17"/>
                <w:szCs w:val="17"/>
                <w:color w:val="auto"/>
              </w:rPr>
              <w:t>Loans (2) (3)</w:t>
            </w:r>
          </w:p>
        </w:tc>
        <w:tc>
          <w:tcPr>
            <w:tcW w:w="1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569,974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10,619</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7.56%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511,047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8,403</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Regulatory stock</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rPr>
                <w:sz w:val="20"/>
                <w:szCs w:val="20"/>
                <w:color w:val="auto"/>
              </w:rPr>
            </w:pPr>
            <w:r>
              <w:rPr>
                <w:rFonts w:ascii="Arial" w:cs="Arial" w:eastAsia="Arial" w:hAnsi="Arial"/>
                <w:sz w:val="17"/>
                <w:szCs w:val="17"/>
                <w:color w:val="auto"/>
              </w:rPr>
              <w:t>Short-term investments (4)</w:t>
            </w:r>
          </w:p>
        </w:tc>
        <w:tc>
          <w:tcPr>
            <w:tcW w:w="1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90,722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54</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75,506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45</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interest-earning assets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771,808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10,913</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5.73%</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707,199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8,717</w:t>
            </w:r>
          </w:p>
        </w:tc>
        <w:tc>
          <w:tcPr>
            <w:tcW w:w="2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Cash and due from banks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Other non-interest earning assets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33,069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37,366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807,796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747,398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9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Liabilities &amp; Stockholders’ Equity:</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Interest-bearing liabilities: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rPr>
                <w:sz w:val="20"/>
                <w:szCs w:val="20"/>
                <w:color w:val="auto"/>
              </w:rPr>
            </w:pPr>
            <w:r>
              <w:rPr>
                <w:rFonts w:ascii="Arial" w:cs="Arial" w:eastAsia="Arial" w:hAnsi="Arial"/>
                <w:sz w:val="17"/>
                <w:szCs w:val="17"/>
                <w:color w:val="auto"/>
              </w:rPr>
              <w:t>NOW accounts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62,317</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39</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0.25%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61,028</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40</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Money market accounts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153,487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0.79%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87,352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rPr>
                <w:sz w:val="20"/>
                <w:szCs w:val="20"/>
                <w:color w:val="auto"/>
              </w:rPr>
            </w:pPr>
            <w:r>
              <w:rPr>
                <w:rFonts w:ascii="Arial" w:cs="Arial" w:eastAsia="Arial" w:hAnsi="Arial"/>
                <w:sz w:val="17"/>
                <w:szCs w:val="17"/>
                <w:color w:val="auto"/>
              </w:rPr>
              <w:t>Savings accounts</w:t>
            </w:r>
          </w:p>
        </w:tc>
        <w:tc>
          <w:tcPr>
            <w:tcW w:w="1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34,140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11</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0.13%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35,032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Time deposits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328,633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325,505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ind w:left="160"/>
              <w:spacing w:after="0"/>
              <w:rPr>
                <w:sz w:val="20"/>
                <w:szCs w:val="20"/>
                <w:color w:val="auto"/>
              </w:rPr>
            </w:pPr>
            <w:r>
              <w:rPr>
                <w:rFonts w:ascii="Arial" w:cs="Arial" w:eastAsia="Arial" w:hAnsi="Arial"/>
                <w:sz w:val="17"/>
                <w:szCs w:val="17"/>
                <w:color w:val="auto"/>
              </w:rPr>
              <w:t>Total interest-bearing deposits</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578,577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1,271</w:t>
            </w:r>
          </w:p>
        </w:tc>
        <w:tc>
          <w:tcPr>
            <w:tcW w:w="2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0.89%</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508,917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1,022</w:t>
            </w:r>
          </w:p>
        </w:tc>
        <w:tc>
          <w:tcPr>
            <w:tcW w:w="2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0.81%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Short-term borrowings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0.86%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rPr>
                <w:sz w:val="20"/>
                <w:szCs w:val="20"/>
                <w:color w:val="auto"/>
              </w:rPr>
            </w:pPr>
            <w:r>
              <w:rPr>
                <w:rFonts w:ascii="Arial" w:cs="Arial" w:eastAsia="Arial" w:hAnsi="Arial"/>
                <w:sz w:val="17"/>
                <w:szCs w:val="17"/>
                <w:color w:val="auto"/>
              </w:rPr>
              <w:t>Borrowed funds</w:t>
            </w:r>
          </w:p>
        </w:tc>
        <w:tc>
          <w:tcPr>
            <w:tcW w:w="1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43,718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346</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3.21%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59,399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437</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Junior subordinated debentures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interest-bearing liabilities</w:t>
            </w: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633,204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1,793</w:t>
            </w: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1.15%</w:t>
            </w: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578,882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1,605</w:t>
            </w:r>
          </w:p>
        </w:tc>
        <w:tc>
          <w:tcPr>
            <w:tcW w:w="2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Non-interest bearing liabilities: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Demand deposits and escrow accounts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54,647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48,361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Other liabilities</w:t>
            </w:r>
          </w:p>
        </w:tc>
        <w:tc>
          <w:tcPr>
            <w:tcW w:w="1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8,516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5,920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696,367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633,163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Stockholders’ equity</w:t>
            </w:r>
          </w:p>
        </w:tc>
        <w:tc>
          <w:tcPr>
            <w:tcW w:w="1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111,429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114,235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807,796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747,398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interest income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9,120</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7,112</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spread</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Net interest margin (5)</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4.79%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7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Interest income and yield are stated on a fully tax-equivalent basis using a 34% tax rate.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loans held for sale.</w:t>
      </w:r>
    </w:p>
    <w:p>
      <w:pPr>
        <w:spacing w:after="0" w:line="7" w:lineRule="exact"/>
        <w:rPr>
          <w:rFonts w:ascii="Arial" w:cs="Arial" w:eastAsia="Arial" w:hAnsi="Arial"/>
          <w:sz w:val="17"/>
          <w:szCs w:val="17"/>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Short term investments include FHLB overnight deposits and other interest-bearing deposits.</w:t>
      </w:r>
    </w:p>
    <w:p>
      <w:pPr>
        <w:sectPr>
          <w:pgSz w:w="11900" w:h="16859" w:orient="portrait"/>
          <w:cols w:equalWidth="0" w:num="1">
            <w:col w:w="11460"/>
          </w:cols>
          <w:pgMar w:left="240" w:top="118" w:right="199" w:bottom="0" w:gutter="0" w:footer="0" w:header="0"/>
        </w:sectPr>
      </w:pPr>
    </w:p>
    <w:bookmarkStart w:id="28" w:name="page29"/>
    <w:bookmarkEnd w:id="28"/>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(5)  Net interest margin is calculated as net interest income divided by total interest-earning assets.</w:t>
      </w:r>
    </w:p>
    <w:p>
      <w:pPr>
        <w:spacing w:after="0" w:line="1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40" w:type="dxa"/>
            <w:vAlign w:val="bottom"/>
            <w:gridSpan w:val="11"/>
          </w:tcPr>
          <w:p>
            <w:pPr>
              <w:jc w:val="right"/>
              <w:ind w:right="1200"/>
              <w:spacing w:after="0"/>
              <w:rPr>
                <w:sz w:val="20"/>
                <w:szCs w:val="20"/>
                <w:color w:val="auto"/>
              </w:rPr>
            </w:pPr>
            <w:r>
              <w:rPr>
                <w:rFonts w:ascii="Arial" w:cs="Arial" w:eastAsia="Arial" w:hAnsi="Arial"/>
                <w:sz w:val="14"/>
                <w:szCs w:val="14"/>
                <w:b w:val="1"/>
                <w:bCs w:val="1"/>
                <w:color w:val="auto"/>
              </w:rPr>
              <w:t>Three Months Ended March 31, 2015 compared to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5"/>
              </w:rPr>
              <w:t>Change Due to Volume</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920" w:type="dxa"/>
            <w:vAlign w:val="bottom"/>
            <w:tcBorders>
              <w:top w:val="single" w:sz="8" w:color="auto"/>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9"/>
              </w:rPr>
              <w:t>Change Due to Rate</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Total Change</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Interest earning assets:</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rPr>
                <w:sz w:val="20"/>
                <w:szCs w:val="20"/>
                <w:color w:val="auto"/>
              </w:rPr>
            </w:pPr>
            <w:r>
              <w:rPr>
                <w:rFonts w:ascii="Arial" w:cs="Arial" w:eastAsia="Arial" w:hAnsi="Arial"/>
                <w:sz w:val="17"/>
                <w:szCs w:val="17"/>
                <w:color w:val="auto"/>
              </w:rPr>
              <w:t>Investment securities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32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(15)</w:t>
            </w:r>
          </w:p>
        </w:tc>
        <w:tc>
          <w:tcPr>
            <w:tcW w:w="16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Loans</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1,187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rPr>
                <w:sz w:val="20"/>
                <w:szCs w:val="20"/>
                <w:color w:val="auto"/>
              </w:rPr>
            </w:pPr>
            <w:r>
              <w:rPr>
                <w:rFonts w:ascii="Arial" w:cs="Arial" w:eastAsia="Arial" w:hAnsi="Arial"/>
                <w:sz w:val="17"/>
                <w:szCs w:val="17"/>
                <w:color w:val="auto"/>
              </w:rPr>
              <w:t>Regulatory stock</w:t>
            </w:r>
          </w:p>
        </w:tc>
        <w:tc>
          <w:tcPr>
            <w:tcW w:w="160" w:type="dxa"/>
            <w:vAlign w:val="bottom"/>
          </w:tcPr>
          <w:p>
            <w:pPr>
              <w:spacing w:after="0"/>
              <w:rPr>
                <w:sz w:val="17"/>
                <w:szCs w:val="17"/>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Short-term investments</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ind w:left="340"/>
              <w:spacing w:after="0"/>
              <w:rPr>
                <w:sz w:val="20"/>
                <w:szCs w:val="20"/>
                <w:color w:val="auto"/>
              </w:rPr>
            </w:pPr>
            <w:r>
              <w:rPr>
                <w:rFonts w:ascii="Arial" w:cs="Arial" w:eastAsia="Arial" w:hAnsi="Arial"/>
                <w:sz w:val="17"/>
                <w:szCs w:val="17"/>
                <w:color w:val="auto"/>
              </w:rPr>
              <w:t>Total interest-earning assets</w:t>
            </w:r>
          </w:p>
        </w:tc>
        <w:tc>
          <w:tcPr>
            <w:tcW w:w="1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2,196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Interest-bearing liabilities:</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Interest-bearing deposits</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rPr>
                <w:sz w:val="20"/>
                <w:szCs w:val="20"/>
                <w:color w:val="auto"/>
              </w:rPr>
            </w:pPr>
            <w:r>
              <w:rPr>
                <w:rFonts w:ascii="Arial" w:cs="Arial" w:eastAsia="Arial" w:hAnsi="Arial"/>
                <w:sz w:val="17"/>
                <w:szCs w:val="17"/>
                <w:color w:val="auto"/>
              </w:rPr>
              <w:t>Short-term borrowings</w:t>
            </w:r>
          </w:p>
        </w:tc>
        <w:tc>
          <w:tcPr>
            <w:tcW w:w="160" w:type="dxa"/>
            <w:vAlign w:val="bottom"/>
          </w:tcPr>
          <w:p>
            <w:pPr>
              <w:spacing w:after="0"/>
              <w:rPr>
                <w:sz w:val="17"/>
                <w:szCs w:val="17"/>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Borrowed funds</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Junior subordinated debentures</w:t>
            </w: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interest-bearing liabilities</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ind w:left="340"/>
              <w:spacing w:after="0"/>
              <w:rPr>
                <w:sz w:val="20"/>
                <w:szCs w:val="20"/>
                <w:color w:val="auto"/>
              </w:rPr>
            </w:pPr>
            <w:r>
              <w:rPr>
                <w:rFonts w:ascii="Arial" w:cs="Arial" w:eastAsia="Arial" w:hAnsi="Arial"/>
                <w:sz w:val="17"/>
                <w:szCs w:val="17"/>
                <w:color w:val="auto"/>
              </w:rPr>
              <w:t>Total change in net interest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988</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2,008</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2015 and 2014</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interest and dividend income before provision for the nine months ended March 31, 2015 and 2014 was $28.0 million and $23.2 million, respectively. The increase of $4.8 million was largely attributable to growth in the LASG loan portfolio, which earned a yield of 10.1% for the nine ended March 31, 2015 on an average outstanding balance of $312.1 million. The following table summarizes interest income and related yields recognized on the Company’s loans for the nine months ended March 31, 2015 and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Nine Months Ended March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37"/>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Interest</w:t>
            </w: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Yield</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Interest</w:t>
            </w: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2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Income</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6"/>
          </w:tcPr>
          <w:p>
            <w:pPr>
              <w:jc w:val="right"/>
              <w:ind w:right="5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236,584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8,782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246,539</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9,809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LASG:</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206,747</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20,215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12.97%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175,383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14,711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Secured Loans to Broker-Dealers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39,054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LASG</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312,115</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23,705</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10.12%</w:t>
            </w: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241,652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17,333</w:t>
            </w: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548,699</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32,487</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488,191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27,142</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nine months ended March 31, 2015, net interest income was negatively affected by a lower level of noncash accretion of fair value adjustments resulting from the 2010 merger than in the nine months ended March 31, 2014. The effect of such accretion will continue to diminish as financial instruments held at the merger mature or prepay. The following table summarizes the effects of such accretion.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Nine Months Ended March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Income</w:t>
            </w:r>
          </w:p>
        </w:tc>
        <w:tc>
          <w:tcPr>
            <w:tcW w:w="100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Effect on</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Income</w:t>
            </w:r>
          </w:p>
        </w:tc>
        <w:tc>
          <w:tcPr>
            <w:tcW w:w="98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auto"/>
              </w:rPr>
              <w:t>Effect on</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(Expense)</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Yield / Rate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(Expense)</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Yield / Rate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6"/>
          </w:tcPr>
          <w:p>
            <w:pPr>
              <w:jc w:val="right"/>
              <w:ind w:right="6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109,605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117,053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548,699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488,191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96,886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83,055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558,061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486,707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489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0.96%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59,778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319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616,875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557,106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563</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944</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34"/>
              <w:spacing w:after="0"/>
              <w:rPr>
                <w:sz w:val="20"/>
                <w:szCs w:val="20"/>
                <w:color w:val="auto"/>
              </w:rPr>
            </w:pPr>
            <w:r>
              <w:rPr>
                <w:rFonts w:ascii="Arial" w:cs="Arial" w:eastAsia="Arial" w:hAnsi="Arial"/>
                <w:sz w:val="18"/>
                <w:szCs w:val="18"/>
                <w:color w:val="auto"/>
                <w:w w:val="89"/>
              </w:rPr>
              <w:t>42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1" w:orient="portrait"/>
          <w:cols w:equalWidth="0" w:num="1">
            <w:col w:w="11460"/>
          </w:cols>
          <w:pgMar w:left="240" w:top="121" w:right="199" w:bottom="0" w:gutter="0" w:footer="0" w:header="0"/>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60"/>
          </w:cols>
          <w:pgMar w:left="240" w:top="121" w:right="199" w:bottom="0" w:gutter="0" w:footer="0" w:header="0"/>
          <w:type w:val="continuous"/>
        </w:sectPr>
      </w:pPr>
    </w:p>
    <w:bookmarkStart w:id="29" w:name="page30"/>
    <w:bookmarkEnd w:id="29"/>
    <w:p>
      <w:pPr>
        <w:ind w:right="20"/>
        <w:spacing w:after="0" w:line="259" w:lineRule="auto"/>
        <w:rPr>
          <w:sz w:val="20"/>
          <w:szCs w:val="20"/>
          <w:color w:val="auto"/>
        </w:rPr>
      </w:pPr>
      <w:r>
        <w:rPr>
          <w:rFonts w:ascii="Arial" w:cs="Arial" w:eastAsia="Arial" w:hAnsi="Arial"/>
          <w:sz w:val="18"/>
          <w:szCs w:val="18"/>
          <w:color w:val="auto"/>
        </w:rPr>
        <w:t>The Company’s interest rate spread and net interest margin increased by 45 basis points and 44 basis points, respectively, for the nine months ended March 31, 2015 compared to the nine months ended March 31, 2014. These increases were principally the result of the aforementioned increase in loan volume and average yield. The following sets forth the average balance sheets, interest income and interest expense, and average yields and costs for the nine months ended March 31, 2015 and 2014.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 March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0"/>
                <w:szCs w:val="10"/>
                <w:color w:val="auto"/>
              </w:rPr>
            </w:pPr>
          </w:p>
        </w:tc>
        <w:tc>
          <w:tcPr>
            <w:tcW w:w="10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Interest</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Interest</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Income/</w:t>
            </w: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Yield/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Income/</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0.85%</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117,053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Loans (1) (2)</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548,699</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32,487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488,191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27,142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Short-term investments (3)</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92,784</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77,334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755,190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33,402</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28,147</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33,241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791,186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727,129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62,731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420" w:type="dxa"/>
            <w:vAlign w:val="bottom"/>
            <w:gridSpan w:val="4"/>
          </w:tcPr>
          <w:p>
            <w:pPr>
              <w:jc w:val="right"/>
              <w:ind w:right="10"/>
              <w:spacing w:after="0"/>
              <w:rPr>
                <w:sz w:val="20"/>
                <w:szCs w:val="20"/>
                <w:color w:val="auto"/>
              </w:rPr>
            </w:pPr>
            <w:r>
              <w:rPr>
                <w:rFonts w:ascii="Arial" w:cs="Arial" w:eastAsia="Arial" w:hAnsi="Arial"/>
                <w:sz w:val="18"/>
                <w:szCs w:val="18"/>
                <w:color w:val="auto"/>
              </w:rPr>
              <w:t>0.26% $</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59,703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122,165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34,049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339,116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2,555</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558,061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3,681</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0.88%</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486,707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47,455</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1,117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59,778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1,323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616,875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557,106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54,339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7,644</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678,858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112,328</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113,643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28,017</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23,234</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interest margin (4)</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2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Nine Months Ended March 31, 2015 compared to 2014</w:t>
            </w: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Change Due to Volume</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9"/>
              </w:rPr>
              <w:t>Change Due to Rate</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9"/>
              </w:rPr>
              <w:t>Total Change</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4"/>
          </w:tcPr>
          <w:p>
            <w:pPr>
              <w:jc w:val="right"/>
              <w:ind w:right="86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20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interest-earning assets</w:t>
            </w: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20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change in net interest income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30" w:name="page31"/>
    <w:bookmarkEnd w:id="30"/>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acquired with deteriorated credit quality, a provision for loan a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Formation LLC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2015 and 2014</w:t>
      </w:r>
    </w:p>
    <w:p>
      <w:pPr>
        <w:spacing w:after="0" w:line="22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provision for loan losses for the quarter ended March 31, 2015 and 2014 was $44 thousand and $180 thousand, respectively. The decrease in the Company’s loan loss provision resulted principally from favorable trends in collateral values in the impaired loan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2015 and 2014</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provision for loan losses for the nine months ended March 31, 2015 and 2014 was $477 thousand and $407 thousand, respectively. The increase is principally due to increases in reserves necessary for loans accounted for under ASC 310-30 and due to increased volume of newly originated loans.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Noninterest income increased by $246 thousand for the current quarter, compared to the quarter ended March 31, 2014, principally due to the following:</w:t>
      </w:r>
    </w:p>
    <w:p>
      <w:pPr>
        <w:spacing w:after="0" w:line="237"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$192 thousand in gains recognized on Real Estate Owned/Other Assets Acquired (“REO/OAA”);</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$90 thousand in gains realized on sale of loans held for sale in the secondary market, due principally to an increase in purchase-related mortgage loan activity in the current period;</w:t>
      </w:r>
    </w:p>
    <w:p>
      <w:pPr>
        <w:ind w:left="660" w:right="420" w:hanging="328"/>
        <w:spacing w:after="0" w:line="250"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$52 thousand in gains realized on sale of portfolio loans. The recent quarter includes gains realized on sale of SBA loans of $425 thousand, compared to zero in the quarter ended March 31, 2014; and</w:t>
      </w:r>
    </w:p>
    <w:p>
      <w:pPr>
        <w:ind w:left="620" w:hanging="288"/>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decrease of $82 thousand in fees and other services to customers, primarily due to a decrease in servicing rights related to loans paid off or sold.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2015 and 2014</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Noninterest income increased by $646 thousand for the nine months ended March 31, 2015, compared to the nine months ended March 31, 2014, principally due to the following:</w:t>
      </w:r>
    </w:p>
    <w:p>
      <w:pPr>
        <w:spacing w:after="0" w:line="170"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$253 thousand in gains recognized on Real Estate Owned/Other Assets Acquired (“REO/OAA”);</w:t>
      </w:r>
    </w:p>
    <w:p>
      <w:pPr>
        <w:spacing w:after="0" w:line="23" w:lineRule="exact"/>
        <w:rPr>
          <w:rFonts w:ascii="Arial" w:cs="Arial" w:eastAsia="Arial" w:hAnsi="Arial"/>
          <w:sz w:val="18"/>
          <w:szCs w:val="18"/>
          <w:color w:val="auto"/>
        </w:rPr>
      </w:pPr>
    </w:p>
    <w:p>
      <w:pPr>
        <w:ind w:left="660" w:right="420" w:hanging="328"/>
        <w:spacing w:after="0" w:line="250"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$239 thousand in gains realized on sale of loans held for sale in the secondary market, due principally to an increase in purchase-related mortgage loan activity in the current period; and</w:t>
      </w:r>
    </w:p>
    <w:p>
      <w:pPr>
        <w:ind w:left="660" w:right="380" w:hanging="328"/>
        <w:spacing w:after="0" w:line="261"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$347 thousand in gains realized on sale of portfolio loans. The recent period includes gains realized on sale of SBA loans of $950 thousand, compared to zero in the period ended March 31, 2014.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Noninterest expense increased by $369 thousand for the current quarter, compared to the quarter ended March 31, 2014, principally due to the following:</w:t>
      </w:r>
    </w:p>
    <w:p>
      <w:pPr>
        <w:spacing w:after="0" w:line="248"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$557 thousand in salaries and employee benefits, principally due to increased employee head count; and</w:t>
      </w:r>
    </w:p>
    <w:p>
      <w:pPr>
        <w:spacing w:after="0" w:line="23" w:lineRule="exact"/>
        <w:rPr>
          <w:rFonts w:ascii="Arial" w:cs="Arial" w:eastAsia="Arial" w:hAnsi="Arial"/>
          <w:sz w:val="18"/>
          <w:szCs w:val="18"/>
          <w:color w:val="auto"/>
        </w:rPr>
      </w:pPr>
    </w:p>
    <w:p>
      <w:pPr>
        <w:ind w:left="660" w:right="20" w:hanging="328"/>
        <w:spacing w:after="0" w:line="255"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$172 thousand in occupancy and equipment expense, the result of a reduction in software maintenance and depreciation expense following the conversion of the Bank’s core systems platform to an outsourced model in May 2014. The decrease in equipment expense was offset in part by higher data processing fees, which increased by $104 thousand.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2015 and 2014</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Noninterest expense increased by $850 thousand for the nine months ended March 31, 2015, compared to the nine months ended March 31, 2014, principally due to the following:</w:t>
      </w:r>
    </w:p>
    <w:p>
      <w:pPr>
        <w:spacing w:after="0" w:line="170" w:lineRule="exact"/>
        <w:rPr>
          <w:sz w:val="20"/>
          <w:szCs w:val="20"/>
          <w:color w:val="auto"/>
        </w:rPr>
      </w:pPr>
    </w:p>
    <w:p>
      <w:pPr>
        <w:ind w:left="660" w:right="520" w:hanging="328"/>
        <w:spacing w:after="0" w:line="258"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$962 thousand in salaries and employee benefits, principally due to increased employee head count, as well as higher employee benefits and stock-based compensation;</w:t>
      </w:r>
    </w:p>
    <w:p>
      <w:pPr>
        <w:spacing w:after="0" w:line="1" w:lineRule="exact"/>
        <w:rPr>
          <w:rFonts w:ascii="Arial" w:cs="Arial" w:eastAsia="Arial" w:hAnsi="Arial"/>
          <w:sz w:val="18"/>
          <w:szCs w:val="18"/>
          <w:color w:val="auto"/>
        </w:rPr>
      </w:pPr>
    </w:p>
    <w:p>
      <w:pPr>
        <w:ind w:left="660" w:right="20" w:hanging="328"/>
        <w:spacing w:after="0" w:line="323" w:lineRule="auto"/>
        <w:tabs>
          <w:tab w:leader="none" w:pos="6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decrease of $413 thousand in occupancy and equipment expense, the result of a reduction in software maintenance and depreciation expense following the conversion of the Bank’s core systems platform to an outsourced model in May 2014. The decrease in equipment expense was offset in</w:t>
      </w:r>
    </w:p>
    <w:p>
      <w:pPr>
        <w:sectPr>
          <w:pgSz w:w="11900" w:h="16960" w:orient="portrait"/>
          <w:cols w:equalWidth="0" w:num="1">
            <w:col w:w="11420"/>
          </w:cols>
          <w:pgMar w:left="240" w:top="125" w:right="239" w:bottom="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part by higher data processing fees, which increased by $259 thousand; and</w:t>
      </w:r>
    </w:p>
    <w:p>
      <w:pPr>
        <w:spacing w:after="0" w:line="23" w:lineRule="exact"/>
        <w:rPr>
          <w:sz w:val="20"/>
          <w:szCs w:val="20"/>
          <w:color w:val="auto"/>
        </w:rPr>
      </w:pPr>
    </w:p>
    <w:p>
      <w:pPr>
        <w:ind w:left="660" w:hanging="328"/>
        <w:spacing w:after="0" w:line="261"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$250 thousand insurance recovery that was recognized in the quarter ended September 30, 2013, with no similar recovery in the nine months ended March 31,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2015 and 2014</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effective tax rate for the quarter ended March 31, 2015 was 36.2%, compared to 39.6% for the quarter ended March 31, 2014. The decrease in the quarter was primarily due to fluctuations in projected pre-tax income and permanent book to tax differences for the prior fiscal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2015 and 2014</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income tax expense was $2.8 million or an effective rate of 36.1%, for the nine months ended March 31, 2015, as compared to $1.1 million, or an effective rate of 34.1%, for the nine months ended March 31, 2014. The increased effective rate in nine months ended March 31, 2015 resulted principally from a change in estimated state tax apportionment.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 Discontinued Operations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concluded all investment brokerage activities in the second quarter of fiscal 2014. Accordingly, operations associated with these activities have been classified as discontinued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reported no net loss from discontinued operations in the quarters ended March 31, 2015 and 2014.</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reported no discontinued operations for the nine months ended March 31, 2015, compared to a net loss from discontinued operations of $8 thousand for the nine months ended March 31, 2014 due to the discontinuance of brokerage activities in November 2013.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March 31, 2015.</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March 31, 2015 that have materially affected, or is reasonably likely to materially affect, the Company’s internal controls over financial reporting.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980" w:right="20"/>
        <w:spacing w:after="0" w:line="312" w:lineRule="auto"/>
        <w:rPr>
          <w:sz w:val="20"/>
          <w:szCs w:val="20"/>
          <w:color w:val="auto"/>
        </w:rPr>
      </w:pPr>
      <w:r>
        <w:rPr>
          <w:rFonts w:ascii="Arial" w:cs="Arial" w:eastAsia="Arial" w:hAnsi="Arial"/>
          <w:sz w:val="16"/>
          <w:szCs w:val="16"/>
          <w:color w:val="auto"/>
        </w:rPr>
        <w:t>On April 23, 2014, the Company announced that its Board of Directors authorized the Company to purchase up to 870,000 shares of its common stock, representing 8.3% of the Company’s outstanding common shares and approximately $8.4 million based on the Company’s closing stock price on April 22, 2014. As of March 31, 2015, 771,136 shares had been repurchased under this plan at a weighted average price of $9.36.</w:t>
      </w:r>
    </w:p>
    <w:p>
      <w:pPr>
        <w:spacing w:after="0" w:line="147" w:lineRule="exact"/>
        <w:rPr>
          <w:sz w:val="20"/>
          <w:szCs w:val="20"/>
          <w:color w:val="auto"/>
        </w:rPr>
      </w:pPr>
    </w:p>
    <w:p>
      <w:pPr>
        <w:ind w:left="980" w:right="100"/>
        <w:spacing w:after="0" w:line="342" w:lineRule="auto"/>
        <w:rPr>
          <w:sz w:val="20"/>
          <w:szCs w:val="20"/>
          <w:color w:val="auto"/>
        </w:rPr>
      </w:pPr>
      <w:r>
        <w:rPr>
          <w:rFonts w:ascii="Arial" w:cs="Arial" w:eastAsia="Arial" w:hAnsi="Arial"/>
          <w:sz w:val="16"/>
          <w:szCs w:val="16"/>
          <w:color w:val="auto"/>
        </w:rPr>
        <w:t>On April 30, 2015, The Board of Directors voted to amend the existing stock repurchase program to authorize the Company to purchase an additional 500,000 shares of its common stock, representing 5.1% of the Company’s outstanding common shares or approximately $4.7 million</w:t>
      </w:r>
    </w:p>
    <w:p>
      <w:pPr>
        <w:sectPr>
          <w:pgSz w:w="11900" w:h="16838" w:orient="portrait"/>
          <w:cols w:equalWidth="0" w:num="1">
            <w:col w:w="11420"/>
          </w:cols>
          <w:pgMar w:left="240" w:top="125" w:right="239" w:bottom="0" w:gutter="0" w:footer="0" w:header="0"/>
        </w:sectPr>
      </w:pPr>
    </w:p>
    <w:bookmarkStart w:id="32" w:name="page33"/>
    <w:bookmarkEnd w:id="32"/>
    <w:p>
      <w:pPr>
        <w:ind w:left="980" w:right="60"/>
        <w:spacing w:after="0" w:line="342" w:lineRule="auto"/>
        <w:rPr>
          <w:sz w:val="20"/>
          <w:szCs w:val="20"/>
          <w:color w:val="auto"/>
        </w:rPr>
      </w:pPr>
      <w:r>
        <w:rPr>
          <w:rFonts w:ascii="Arial" w:cs="Arial" w:eastAsia="Arial" w:hAnsi="Arial"/>
          <w:sz w:val="16"/>
          <w:szCs w:val="16"/>
          <w:color w:val="auto"/>
        </w:rPr>
        <w:t>based on the Company’s closing price on April 29, 2015. On that date, 86,664 shares remained available for repurchase under the program, prior to the 500,000 share increase in the repurchase plan. The amended stock repurchase program will expire on April 30, 2017.</w:t>
      </w:r>
    </w:p>
    <w:p>
      <w:pPr>
        <w:spacing w:after="0" w:line="124"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The following table sets forth information with respect to purchases made by us of our common stock during the three months ended March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16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Average Price Per</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980"/>
              <w:spacing w:after="0"/>
              <w:rPr>
                <w:sz w:val="20"/>
                <w:szCs w:val="20"/>
                <w:color w:val="auto"/>
              </w:rPr>
            </w:pPr>
            <w:r>
              <w:rPr>
                <w:rFonts w:ascii="Arial" w:cs="Arial" w:eastAsia="Arial" w:hAnsi="Arial"/>
                <w:sz w:val="14"/>
                <w:szCs w:val="14"/>
                <w:b w:val="1"/>
                <w:bCs w:val="1"/>
                <w:color w:val="auto"/>
              </w:rPr>
              <w:t>Period</w:t>
            </w:r>
          </w:p>
        </w:tc>
        <w:tc>
          <w:tcPr>
            <w:tcW w:w="19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Announced</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Shares Purchased (1)</w:t>
            </w: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share</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the Program</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 1 – Jan. 31</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750,036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119,964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Feb. 1 – Feb. 28</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11,500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9.28</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761,536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108,464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771,136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560" w:hanging="580"/>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trade date, not settlement date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540" w:type="dxa"/>
            <w:vAlign w:val="bottom"/>
            <w:gridSpan w:val="2"/>
          </w:tcPr>
          <w:p>
            <w:pPr>
              <w:ind w:left="60"/>
              <w:spacing w:after="0"/>
              <w:rPr>
                <w:sz w:val="20"/>
                <w:szCs w:val="20"/>
                <w:color w:val="auto"/>
              </w:rPr>
            </w:pPr>
            <w:r>
              <w:rPr>
                <w:rFonts w:ascii="Arial" w:cs="Arial" w:eastAsia="Arial" w:hAnsi="Arial"/>
                <w:sz w:val="18"/>
                <w:szCs w:val="18"/>
                <w:color w:val="auto"/>
              </w:rPr>
              <w:t>None.</w:t>
            </w:r>
          </w:p>
        </w:tc>
      </w:tr>
      <w:tr>
        <w:trPr>
          <w:trHeight w:val="432"/>
        </w:trPr>
        <w:tc>
          <w:tcPr>
            <w:tcW w:w="920" w:type="dxa"/>
            <w:vAlign w:val="bottom"/>
          </w:tcPr>
          <w:p>
            <w:pPr>
              <w:spacing w:after="0"/>
              <w:rPr>
                <w:sz w:val="24"/>
                <w:szCs w:val="24"/>
                <w:color w:val="auto"/>
              </w:rPr>
            </w:pPr>
          </w:p>
        </w:tc>
        <w:tc>
          <w:tcPr>
            <w:tcW w:w="10540" w:type="dxa"/>
            <w:vAlign w:val="bottom"/>
            <w:gridSpan w:val="2"/>
          </w:tcPr>
          <w:p>
            <w:pPr>
              <w:jc w:val="right"/>
              <w:ind w:right="5588"/>
              <w:spacing w:after="0"/>
              <w:rPr>
                <w:sz w:val="20"/>
                <w:szCs w:val="20"/>
                <w:color w:val="auto"/>
              </w:rPr>
            </w:pPr>
            <w:r>
              <w:rPr>
                <w:rFonts w:ascii="Arial" w:cs="Arial" w:eastAsia="Arial" w:hAnsi="Arial"/>
                <w:sz w:val="18"/>
                <w:szCs w:val="18"/>
                <w:color w:val="auto"/>
              </w:rPr>
              <w:t>47</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42"/>
        </w:trPr>
        <w:tc>
          <w:tcPr>
            <w:tcW w:w="11460" w:type="dxa"/>
            <w:vAlign w:val="bottom"/>
            <w:gridSpan w:val="3"/>
          </w:tcPr>
          <w:p>
            <w:pPr>
              <w:ind w:left="660"/>
              <w:spacing w:after="0"/>
              <w:rPr>
                <w:sz w:val="20"/>
                <w:szCs w:val="20"/>
                <w:color w:val="auto"/>
              </w:rPr>
            </w:pPr>
            <w:r>
              <w:rPr>
                <w:rFonts w:ascii="Arial" w:cs="Arial" w:eastAsia="Arial" w:hAnsi="Arial"/>
                <w:sz w:val="14"/>
                <w:szCs w:val="14"/>
                <w:b w:val="1"/>
                <w:bCs w:val="1"/>
                <w:color w:val="auto"/>
              </w:rPr>
              <w:t>Exhibits</w:t>
            </w:r>
          </w:p>
        </w:tc>
      </w:tr>
      <w:tr>
        <w:trPr>
          <w:trHeight w:val="186"/>
        </w:trPr>
        <w:tc>
          <w:tcPr>
            <w:tcW w:w="920" w:type="dxa"/>
            <w:vAlign w:val="bottom"/>
          </w:tcPr>
          <w:p>
            <w:pPr>
              <w:ind w:left="660"/>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6"/>
                <w:szCs w:val="16"/>
                <w:color w:val="auto"/>
              </w:rPr>
            </w:pPr>
          </w:p>
        </w:tc>
        <w:tc>
          <w:tcPr>
            <w:tcW w:w="10180" w:type="dxa"/>
            <w:vAlign w:val="bottom"/>
          </w:tcPr>
          <w:p>
            <w:pPr>
              <w:jc w:val="right"/>
              <w:ind w:right="4508"/>
              <w:spacing w:after="0"/>
              <w:rPr>
                <w:sz w:val="20"/>
                <w:szCs w:val="20"/>
                <w:color w:val="auto"/>
              </w:rPr>
            </w:pPr>
            <w:r>
              <w:rPr>
                <w:rFonts w:ascii="Arial" w:cs="Arial" w:eastAsia="Arial" w:hAnsi="Arial"/>
                <w:sz w:val="14"/>
                <w:szCs w:val="14"/>
                <w:b w:val="1"/>
                <w:bCs w:val="1"/>
                <w:color w:val="auto"/>
              </w:rPr>
              <w:t>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-996950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-996950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-8890</wp:posOffset>
            </wp:positionV>
            <wp:extent cx="67576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ind w:left="920"/>
        <w:spacing w:after="0"/>
        <w:tabs>
          <w:tab w:leader="none" w:pos="1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(Rule 13a-14(a)). *</w:t>
      </w:r>
    </w:p>
    <w:p>
      <w:pPr>
        <w:spacing w:after="0" w:line="8" w:lineRule="exact"/>
        <w:rPr>
          <w:sz w:val="20"/>
          <w:szCs w:val="20"/>
          <w:color w:val="auto"/>
        </w:rPr>
      </w:pPr>
    </w:p>
    <w:p>
      <w:pPr>
        <w:ind w:left="920"/>
        <w:spacing w:after="0"/>
        <w:tabs>
          <w:tab w:leader="none" w:pos="1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(Rule 13a-14(a)). *</w:t>
      </w:r>
    </w:p>
    <w:p>
      <w:pPr>
        <w:spacing w:after="0" w:line="9" w:lineRule="exact"/>
        <w:rPr>
          <w:sz w:val="20"/>
          <w:szCs w:val="20"/>
          <w:color w:val="auto"/>
        </w:rPr>
      </w:pPr>
    </w:p>
    <w:p>
      <w:pPr>
        <w:ind w:left="1760" w:right="300" w:hanging="825"/>
        <w:spacing w:after="0" w:line="250" w:lineRule="auto"/>
        <w:tabs>
          <w:tab w:leader="none" w:pos="1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1760" w:right="340" w:hanging="825"/>
        <w:spacing w:after="0" w:line="250" w:lineRule="auto"/>
        <w:tabs>
          <w:tab w:leader="none" w:pos="1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1760" w:right="200" w:hanging="813"/>
        <w:spacing w:after="0" w:line="270" w:lineRule="auto"/>
        <w:tabs>
          <w:tab w:leader="none" w:pos="17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following materials from Northeast Bancorp’s Quarterly Report on Form 10-Q for the quarter ended March 31, 2015 formatted in XBRL: (i) Consolidated Balance Sheets at March 31, 2015 and June 30, 2014; (ii) Consolidated Statements of Income for the three and nine months ended March 31, 2015 and 2014; (iii) Consolidated Statements of Comprehensive Income for the three and nine months ended March 31, 2015 and 2014; (iv) Consolidated Statements of Changes in Shareholders’ Equity for the nine months ended March 31, 2015 and 2014; (v) Consolidated Statements of Cash Flows for the nine months ended March 31, 2015 and 2014; and (v) Notes to Unaudited Consolidated Financial Statements. *</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7"/>
          <w:szCs w:val="17"/>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826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60" w:type="dxa"/>
            <w:vAlign w:val="bottom"/>
          </w:tcPr>
          <w:p>
            <w:pPr>
              <w:spacing w:after="0"/>
              <w:rPr>
                <w:sz w:val="20"/>
                <w:szCs w:val="20"/>
                <w:color w:val="auto"/>
              </w:rPr>
            </w:pPr>
            <w:r>
              <w:rPr>
                <w:rFonts w:ascii="Arial" w:cs="Arial" w:eastAsia="Arial" w:hAnsi="Arial"/>
                <w:sz w:val="18"/>
                <w:szCs w:val="18"/>
                <w:color w:val="auto"/>
              </w:rPr>
              <w:t>Date: May 12, 2015</w:t>
            </w:r>
          </w:p>
        </w:tc>
        <w:tc>
          <w:tcPr>
            <w:tcW w:w="5260" w:type="dxa"/>
            <w:vAlign w:val="bottom"/>
          </w:tcPr>
          <w:p>
            <w:pPr>
              <w:spacing w:after="0"/>
              <w:rPr>
                <w:sz w:val="20"/>
                <w:szCs w:val="20"/>
                <w:color w:val="auto"/>
              </w:rPr>
            </w:pPr>
            <w:r>
              <w:rPr>
                <w:rFonts w:ascii="Arial" w:cs="Arial" w:eastAsia="Arial" w:hAnsi="Arial"/>
                <w:sz w:val="18"/>
                <w:szCs w:val="18"/>
                <w:b w:val="1"/>
                <w:bCs w:val="1"/>
                <w:color w:val="auto"/>
              </w:rPr>
              <w:t>NORTHEAST BANCORP</w:t>
            </w:r>
          </w:p>
        </w:tc>
      </w:tr>
      <w:tr>
        <w:trPr>
          <w:trHeight w:val="230"/>
        </w:trPr>
        <w:tc>
          <w:tcPr>
            <w:tcW w:w="6160" w:type="dxa"/>
            <w:vAlign w:val="bottom"/>
          </w:tcPr>
          <w:p>
            <w:pPr>
              <w:ind w:left="570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r>
      <w:tr>
        <w:trPr>
          <w:trHeight w:val="195"/>
        </w:trPr>
        <w:tc>
          <w:tcPr>
            <w:tcW w:w="6160" w:type="dxa"/>
            <w:vAlign w:val="bottom"/>
          </w:tcPr>
          <w:p>
            <w:pPr>
              <w:spacing w:after="0"/>
              <w:rPr>
                <w:sz w:val="16"/>
                <w:szCs w:val="16"/>
                <w:color w:val="auto"/>
              </w:rPr>
            </w:pPr>
          </w:p>
        </w:tc>
        <w:tc>
          <w:tcPr>
            <w:tcW w:w="5260" w:type="dxa"/>
            <w:vAlign w:val="bottom"/>
          </w:tcPr>
          <w:p>
            <w:pPr>
              <w:ind w:left="280"/>
              <w:spacing w:after="0" w:line="195" w:lineRule="exact"/>
              <w:rPr>
                <w:sz w:val="20"/>
                <w:szCs w:val="20"/>
                <w:color w:val="auto"/>
              </w:rPr>
            </w:pPr>
            <w:r>
              <w:rPr>
                <w:rFonts w:ascii="Arial" w:cs="Arial" w:eastAsia="Arial" w:hAnsi="Arial"/>
                <w:sz w:val="18"/>
                <w:szCs w:val="18"/>
                <w:color w:val="auto"/>
              </w:rPr>
              <w:t>Richard Wayne</w:t>
            </w:r>
          </w:p>
        </w:tc>
      </w:tr>
      <w:tr>
        <w:trPr>
          <w:trHeight w:val="230"/>
        </w:trPr>
        <w:tc>
          <w:tcPr>
            <w:tcW w:w="6160" w:type="dxa"/>
            <w:vAlign w:val="bottom"/>
          </w:tcPr>
          <w:p>
            <w:pPr>
              <w:spacing w:after="0"/>
              <w:rPr>
                <w:sz w:val="20"/>
                <w:szCs w:val="20"/>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President and CEO</w:t>
            </w:r>
          </w:p>
        </w:tc>
      </w:tr>
      <w:tr>
        <w:trPr>
          <w:trHeight w:val="432"/>
        </w:trPr>
        <w:tc>
          <w:tcPr>
            <w:tcW w:w="6160" w:type="dxa"/>
            <w:vAlign w:val="bottom"/>
          </w:tcPr>
          <w:p>
            <w:pPr>
              <w:ind w:left="570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Shaughnessy</w:t>
            </w:r>
          </w:p>
        </w:tc>
      </w:tr>
    </w:tbl>
    <w:p>
      <w:pPr>
        <w:sectPr>
          <w:pgSz w:w="11900" w:h="16838" w:orient="portrait"/>
          <w:cols w:equalWidth="0" w:num="1">
            <w:col w:w="11460"/>
          </w:cols>
          <w:pgMar w:left="240" w:top="125" w:right="19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00" w:type="dxa"/>
            <w:vAlign w:val="bottom"/>
            <w:gridSpan w:val="2"/>
          </w:tcPr>
          <w:p>
            <w:pPr>
              <w:ind w:left="4680"/>
              <w:spacing w:after="0"/>
              <w:rPr>
                <w:sz w:val="20"/>
                <w:szCs w:val="20"/>
                <w:color w:val="auto"/>
              </w:rPr>
            </w:pPr>
            <w:r>
              <w:rPr>
                <w:rFonts w:ascii="Arial" w:cs="Arial" w:eastAsia="Arial" w:hAnsi="Arial"/>
                <w:sz w:val="18"/>
                <w:szCs w:val="18"/>
                <w:color w:val="auto"/>
              </w:rPr>
              <w:t>Brian Shaughnessy</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00" w:type="dxa"/>
            <w:vAlign w:val="bottom"/>
            <w:gridSpan w:val="2"/>
          </w:tcPr>
          <w:p>
            <w:pPr>
              <w:ind w:left="46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0" w:type="dxa"/>
            <w:vAlign w:val="bottom"/>
            <w:gridSpan w:val="2"/>
          </w:tcPr>
          <w:p>
            <w:pPr>
              <w:jc w:val="center"/>
              <w:ind w:right="1293"/>
              <w:spacing w:after="0"/>
              <w:rPr>
                <w:sz w:val="20"/>
                <w:szCs w:val="20"/>
                <w:color w:val="auto"/>
              </w:rPr>
            </w:pPr>
            <w:r>
              <w:rPr>
                <w:rFonts w:ascii="Arial" w:cs="Arial" w:eastAsia="Arial" w:hAnsi="Arial"/>
                <w:sz w:val="18"/>
                <w:szCs w:val="18"/>
                <w:color w:val="auto"/>
                <w:w w:val="89"/>
              </w:rPr>
              <w:t>49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5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99"/>
              </w:rPr>
              <w:t>NORTHEAST BANCORP</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0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1"/>
              </w:rPr>
              <w:t>Index to Exhibits</w:t>
            </w:r>
          </w:p>
        </w:tc>
        <w:tc>
          <w:tcPr>
            <w:tcW w:w="0" w:type="dxa"/>
            <w:vAlign w:val="bottom"/>
          </w:tcPr>
          <w:p>
            <w:pPr>
              <w:spacing w:after="0"/>
              <w:rPr>
                <w:sz w:val="1"/>
                <w:szCs w:val="1"/>
                <w:color w:val="auto"/>
              </w:rPr>
            </w:pPr>
          </w:p>
        </w:tc>
      </w:tr>
      <w:tr>
        <w:trPr>
          <w:trHeight w:val="342"/>
        </w:trPr>
        <w:tc>
          <w:tcPr>
            <w:tcW w:w="1500" w:type="dxa"/>
            <w:vAlign w:val="bottom"/>
            <w:gridSpan w:val="3"/>
          </w:tcPr>
          <w:p>
            <w:pPr>
              <w:ind w:left="660"/>
              <w:spacing w:after="0"/>
              <w:rPr>
                <w:sz w:val="20"/>
                <w:szCs w:val="20"/>
                <w:color w:val="auto"/>
              </w:rPr>
            </w:pPr>
            <w:r>
              <w:rPr>
                <w:rFonts w:ascii="Arial" w:cs="Arial" w:eastAsia="Arial" w:hAnsi="Arial"/>
                <w:sz w:val="14"/>
                <w:szCs w:val="14"/>
                <w:b w:val="1"/>
                <w:bCs w:val="1"/>
                <w:color w:val="auto"/>
              </w:rPr>
              <w:t>Exhibits</w:t>
            </w:r>
          </w:p>
        </w:tc>
        <w:tc>
          <w:tcPr>
            <w:tcW w:w="260" w:type="dxa"/>
            <w:vAlign w:val="bottom"/>
          </w:tcPr>
          <w:p>
            <w:pPr>
              <w:spacing w:after="0"/>
              <w:rPr>
                <w:sz w:val="24"/>
                <w:szCs w:val="24"/>
                <w:color w:val="auto"/>
              </w:rPr>
            </w:pPr>
          </w:p>
        </w:tc>
        <w:tc>
          <w:tcPr>
            <w:tcW w:w="9700" w:type="dxa"/>
            <w:vAlign w:val="bottom"/>
            <w:gridSpan w:val="2"/>
            <w:vMerge w:val="restart"/>
          </w:tcPr>
          <w:p>
            <w:pPr>
              <w:ind w:left="4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500" w:type="dxa"/>
            <w:vAlign w:val="bottom"/>
            <w:gridSpan w:val="3"/>
          </w:tcPr>
          <w:p>
            <w:pPr>
              <w:ind w:left="660"/>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9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31.1</w:t>
            </w:r>
          </w:p>
        </w:tc>
        <w:tc>
          <w:tcPr>
            <w:tcW w:w="2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Certification of the Chief Executive Officer pursuant to Section 302 of the Sarbanes-Oxley Act of 2002 (Rule 13a-14(a)). *</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3"/>
              </w:rPr>
              <w:t>Certificate of the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Oxley Act of 2002 (Rule 13a-14(b)). **</w:t>
            </w: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3"/>
              </w:rPr>
              <w:t>Certificate of the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Oxley Act of 2002 (Rule 13a-14(b)).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-1956435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-1956435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760" w:right="200" w:hanging="813"/>
        <w:spacing w:after="0" w:line="270" w:lineRule="auto"/>
        <w:tabs>
          <w:tab w:leader="none" w:pos="17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following materials from Northeast Bancorp’s Quarterly Report on Form 10-Q for the quarter ended March 31, 2015 formatted in XBRL: (i) Consolidated Balance Sheets at March 31, 2015 and June 30, 2014; (ii) Consolidated Statements of Income for the three and nine months ended March 31, 2015 and 2014; (iii) Consolidated Statements of Comprehensive Income for the three and nine months ended March 31, 2015 and 2014; (iv) Consolidated Statements of Changes in Shareholders’ Equity for the nine months ended March 31, 2015 and 2014; (v) Consolidated Statements of Cash Flows for the nine months ended March 31, 2015 and 2014; and (v) Notes to Unaudited Consolidated Financial Statements. *</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7"/>
          <w:szCs w:val="17"/>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14"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20" w:hanging="512"/>
        <w:spacing w:after="0" w:line="264" w:lineRule="auto"/>
        <w:tabs>
          <w:tab w:leader="none" w:pos="5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20" w:right="160" w:firstLine="7"/>
        <w:spacing w:after="0" w:line="264" w:lineRule="auto"/>
        <w:tabs>
          <w:tab w:leader="none" w:pos="8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20" w:right="380" w:firstLine="7"/>
        <w:spacing w:after="0" w:line="264" w:lineRule="auto"/>
        <w:tabs>
          <w:tab w:leader="none" w:pos="77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20" w:right="900" w:firstLine="7"/>
        <w:spacing w:after="0" w:line="342" w:lineRule="auto"/>
        <w:tabs>
          <w:tab w:leader="none" w:pos="81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520" w:right="380" w:firstLine="7"/>
        <w:spacing w:after="0" w:line="264"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20" w:hanging="512"/>
        <w:spacing w:after="0" w:line="308" w:lineRule="auto"/>
        <w:tabs>
          <w:tab w:leader="none" w:pos="51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20" w:right="300" w:firstLine="7"/>
        <w:spacing w:after="0" w:line="277" w:lineRule="auto"/>
        <w:tabs>
          <w:tab w:leader="none" w:pos="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20" w:right="260" w:firstLine="7"/>
        <w:spacing w:after="0" w:line="277" w:lineRule="auto"/>
        <w:tabs>
          <w:tab w:leader="none" w:pos="8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12, 2015</w:t>
      </w:r>
      <w:r>
        <w:rPr>
          <w:sz w:val="20"/>
          <w:szCs w:val="20"/>
          <w:color w:val="auto"/>
        </w:rPr>
        <w:tab/>
      </w:r>
      <w:r>
        <w:rPr>
          <w:rFonts w:ascii="Arial" w:cs="Arial" w:eastAsia="Arial" w:hAnsi="Arial"/>
          <w:sz w:val="16"/>
          <w:szCs w:val="16"/>
          <w:color w:val="auto"/>
        </w:rPr>
        <w:t>/s/ Richard Wayne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Shaughnessy,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14"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20" w:hanging="512"/>
        <w:spacing w:after="0" w:line="264" w:lineRule="auto"/>
        <w:tabs>
          <w:tab w:leader="none" w:pos="5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20" w:right="160" w:firstLine="7"/>
        <w:spacing w:after="0" w:line="264" w:lineRule="auto"/>
        <w:tabs>
          <w:tab w:leader="none" w:pos="8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20" w:right="380" w:firstLine="7"/>
        <w:spacing w:after="0" w:line="264" w:lineRule="auto"/>
        <w:tabs>
          <w:tab w:leader="none" w:pos="7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20" w:right="900" w:firstLine="7"/>
        <w:spacing w:after="0" w:line="342" w:lineRule="auto"/>
        <w:tabs>
          <w:tab w:leader="none" w:pos="81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520" w:right="380" w:firstLine="7"/>
        <w:spacing w:after="0" w:line="264"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20" w:hanging="512"/>
        <w:spacing w:after="0" w:line="308" w:lineRule="auto"/>
        <w:tabs>
          <w:tab w:leader="none" w:pos="51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20" w:right="300" w:firstLine="7"/>
        <w:spacing w:after="0" w:line="277" w:lineRule="auto"/>
        <w:tabs>
          <w:tab w:leader="none" w:pos="8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20" w:right="260" w:firstLine="7"/>
        <w:spacing w:after="0" w:line="277" w:lineRule="auto"/>
        <w:tabs>
          <w:tab w:leader="none" w:pos="8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12, 2015</w:t>
      </w:r>
      <w:r>
        <w:rPr>
          <w:sz w:val="20"/>
          <w:szCs w:val="20"/>
          <w:color w:val="auto"/>
        </w:rPr>
        <w:tab/>
      </w:r>
      <w:r>
        <w:rPr>
          <w:rFonts w:ascii="Arial" w:cs="Arial" w:eastAsia="Arial" w:hAnsi="Arial"/>
          <w:sz w:val="15"/>
          <w:szCs w:val="15"/>
          <w:color w:val="auto"/>
        </w:rPr>
        <w:t>/s/ Brian Shaughnessy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Brian 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2015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1" w:lineRule="exact"/>
        <w:rPr>
          <w:sz w:val="20"/>
          <w:szCs w:val="20"/>
          <w:color w:val="auto"/>
        </w:rPr>
      </w:pPr>
    </w:p>
    <w:p>
      <w:pPr>
        <w:ind w:left="820" w:hanging="293"/>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520" w:right="180" w:firstLine="7"/>
        <w:spacing w:after="0" w:line="277" w:lineRule="auto"/>
        <w:tabs>
          <w:tab w:leader="none" w:pos="8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12, 2015</w:t>
      </w:r>
      <w:r>
        <w:rPr>
          <w:sz w:val="20"/>
          <w:szCs w:val="20"/>
          <w:color w:val="auto"/>
        </w:rPr>
        <w:tab/>
      </w:r>
      <w:r>
        <w:rPr>
          <w:rFonts w:ascii="Arial" w:cs="Arial" w:eastAsia="Arial" w:hAnsi="Arial"/>
          <w:sz w:val="16"/>
          <w:szCs w:val="16"/>
          <w:color w:val="auto"/>
        </w:rPr>
        <w:t>/s/ Richard Wayne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2015 as filed with the Securities and Exchange Commission on the date hereof (the “Report”), I, Brian Shaughnessy, as Chief Financial Officer of the Company, hereby certify pursuant to 18 U.S.C. 1350, as adopted pursuant to 906 of the Sarbanes-Oxley Act of 2002, that:</w:t>
      </w:r>
    </w:p>
    <w:p>
      <w:pPr>
        <w:spacing w:after="0" w:line="181" w:lineRule="exact"/>
        <w:rPr>
          <w:sz w:val="20"/>
          <w:szCs w:val="20"/>
          <w:color w:val="auto"/>
        </w:rPr>
      </w:pPr>
    </w:p>
    <w:p>
      <w:pPr>
        <w:ind w:left="820" w:hanging="293"/>
        <w:spacing w:after="0"/>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520" w:right="180" w:firstLine="7"/>
        <w:spacing w:after="0" w:line="277" w:lineRule="auto"/>
        <w:tabs>
          <w:tab w:leader="none" w:pos="8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12, 2015</w:t>
      </w:r>
      <w:r>
        <w:rPr>
          <w:sz w:val="20"/>
          <w:szCs w:val="20"/>
          <w:color w:val="auto"/>
        </w:rPr>
        <w:tab/>
      </w:r>
      <w:r>
        <w:rPr>
          <w:rFonts w:ascii="Arial" w:cs="Arial" w:eastAsia="Arial" w:hAnsi="Arial"/>
          <w:sz w:val="15"/>
          <w:szCs w:val="15"/>
          <w:color w:val="auto"/>
        </w:rPr>
        <w:t>/s/ Brian Shaughnessy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Brian 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1."/>
      <w:numFmt w:val="decimal"/>
      <w:start w:val="4"/>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0"/>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
      <w:numFmt w:val="bullet"/>
      <w:start w:val="1"/>
    </w:lvl>
    <w:lvl w:ilvl="1">
      <w:lvlJc w:val="left"/>
      <w:lvlText w:val="%2"/>
      <w:numFmt w:val="decimal"/>
      <w:start w:val="101"/>
    </w:lvl>
  </w:abstractNum>
  <w:abstractNum w:abstractNumId="27">
    <w:nsid w:val="7C3DBD3D"/>
    <w:multiLevelType w:val="hybridMultilevel"/>
    <w:lvl w:ilvl="0">
      <w:lvlJc w:val="left"/>
      <w:lvlText w:val="**"/>
      <w:numFmt w:val="bullet"/>
      <w:start w:val="1"/>
    </w:lvl>
    <w:lvl w:ilvl="1">
      <w:lvlJc w:val="left"/>
      <w:lvlText w:val="%2"/>
      <w:numFmt w:val="decimal"/>
      <w:start w:val="1"/>
    </w:lvl>
  </w:abstractNum>
  <w:abstractNum w:abstractNumId="28">
    <w:nsid w:val="737B8DDC"/>
    <w:multiLevelType w:val="hybridMultilevel"/>
    <w:lvl w:ilvl="0">
      <w:lvlJc w:val="left"/>
      <w:lvlText w:val="*"/>
      <w:numFmt w:val="bullet"/>
      <w:start w:val="1"/>
    </w:lvl>
    <w:lvl w:ilvl="1">
      <w:lvlJc w:val="left"/>
      <w:lvlText w:val="%2"/>
      <w:numFmt w:val="decimal"/>
      <w:start w:val="101"/>
    </w:lvl>
  </w:abstractNum>
  <w:abstractNum w:abstractNumId="29">
    <w:nsid w:val="6CEAF087"/>
    <w:multiLevelType w:val="hybridMultilevel"/>
    <w:lvl w:ilvl="0">
      <w:lvlJc w:val="left"/>
      <w:lvlText w:val="**"/>
      <w:numFmt w:val="bullet"/>
      <w:start w:val="1"/>
    </w:lvl>
    <w:lvl w:ilvl="1">
      <w:lvlJc w:val="left"/>
      <w:lvlText w:val="%2"/>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2019-12-29T17:48:18Z</dcterms:created>
  <dcterms:modified xsi:type="dcterms:W3CDTF">2019-12-29T17:48:18Z</dcterms:modified>
</cp:coreProperties>
</file>