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jc w:val="center"/>
        <w:ind w:right="-119"/>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51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7"/>
              </w:rPr>
              <w:t>Maine</w:t>
            </w:r>
          </w:p>
        </w:tc>
        <w:tc>
          <w:tcPr>
            <w:tcW w:w="4000" w:type="dxa"/>
            <w:vAlign w:val="bottom"/>
          </w:tcPr>
          <w:p>
            <w:pPr>
              <w:jc w:val="right"/>
              <w:ind w:right="1710"/>
              <w:spacing w:after="0"/>
              <w:rPr>
                <w:sz w:val="20"/>
                <w:szCs w:val="20"/>
                <w:color w:val="auto"/>
              </w:rPr>
            </w:pPr>
            <w:r>
              <w:rPr>
                <w:rFonts w:ascii="Arial" w:cs="Arial" w:eastAsia="Arial" w:hAnsi="Arial"/>
                <w:sz w:val="18"/>
                <w:szCs w:val="18"/>
                <w:b w:val="1"/>
                <w:bCs w:val="1"/>
                <w:color w:val="auto"/>
              </w:rPr>
              <w:t>01-0425066</w:t>
            </w:r>
          </w:p>
        </w:tc>
      </w:tr>
      <w:tr>
        <w:trPr>
          <w:trHeight w:val="191"/>
        </w:trPr>
        <w:tc>
          <w:tcPr>
            <w:tcW w:w="448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1"/>
              </w:rPr>
              <w:t>(State or other jurisdiction of incorporation or</w:t>
            </w:r>
          </w:p>
        </w:tc>
        <w:tc>
          <w:tcPr>
            <w:tcW w:w="1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390"/>
              <w:spacing w:after="0" w:line="191" w:lineRule="exact"/>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51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0"/>
              </w:rPr>
              <w:t>organization)</w:t>
            </w:r>
          </w:p>
        </w:tc>
        <w:tc>
          <w:tcPr>
            <w:tcW w:w="4000" w:type="dxa"/>
            <w:vAlign w:val="bottom"/>
          </w:tcPr>
          <w:p>
            <w:pPr>
              <w:spacing w:after="0"/>
              <w:rPr>
                <w:sz w:val="20"/>
                <w:szCs w:val="20"/>
                <w:color w:val="auto"/>
              </w:rPr>
            </w:pPr>
          </w:p>
        </w:tc>
      </w:tr>
      <w:tr>
        <w:trPr>
          <w:trHeight w:val="432"/>
        </w:trPr>
        <w:tc>
          <w:tcPr>
            <w:tcW w:w="51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1"/>
              </w:rPr>
              <w:t>500 Canal Street, Lewiston, Maine</w:t>
            </w:r>
          </w:p>
        </w:tc>
        <w:tc>
          <w:tcPr>
            <w:tcW w:w="4000" w:type="dxa"/>
            <w:vAlign w:val="bottom"/>
          </w:tcPr>
          <w:p>
            <w:pPr>
              <w:jc w:val="right"/>
              <w:ind w:right="1930"/>
              <w:spacing w:after="0"/>
              <w:rPr>
                <w:sz w:val="20"/>
                <w:szCs w:val="20"/>
                <w:color w:val="auto"/>
              </w:rPr>
            </w:pPr>
            <w:r>
              <w:rPr>
                <w:rFonts w:ascii="Arial" w:cs="Arial" w:eastAsia="Arial" w:hAnsi="Arial"/>
                <w:sz w:val="18"/>
                <w:szCs w:val="18"/>
                <w:b w:val="1"/>
                <w:bCs w:val="1"/>
                <w:color w:val="auto"/>
              </w:rPr>
              <w:t>04240</w:t>
            </w:r>
          </w:p>
        </w:tc>
      </w:tr>
      <w:tr>
        <w:trPr>
          <w:trHeight w:val="228"/>
        </w:trPr>
        <w:tc>
          <w:tcPr>
            <w:tcW w:w="44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51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(207) 786-3245</w:t>
            </w:r>
          </w:p>
        </w:tc>
        <w:tc>
          <w:tcPr>
            <w:tcW w:w="400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45" w:lineRule="exact"/>
        <w:rPr>
          <w:sz w:val="24"/>
          <w:szCs w:val="24"/>
          <w:color w:val="auto"/>
        </w:rPr>
      </w:pPr>
    </w:p>
    <w:p>
      <w:pPr>
        <w:jc w:val="both"/>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“smaller reporting company” and “emerging growth company” in Rule 12b-2 of the Exchange Act. (Check one):</w:t>
      </w:r>
    </w:p>
    <w:p>
      <w:pPr>
        <w:sectPr>
          <w:pgSz w:w="11900" w:h="16838" w:orient="portrait"/>
          <w:cols w:equalWidth="0" w:num="1">
            <w:col w:w="11320"/>
          </w:cols>
          <w:pgMar w:left="240" w:top="692" w:right="339" w:bottom="1440" w:gutter="0" w:footer="0" w:header="0"/>
        </w:sectPr>
      </w:pPr>
    </w:p>
    <w:p>
      <w:pPr>
        <w:spacing w:after="0" w:line="149"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720" w:space="720"/>
            <w:col w:w="1880"/>
          </w:cols>
          <w:pgMar w:left="240" w:top="692" w:right="339" w:bottom="1440" w:gutter="0" w:footer="0" w:header="0"/>
          <w:type w:val="continuous"/>
        </w:sectPr>
      </w:pPr>
    </w:p>
    <w:p>
      <w:pPr>
        <w:spacing w:after="0" w:line="48"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940" w:space="720"/>
            <w:col w:w="2660"/>
          </w:cols>
          <w:pgMar w:left="240" w:top="692" w:right="339" w:bottom="1440" w:gutter="0" w:footer="0" w:header="0"/>
          <w:type w:val="continuous"/>
        </w:sectPr>
      </w:pPr>
    </w:p>
    <w:p>
      <w:pPr>
        <w:spacing w:after="0" w:line="48" w:lineRule="exact"/>
        <w:rPr>
          <w:sz w:val="24"/>
          <w:szCs w:val="24"/>
          <w:color w:val="auto"/>
        </w:rPr>
      </w:pPr>
    </w:p>
    <w:p>
      <w:pPr>
        <w:ind w:left="14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320"/>
          </w:cols>
          <w:pgMar w:left="240" w:top="692" w:right="339" w:bottom="1440" w:gutter="0" w:footer="0" w:header="0"/>
          <w:type w:val="continuous"/>
        </w:sectPr>
      </w:pPr>
    </w:p>
    <w:p>
      <w:pPr>
        <w:spacing w:after="0" w:line="28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p>
    <w:tbl>
      <w:tblPr>
        <w:tblLayout w:type="fixed"/>
        <w:tblInd w:w="63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4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Voting Common Stock, $1.00 par value</w:t>
            </w:r>
          </w:p>
        </w:tc>
        <w:tc>
          <w:tcPr>
            <w:tcW w:w="3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NBN</w:t>
            </w:r>
          </w:p>
        </w:tc>
        <w:tc>
          <w:tcPr>
            <w:tcW w:w="34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1, 2019, the registrant had outstanding 8,996,751 shares of voting common stock, $1.00 par value per share and 44,783 shares of non-voting common stock, $1.00 par value per share.</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6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 </w:t>
            </w:r>
            <w:hyperlink w:anchor="page3">
              <w:r>
                <w:rPr>
                  <w:rFonts w:ascii="Arial" w:cs="Arial" w:eastAsia="Arial" w:hAnsi="Arial"/>
                  <w:sz w:val="18"/>
                  <w:szCs w:val="18"/>
                  <w:b w:val="1"/>
                  <w:bCs w:val="1"/>
                  <w:color w:val="0000EE"/>
                </w:rPr>
                <w:t>Financial Information</w:t>
              </w:r>
            </w:hyperlink>
          </w:p>
        </w:tc>
        <w:tc>
          <w:tcPr>
            <w:tcW w:w="10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  </w:t>
            </w:r>
            <w:hyperlink w:anchor="page3">
              <w:r>
                <w:rPr>
                  <w:rFonts w:ascii="Arial" w:cs="Arial" w:eastAsia="Arial" w:hAnsi="Arial"/>
                  <w:sz w:val="18"/>
                  <w:szCs w:val="18"/>
                  <w:b w:val="1"/>
                  <w:bCs w:val="1"/>
                  <w:color w:val="0000EE"/>
                </w:rPr>
                <w:t>Financial Statements (Unaudited)</w:t>
              </w:r>
            </w:hyperlink>
          </w:p>
        </w:tc>
        <w:tc>
          <w:tcPr>
            <w:tcW w:w="10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Consolidated Balance Sheets March 31, 2019 and June 30, 2018</w:t>
              </w:r>
            </w:hyperlink>
          </w:p>
        </w:tc>
        <w:tc>
          <w:tcPr>
            <w:tcW w:w="4220" w:type="dxa"/>
            <w:vAlign w:val="bottom"/>
            <w:gridSpan w:val="5"/>
          </w:tcPr>
          <w:p>
            <w:pPr>
              <w:spacing w:after="0"/>
              <w:rPr>
                <w:sz w:val="17"/>
                <w:szCs w:val="17"/>
                <w:color w:val="auto"/>
              </w:rPr>
            </w:pPr>
          </w:p>
        </w:tc>
        <w:tc>
          <w:tcPr>
            <w:tcW w:w="1060" w:type="dxa"/>
            <w:vAlign w:val="bottom"/>
          </w:tcPr>
          <w:p>
            <w:pPr>
              <w:ind w:left="620"/>
              <w:spacing w:after="0" w:line="196" w:lineRule="exact"/>
              <w:rPr>
                <w:sz w:val="20"/>
                <w:szCs w:val="20"/>
                <w:color w:val="auto"/>
              </w:rPr>
            </w:pPr>
            <w:r>
              <w:rPr>
                <w:rFonts w:ascii="Arial" w:cs="Arial" w:eastAsia="Arial" w:hAnsi="Arial"/>
                <w:sz w:val="18"/>
                <w:szCs w:val="18"/>
                <w:b w:val="1"/>
                <w:bCs w:val="1"/>
                <w:color w:val="auto"/>
              </w:rPr>
              <w:t>3</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20" w:type="dxa"/>
            <w:vAlign w:val="bottom"/>
            <w:tcBorders>
              <w:bottom w:val="single" w:sz="8" w:color="0000EE"/>
            </w:tcBorders>
            <w:gridSpan w:val="15"/>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Consolidated Statements of Income Three and Nine Months Ended March 31, 2019 and 2018</w:t>
              </w:r>
            </w:hyperlink>
          </w:p>
        </w:tc>
        <w:tc>
          <w:tcPr>
            <w:tcW w:w="1960" w:type="dxa"/>
            <w:vAlign w:val="bottom"/>
            <w:gridSpan w:val="2"/>
          </w:tcPr>
          <w:p>
            <w:pPr>
              <w:spacing w:after="0"/>
              <w:rPr>
                <w:sz w:val="24"/>
                <w:szCs w:val="24"/>
                <w:color w:val="auto"/>
              </w:rPr>
            </w:pPr>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360" w:type="dxa"/>
            <w:vAlign w:val="bottom"/>
            <w:tcBorders>
              <w:bottom w:val="single" w:sz="8" w:color="0000EE"/>
            </w:tcBorders>
            <w:gridSpan w:val="16"/>
          </w:tcPr>
          <w:p>
            <w:pPr>
              <w:spacing w:after="0"/>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Consolidated Statements of Comprehensive Income Three and Nine Months Ended March 31, 2019 and 2018</w:t>
              </w:r>
            </w:hyperlink>
          </w:p>
        </w:tc>
        <w:tc>
          <w:tcPr>
            <w:tcW w:w="720" w:type="dxa"/>
            <w:vAlign w:val="bottom"/>
          </w:tcPr>
          <w:p>
            <w:pPr>
              <w:spacing w:after="0"/>
              <w:rPr>
                <w:sz w:val="24"/>
                <w:szCs w:val="24"/>
                <w:color w:val="auto"/>
              </w:rPr>
            </w:pPr>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5</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80" w:type="dxa"/>
            <w:vAlign w:val="bottom"/>
            <w:tcBorders>
              <w:bottom w:val="single" w:sz="8" w:color="0000EE"/>
            </w:tcBorders>
            <w:gridSpan w:val="17"/>
          </w:tcPr>
          <w:p>
            <w:pPr>
              <w:spacing w:after="0"/>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Consolidated Statements of Changes in Shareholders' Equity Three and Nine Months Ended March 31, 2019 and 2018</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6</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Consolidated Statements of Cash Flows Nine Months Ended March 31, 2019 and 2018</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8</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9"/>
              </w:rPr>
            </w:pPr>
            <w:hyperlink w:anchor="page10">
              <w:r>
                <w:rPr>
                  <w:rFonts w:ascii="Arial" w:cs="Arial" w:eastAsia="Arial" w:hAnsi="Arial"/>
                  <w:sz w:val="18"/>
                  <w:szCs w:val="18"/>
                  <w:b w:val="1"/>
                  <w:bCs w:val="1"/>
                  <w:color w:val="0000EE"/>
                  <w:w w:val="89"/>
                </w:rPr>
                <w:t>Notes to Unaudited Consolidated Financial Statements</w:t>
              </w:r>
            </w:hyperlink>
          </w:p>
        </w:tc>
        <w:tc>
          <w:tcPr>
            <w:tcW w:w="2380" w:type="dxa"/>
            <w:vAlign w:val="bottom"/>
            <w:tcBorders>
              <w:top w:val="single" w:sz="8" w:color="0000EE"/>
            </w:tcBorders>
            <w:gridSpan w:val="3"/>
          </w:tcPr>
          <w:p>
            <w:pPr>
              <w:spacing w:after="0"/>
              <w:rPr>
                <w:sz w:val="24"/>
                <w:szCs w:val="24"/>
                <w:color w:val="auto"/>
              </w:rPr>
            </w:pPr>
          </w:p>
        </w:tc>
        <w:tc>
          <w:tcPr>
            <w:tcW w:w="2500" w:type="dxa"/>
            <w:vAlign w:val="bottom"/>
            <w:gridSpan w:val="4"/>
          </w:tcPr>
          <w:p>
            <w:pPr>
              <w:spacing w:after="0"/>
              <w:rPr>
                <w:sz w:val="24"/>
                <w:szCs w:val="24"/>
                <w:color w:val="auto"/>
              </w:rPr>
            </w:pPr>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9</w:t>
            </w:r>
          </w:p>
        </w:tc>
      </w:tr>
      <w:tr>
        <w:trPr>
          <w:trHeight w:val="412"/>
        </w:trPr>
        <w:tc>
          <w:tcPr>
            <w:tcW w:w="58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31">
              <w:r>
                <w:rPr>
                  <w:rFonts w:ascii="Arial" w:cs="Arial" w:eastAsia="Arial" w:hAnsi="Arial"/>
                  <w:sz w:val="18"/>
                  <w:szCs w:val="18"/>
                  <w:b w:val="1"/>
                  <w:bCs w:val="1"/>
                  <w:color w:val="0000EE"/>
                </w:rPr>
                <w:t>Management's Discussion and Analysis of Financial Condition and Results of Operations</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28</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50">
              <w:r>
                <w:rPr>
                  <w:rFonts w:ascii="Arial" w:cs="Arial" w:eastAsia="Arial" w:hAnsi="Arial"/>
                  <w:sz w:val="18"/>
                  <w:szCs w:val="18"/>
                  <w:b w:val="1"/>
                  <w:bCs w:val="1"/>
                  <w:color w:val="0000EE"/>
                </w:rPr>
                <w:t>Quantitative and Qualitative Disclosure about Market Risk</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45</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50">
              <w:r>
                <w:rPr>
                  <w:rFonts w:ascii="Arial" w:cs="Arial" w:eastAsia="Arial" w:hAnsi="Arial"/>
                  <w:sz w:val="18"/>
                  <w:szCs w:val="18"/>
                  <w:b w:val="1"/>
                  <w:bCs w:val="1"/>
                  <w:color w:val="0000EE"/>
                </w:rPr>
                <w:t>Controls and Procedures</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45</w:t>
            </w:r>
          </w:p>
        </w:tc>
      </w:tr>
      <w:tr>
        <w:trPr>
          <w:trHeight w:val="20"/>
        </w:trPr>
        <w:tc>
          <w:tcPr>
            <w:tcW w:w="12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36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Part II.</w:t>
            </w:r>
            <w:hyperlink w:anchor="page51">
              <w:r>
                <w:rPr>
                  <w:rFonts w:ascii="Arial" w:cs="Arial" w:eastAsia="Arial" w:hAnsi="Arial"/>
                  <w:sz w:val="18"/>
                  <w:szCs w:val="18"/>
                  <w:b w:val="1"/>
                  <w:bCs w:val="1"/>
                  <w:color w:val="0000EE"/>
                </w:rPr>
                <w:t>Other Information</w:t>
              </w:r>
            </w:hyperlink>
          </w:p>
        </w:tc>
        <w:tc>
          <w:tcPr>
            <w:tcW w:w="10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5"/>
          </w:tcPr>
          <w:p>
            <w:pPr>
              <w:spacing w:after="0"/>
              <w:rPr>
                <w:rFonts w:ascii="Arial" w:cs="Arial" w:eastAsia="Arial" w:hAnsi="Arial"/>
                <w:sz w:val="18"/>
                <w:szCs w:val="18"/>
                <w:b w:val="1"/>
                <w:bCs w:val="1"/>
                <w:color w:val="0000EE"/>
                <w:w w:val="86"/>
              </w:rPr>
            </w:pPr>
            <w:hyperlink w:anchor="page51">
              <w:r>
                <w:rPr>
                  <w:rFonts w:ascii="Arial" w:cs="Arial" w:eastAsia="Arial" w:hAnsi="Arial"/>
                  <w:sz w:val="18"/>
                  <w:szCs w:val="18"/>
                  <w:b w:val="1"/>
                  <w:bCs w:val="1"/>
                  <w:color w:val="0000EE"/>
                  <w:w w:val="86"/>
                </w:rPr>
                <w:t>Legal Proceedings</w:t>
              </w:r>
            </w:hyperlink>
          </w:p>
        </w:tc>
        <w:tc>
          <w:tcPr>
            <w:tcW w:w="7680" w:type="dxa"/>
            <w:vAlign w:val="bottom"/>
            <w:gridSpan w:val="12"/>
          </w:tcPr>
          <w:p>
            <w:pPr>
              <w:spacing w:after="0"/>
              <w:rPr>
                <w:sz w:val="24"/>
                <w:szCs w:val="24"/>
                <w:color w:val="auto"/>
              </w:rPr>
            </w:pPr>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46</w:t>
            </w:r>
          </w:p>
        </w:tc>
      </w:tr>
      <w:tr>
        <w:trPr>
          <w:trHeight w:val="412"/>
        </w:trPr>
        <w:tc>
          <w:tcPr>
            <w:tcW w:w="58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Item 1A.</w:t>
            </w:r>
            <w:hyperlink w:anchor="page51">
              <w:r>
                <w:rPr>
                  <w:rFonts w:ascii="Arial" w:cs="Arial" w:eastAsia="Arial" w:hAnsi="Arial"/>
                  <w:sz w:val="18"/>
                  <w:szCs w:val="18"/>
                  <w:b w:val="1"/>
                  <w:bCs w:val="1"/>
                  <w:color w:val="0000EE"/>
                </w:rPr>
                <w:t>Risk Factors</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46</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51">
              <w:r>
                <w:rPr>
                  <w:rFonts w:ascii="Arial" w:cs="Arial" w:eastAsia="Arial" w:hAnsi="Arial"/>
                  <w:sz w:val="18"/>
                  <w:szCs w:val="18"/>
                  <w:b w:val="1"/>
                  <w:bCs w:val="1"/>
                  <w:color w:val="0000EE"/>
                </w:rPr>
                <w:t>Unregistered Sales of Equity Securities and Use of Proceeds</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46</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51">
              <w:r>
                <w:rPr>
                  <w:rFonts w:ascii="Arial" w:cs="Arial" w:eastAsia="Arial" w:hAnsi="Arial"/>
                  <w:sz w:val="18"/>
                  <w:szCs w:val="18"/>
                  <w:b w:val="1"/>
                  <w:bCs w:val="1"/>
                  <w:color w:val="0000EE"/>
                </w:rPr>
                <w:t>Defaults Upon Senior Securities</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46</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51">
              <w:r>
                <w:rPr>
                  <w:rFonts w:ascii="Arial" w:cs="Arial" w:eastAsia="Arial" w:hAnsi="Arial"/>
                  <w:sz w:val="18"/>
                  <w:szCs w:val="18"/>
                  <w:b w:val="1"/>
                  <w:bCs w:val="1"/>
                  <w:color w:val="0000EE"/>
                </w:rPr>
                <w:t>Mine Safety Disclosures</w:t>
              </w:r>
            </w:hyperlink>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46</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90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Other Information</w:t>
              </w:r>
            </w:hyperlink>
          </w:p>
        </w:tc>
        <w:tc>
          <w:tcPr>
            <w:tcW w:w="7180" w:type="dxa"/>
            <w:vAlign w:val="bottom"/>
            <w:gridSpan w:val="10"/>
          </w:tcPr>
          <w:p>
            <w:pPr>
              <w:spacing w:after="0"/>
              <w:rPr>
                <w:sz w:val="24"/>
                <w:szCs w:val="24"/>
                <w:color w:val="auto"/>
              </w:rPr>
            </w:pPr>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46</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88"/>
              </w:rPr>
            </w:pPr>
            <w:hyperlink w:anchor="page51">
              <w:r>
                <w:rPr>
                  <w:rFonts w:ascii="Arial" w:cs="Arial" w:eastAsia="Arial" w:hAnsi="Arial"/>
                  <w:sz w:val="18"/>
                  <w:szCs w:val="18"/>
                  <w:b w:val="1"/>
                  <w:bCs w:val="1"/>
                  <w:color w:val="0000EE"/>
                  <w:w w:val="88"/>
                </w:rPr>
                <w:t>Exhibits</w:t>
              </w:r>
            </w:hyperlink>
          </w:p>
        </w:tc>
        <w:tc>
          <w:tcPr>
            <w:tcW w:w="800" w:type="dxa"/>
            <w:vAlign w:val="bottom"/>
            <w:tcBorders>
              <w:top w:val="single" w:sz="8" w:color="0000EE"/>
            </w:tcBorders>
            <w:gridSpan w:val="5"/>
          </w:tcPr>
          <w:p>
            <w:pPr>
              <w:spacing w:after="0"/>
              <w:rPr>
                <w:sz w:val="24"/>
                <w:szCs w:val="24"/>
                <w:color w:val="auto"/>
              </w:rPr>
            </w:pPr>
          </w:p>
        </w:tc>
        <w:tc>
          <w:tcPr>
            <w:tcW w:w="7640" w:type="dxa"/>
            <w:vAlign w:val="bottom"/>
            <w:gridSpan w:val="11"/>
          </w:tcPr>
          <w:p>
            <w:pPr>
              <w:spacing w:after="0"/>
              <w:rPr>
                <w:sz w:val="24"/>
                <w:szCs w:val="24"/>
                <w:color w:val="auto"/>
              </w:rPr>
            </w:pPr>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46</w:t>
            </w:r>
          </w:p>
        </w:tc>
      </w:tr>
      <w:tr>
        <w:trPr>
          <w:trHeight w:val="41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8"/>
                <w:szCs w:val="18"/>
                <w:b w:val="1"/>
                <w:bCs w:val="1"/>
                <w:color w:val="0000EE"/>
                <w:w w:val="85"/>
              </w:rPr>
            </w:pPr>
            <w:hyperlink w:anchor="page52">
              <w:r>
                <w:rPr>
                  <w:rFonts w:ascii="Arial" w:cs="Arial" w:eastAsia="Arial" w:hAnsi="Arial"/>
                  <w:sz w:val="18"/>
                  <w:szCs w:val="18"/>
                  <w:b w:val="1"/>
                  <w:bCs w:val="1"/>
                  <w:color w:val="0000EE"/>
                  <w:w w:val="85"/>
                </w:rPr>
                <w:t>Signatures</w:t>
              </w:r>
            </w:hyperlink>
          </w:p>
        </w:tc>
        <w:tc>
          <w:tcPr>
            <w:tcW w:w="8260" w:type="dxa"/>
            <w:vAlign w:val="bottom"/>
            <w:gridSpan w:val="14"/>
          </w:tcPr>
          <w:p>
            <w:pPr>
              <w:spacing w:after="0"/>
              <w:rPr>
                <w:sz w:val="24"/>
                <w:szCs w:val="24"/>
                <w:color w:val="auto"/>
              </w:rPr>
            </w:pPr>
          </w:p>
        </w:tc>
        <w:tc>
          <w:tcPr>
            <w:tcW w:w="1060" w:type="dxa"/>
            <w:vAlign w:val="bottom"/>
          </w:tcPr>
          <w:p>
            <w:pPr>
              <w:ind w:left="620"/>
              <w:spacing w:after="0"/>
              <w:rPr>
                <w:sz w:val="20"/>
                <w:szCs w:val="20"/>
                <w:color w:val="auto"/>
              </w:rPr>
            </w:pPr>
            <w:r>
              <w:rPr>
                <w:rFonts w:ascii="Arial" w:cs="Arial" w:eastAsia="Arial" w:hAnsi="Arial"/>
                <w:sz w:val="18"/>
                <w:szCs w:val="18"/>
                <w:b w:val="1"/>
                <w:bCs w:val="1"/>
                <w:color w:val="auto"/>
              </w:rPr>
              <w:t>47</w:t>
            </w:r>
          </w:p>
        </w:tc>
      </w:tr>
      <w:tr>
        <w:trPr>
          <w:trHeight w:val="453"/>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gridSpan w:val="11"/>
          </w:tcPr>
          <w:p>
            <w:pPr>
              <w:ind w:left="43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March 31, 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2,507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152,853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Available-for-sale securities, at fair 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76,938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at fair value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investment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83,757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Residential real estate loans held for sale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SBA loans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loans held for sale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641,157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231,176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961,653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5,658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955,995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866,995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5,786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Loan servicing rights,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1,157,736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76,003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Savings and interest checking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104,678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296,720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539,223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352,145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1,016,624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Subordinated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24,217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21,978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1,078,214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1,019,306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0"/>
              </w:rPr>
              <w:t>Preferred stock, $1.00 par value, 1,000,000 shares authorized; no shares issued and outstanding at March 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2019 and June 30, 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Voting common stock, $1.00 par value, 25,000,000 shares authorized; 8,241,314 and 8,056,527 shares issued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at March 31, 2019 and June 30, 2018,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0"/>
              </w:rPr>
              <w:t>Non-voting common stock, $1.00 par value, 3,000,000 shares authorized; 800,554 and 882,314 shares issued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and outstanding at March 31, 2019 and June 30, 2018,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68,274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153,188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138,430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20"/>
                <w:szCs w:val="20"/>
                <w:color w:val="auto"/>
              </w:rPr>
            </w:pPr>
          </w:p>
        </w:tc>
        <w:tc>
          <w:tcPr>
            <w:tcW w:w="2480" w:type="dxa"/>
            <w:vAlign w:val="bottom"/>
            <w:gridSpan w:val="6"/>
          </w:tcPr>
          <w:p>
            <w:pPr>
              <w:ind w:left="2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55,256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15,033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45,033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43,986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Gain on sales of SBA loans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Gain on sales of other loans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gain on equity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60"/>
              <w:spacing w:after="0" w:line="201" w:lineRule="exact"/>
              <w:rPr>
                <w:sz w:val="20"/>
                <w:szCs w:val="20"/>
                <w:color w:val="auto"/>
              </w:rPr>
            </w:pPr>
            <w:r>
              <w:rPr>
                <w:rFonts w:ascii="Arial" w:cs="Arial" w:eastAsia="Arial" w:hAnsi="Arial"/>
                <w:sz w:val="18"/>
                <w:szCs w:val="18"/>
                <w:color w:val="auto"/>
                <w:w w:val="89"/>
              </w:rPr>
              <w:t>Gain (loss) on real estate owned, other repossessed collateral and premises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5,329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16,991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9,044,230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8,927,544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9,029,409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9,198,077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9,143,177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9,194,346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color w:val="auto"/>
                <w:w w:val="90"/>
              </w:rPr>
              <w:t>Three Months Ended March 31,</w:t>
            </w:r>
          </w:p>
        </w:tc>
        <w:tc>
          <w:tcPr>
            <w:tcW w:w="120" w:type="dxa"/>
            <w:vAlign w:val="bottom"/>
          </w:tcPr>
          <w:p>
            <w:pPr>
              <w:spacing w:after="0"/>
              <w:rPr>
                <w:sz w:val="20"/>
                <w:szCs w:val="20"/>
                <w:color w:val="auto"/>
              </w:rPr>
            </w:pPr>
          </w:p>
        </w:tc>
        <w:tc>
          <w:tcPr>
            <w:tcW w:w="2480" w:type="dxa"/>
            <w:vAlign w:val="bottom"/>
            <w:gridSpan w:val="6"/>
          </w:tcPr>
          <w:p>
            <w:pPr>
              <w:jc w:val="right"/>
              <w:ind w:right="240"/>
              <w:spacing w:after="0"/>
              <w:rPr>
                <w:sz w:val="20"/>
                <w:szCs w:val="20"/>
                <w:color w:val="auto"/>
              </w:rPr>
            </w:pPr>
            <w:r>
              <w:rPr>
                <w:rFonts w:ascii="Arial" w:cs="Arial" w:eastAsia="Arial" w:hAnsi="Arial"/>
                <w:sz w:val="18"/>
                <w:szCs w:val="18"/>
                <w:color w:val="auto"/>
                <w:w w:val="91"/>
              </w:rPr>
              <w:t>Nine Months Ended March 31,</w:t>
            </w:r>
          </w:p>
        </w:tc>
      </w:tr>
      <w:tr>
        <w:trPr>
          <w:trHeight w:val="210"/>
        </w:trPr>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Change in net unrealized loss on available-for-sale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and hedging activities: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Change in accumulated loss on effective cash flow hedges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included in interest expense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0"/>
        </w:trPr>
        <w:tc>
          <w:tcPr>
            <w:tcW w:w="6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 derivatives and hedging activities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before tax</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benefit related to other comprehensive loss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0"/>
        </w:trPr>
        <w:tc>
          <w:tcPr>
            <w:tcW w:w="6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4,516</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14,208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11,692</w:t>
            </w: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vMerge w:val="restart"/>
          </w:tcPr>
          <w:p>
            <w:pPr>
              <w:jc w:val="right"/>
              <w:ind w:right="290"/>
              <w:spacing w:after="0"/>
              <w:rPr>
                <w:sz w:val="20"/>
                <w:szCs w:val="20"/>
                <w:color w:val="auto"/>
              </w:rPr>
            </w:pPr>
            <w:r>
              <w:rPr>
                <w:rFonts w:ascii="Arial" w:cs="Arial" w:eastAsia="Arial" w:hAnsi="Arial"/>
                <w:sz w:val="18"/>
                <w:szCs w:val="18"/>
                <w:color w:val="auto"/>
              </w:rPr>
              <w:t>Voting Common</w:t>
            </w:r>
          </w:p>
        </w:tc>
        <w:tc>
          <w:tcPr>
            <w:tcW w:w="1180" w:type="dxa"/>
            <w:vAlign w:val="bottom"/>
            <w:gridSpan w:val="2"/>
            <w:vMerge w:val="restart"/>
          </w:tcPr>
          <w:p>
            <w:pPr>
              <w:ind w:left="340"/>
              <w:spacing w:after="0"/>
              <w:rPr>
                <w:sz w:val="20"/>
                <w:szCs w:val="20"/>
                <w:color w:val="auto"/>
              </w:rPr>
            </w:pPr>
            <w:r>
              <w:rPr>
                <w:rFonts w:ascii="Arial" w:cs="Arial" w:eastAsia="Arial" w:hAnsi="Arial"/>
                <w:sz w:val="18"/>
                <w:szCs w:val="18"/>
                <w:color w:val="auto"/>
                <w:w w:val="94"/>
              </w:rPr>
              <w:t>Non-voting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Additional</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7"/>
                <w:szCs w:val="17"/>
                <w:color w:val="auto"/>
              </w:rPr>
            </w:pPr>
          </w:p>
        </w:tc>
        <w:tc>
          <w:tcPr>
            <w:tcW w:w="9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w w:val="91"/>
              </w:rPr>
              <w:t>Preferred Stock</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Paid-in</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8"/>
              </w:rPr>
              <w:t>Comprehensive</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Shares</w:t>
            </w:r>
          </w:p>
        </w:tc>
        <w:tc>
          <w:tcPr>
            <w:tcW w:w="8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Amount</w:t>
            </w: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7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Amount</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Amount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Capital</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Earnings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Loss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7,840,460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7,841</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991,194</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991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77,455</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38,142</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11,822</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Other comprehensive loss,</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of tax</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Conversions between</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voting common stock</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w w:val="97"/>
              </w:rPr>
              <w:t>and non-voting common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stock, net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82,464</w:t>
            </w:r>
          </w:p>
        </w:tc>
        <w:tc>
          <w:tcPr>
            <w:tcW w:w="14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83</w:t>
            </w:r>
          </w:p>
        </w:tc>
        <w:tc>
          <w:tcPr>
            <w:tcW w:w="840" w:type="dxa"/>
            <w:vAlign w:val="bottom"/>
          </w:tcPr>
          <w:p>
            <w:pPr>
              <w:jc w:val="right"/>
              <w:spacing w:after="0"/>
              <w:rPr>
                <w:sz w:val="20"/>
                <w:szCs w:val="20"/>
                <w:color w:val="auto"/>
              </w:rPr>
            </w:pPr>
            <w:r>
              <w:rPr>
                <w:rFonts w:ascii="Arial" w:cs="Arial" w:eastAsia="Arial" w:hAnsi="Arial"/>
                <w:sz w:val="18"/>
                <w:szCs w:val="18"/>
                <w:color w:val="auto"/>
              </w:rPr>
              <w:t>(82,464)</w:t>
            </w:r>
          </w:p>
        </w:tc>
        <w:tc>
          <w:tcPr>
            <w:tcW w:w="34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 common</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stock at $0.03 per share</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w w:val="93"/>
              </w:rPr>
              <w:t>Stock-based compensation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restricted</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22,000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w w:val="97"/>
              </w:rPr>
              <w:t>Cancellation and forfeiture</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of restricted common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stock</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(39,630)</w:t>
            </w: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 options exercised,</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111,375</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w w:val="97"/>
              </w:rPr>
              <w:t>Adjustment for adoption of</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ASU 2018-02</w:t>
            </w:r>
          </w:p>
        </w:tc>
        <w:tc>
          <w:tcPr>
            <w:tcW w:w="6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8,016,669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8,017</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908,730</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908</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76,926</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49,981</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8,056,527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8,057</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882,314</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882</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77,016</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54,236</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14,487</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Other comprehensive loss,</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of tax</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Conversions between</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voting common stock</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w w:val="97"/>
              </w:rPr>
              <w:t>and non-voting common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stock, net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81,760</w:t>
            </w:r>
          </w:p>
        </w:tc>
        <w:tc>
          <w:tcPr>
            <w:tcW w:w="14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840" w:type="dxa"/>
            <w:vAlign w:val="bottom"/>
          </w:tcPr>
          <w:p>
            <w:pPr>
              <w:jc w:val="right"/>
              <w:spacing w:after="0"/>
              <w:rPr>
                <w:sz w:val="20"/>
                <w:szCs w:val="20"/>
                <w:color w:val="auto"/>
              </w:rPr>
            </w:pPr>
            <w:r>
              <w:rPr>
                <w:rFonts w:ascii="Arial" w:cs="Arial" w:eastAsia="Arial" w:hAnsi="Arial"/>
                <w:sz w:val="18"/>
                <w:szCs w:val="18"/>
                <w:color w:val="auto"/>
              </w:rPr>
              <w:t>(81,760)</w:t>
            </w:r>
          </w:p>
        </w:tc>
        <w:tc>
          <w:tcPr>
            <w:tcW w:w="34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 common</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stock at $0.03 per share</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w w:val="93"/>
              </w:rPr>
              <w:t>Stock-based compensation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restricted</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116,925</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w w:val="97"/>
              </w:rPr>
              <w:t>Cancellation and forfeiture</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of restricted common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stock</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(18,166)</w:t>
            </w: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 options exercised,</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w w:val="97"/>
              </w:rPr>
              <w:t>Adjustment for adoption of</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7"/>
                <w:szCs w:val="17"/>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ASU 2016-01</w:t>
            </w:r>
          </w:p>
        </w:tc>
        <w:tc>
          <w:tcPr>
            <w:tcW w:w="6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8,241,314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8,241</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800,554</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801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77,732</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68,274</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153,188</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22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vMerge w:val="restart"/>
          </w:tcPr>
          <w:p>
            <w:pPr>
              <w:jc w:val="right"/>
              <w:ind w:right="290"/>
              <w:spacing w:after="0"/>
              <w:rPr>
                <w:sz w:val="20"/>
                <w:szCs w:val="20"/>
                <w:color w:val="auto"/>
              </w:rPr>
            </w:pPr>
            <w:r>
              <w:rPr>
                <w:rFonts w:ascii="Arial" w:cs="Arial" w:eastAsia="Arial" w:hAnsi="Arial"/>
                <w:sz w:val="18"/>
                <w:szCs w:val="18"/>
                <w:color w:val="auto"/>
              </w:rPr>
              <w:t>Voting Common</w:t>
            </w:r>
          </w:p>
        </w:tc>
        <w:tc>
          <w:tcPr>
            <w:tcW w:w="1180" w:type="dxa"/>
            <w:vAlign w:val="bottom"/>
            <w:gridSpan w:val="2"/>
            <w:vMerge w:val="restart"/>
          </w:tcPr>
          <w:p>
            <w:pPr>
              <w:ind w:left="340"/>
              <w:spacing w:after="0"/>
              <w:rPr>
                <w:sz w:val="20"/>
                <w:szCs w:val="20"/>
                <w:color w:val="auto"/>
              </w:rPr>
            </w:pPr>
            <w:r>
              <w:rPr>
                <w:rFonts w:ascii="Arial" w:cs="Arial" w:eastAsia="Arial" w:hAnsi="Arial"/>
                <w:sz w:val="18"/>
                <w:szCs w:val="18"/>
                <w:color w:val="auto"/>
                <w:w w:val="94"/>
              </w:rPr>
              <w:t>Non-voting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Additional</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7"/>
                <w:szCs w:val="17"/>
                <w:color w:val="auto"/>
              </w:rPr>
            </w:pPr>
          </w:p>
        </w:tc>
        <w:tc>
          <w:tcPr>
            <w:tcW w:w="9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w w:val="91"/>
              </w:rPr>
              <w:t>Preferred Stock</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Paid-in</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8"/>
              </w:rPr>
              <w:t>Comprehensive</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4"/>
              </w:rPr>
              <w:t>Shares</w:t>
            </w: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Amount</w:t>
            </w: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Amount</w:t>
            </w:r>
          </w:p>
        </w:tc>
        <w:tc>
          <w:tcPr>
            <w:tcW w:w="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0"/>
              </w:rPr>
              <w:t>Amount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Capital</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18"/>
                <w:szCs w:val="18"/>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8,017,334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8,017</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921,939</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922</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76,805</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45,855</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3,932</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Other comprehensive loss,</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of tax</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Conversions between</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voting common stock</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w w:val="97"/>
              </w:rPr>
              <w:t>and non-voting common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stock, net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13,209</w:t>
            </w:r>
          </w:p>
        </w:tc>
        <w:tc>
          <w:tcPr>
            <w:tcW w:w="14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840" w:type="dxa"/>
            <w:vAlign w:val="bottom"/>
          </w:tcPr>
          <w:p>
            <w:pPr>
              <w:jc w:val="right"/>
              <w:spacing w:after="0"/>
              <w:rPr>
                <w:sz w:val="20"/>
                <w:szCs w:val="20"/>
                <w:color w:val="auto"/>
              </w:rPr>
            </w:pPr>
            <w:r>
              <w:rPr>
                <w:rFonts w:ascii="Arial" w:cs="Arial" w:eastAsia="Arial" w:hAnsi="Arial"/>
                <w:sz w:val="18"/>
                <w:szCs w:val="18"/>
                <w:color w:val="auto"/>
              </w:rPr>
              <w:t>(13,209)</w:t>
            </w:r>
          </w:p>
        </w:tc>
        <w:tc>
          <w:tcPr>
            <w:tcW w:w="34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 common</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stock at $0.01 per share</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w w:val="93"/>
              </w:rPr>
              <w:t>Stock-based compensation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restricted</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w w:val="97"/>
              </w:rPr>
              <w:t>Cancellation and forfeiture</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of restricted common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stock</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(23,874)</w:t>
            </w: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Adjustment for adoption of</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ASU 2018-02</w:t>
            </w: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8"/>
                <w:szCs w:val="18"/>
                <w:color w:val="auto"/>
              </w:rPr>
              <w:t>Balance at March 31, 2018</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8,016,669</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8,017</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908,730</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3"/>
              </w:rPr>
              <w:t>908</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76,926</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49,981</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8,236,917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8,237</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811,946</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812</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77,455</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63,535</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w w:val="95"/>
              </w:rPr>
              <w:t>Other comprehensive loss,</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net of tax</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Conversions between</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voting common stock</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and non-voting common</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net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11,392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Dividends on common</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w w:val="97"/>
              </w:rPr>
              <w:t>stock at $0.01 per share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Stock-based compensation</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w w:val="97"/>
              </w:rPr>
              <w:t>Cancellation and forfeiture</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of restricted common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stock</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(10,289)</w:t>
            </w: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 options exercised,</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3,294</w:t>
            </w: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w:t>
            </w:r>
          </w:p>
        </w:tc>
        <w:tc>
          <w:tcPr>
            <w:tcW w:w="6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8"/>
                <w:szCs w:val="18"/>
                <w:color w:val="auto"/>
              </w:rPr>
              <w:t>Balance at March 31, 2019</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8,241,314</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8,241</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800,554</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3"/>
              </w:rPr>
              <w:t>801</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77,732</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68,274</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these unaudited consolidated financial statements.</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00" w:type="dxa"/>
            <w:vAlign w:val="bottom"/>
            <w:gridSpan w:val="7"/>
          </w:tcPr>
          <w:p>
            <w:pPr>
              <w:jc w:val="right"/>
              <w:ind w:right="58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14,487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Loss (gain) on sale and impairment of real estate owned and other repossessed collateral,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Net unrealized gain on equity securities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Discount accretion and fair value adjustments on loans,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Amortization of fair value adjustments on borrowings,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subordinated debt issuance costs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Originations of loans held for sale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(58,036)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sales of loans held for sale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67,396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Gain on sales of residential loans held for sale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SBA and other loans held for sale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Net decrease (increase) in servicing rights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Bank-owned life insurance income,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of premises and equipment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Amortization of available-for-sale debt securities,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other assets and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13,578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Investing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debt securities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(27,969)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investment securities,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32,626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(88,741)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(79,154)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(28,749)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61,684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Repayment of capital lease obligation</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 for tax withholdings on restricted common stock</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Stock options exercised,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61,027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58,784</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157,402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163,283</w:t>
            </w: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222,067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Transfers from loans to real estate owned and other repossessed collateral, net</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unaudited interim consolidated financial statements include the accounts of Northeast Bancorp (“Northeast” or the “Company”) and its wholly-owned subsidiary, Northeast Bank (the “Bank”).</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accompanying unaudited financial statements and notes should be read in conjunction with the audited consolidated financial statements and notes thereto for the fiscal year ended June 30, 2018 (“Fiscal 2018”) included in the Company's Annual Report on Form 10-K filed with the Securities and Exchange Commission (the “SEC”).</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7, 2019, the Company entered into an Agreement and Plan of Merger (the “Plan of Merger”) with its wholly-owned bank subsidiary, Northeast Bank (the “Bank”). Under the terms of the Plan of Merger, the Company will merge with and into the Bank (the “Reorganization”), with the Bank continuing as the surviving entity. If the proposed Reorganization is approved and effected, the bank holding company structure will be eliminated and the Bank will become the top-level company.</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effective time of the Reorganization, each outstanding share of voting and non-voting common stock of the Company, par value $1.00 per share, respectively, will be canceled and converted into the right to receive one share of voting and non-voting common stock, respectively, of the Bank. As a result, the shares of the Bank’s common stock are expected to be owned directly by the Company’s shareholders in the same proportion as their ownership of the Company’s common stock immediately prior to the Reorganization.</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Following the Reorganization, it is expected that the surviving entity, the Bank, will be a publicly-traded company listed on the NASDAQ Global Market under the same ticker symbol currently used by the Company, “NBN.” It is also expected that the Bank’s common stock will be registered under the Securities Exchange Act of 1934 (the “Exchange Act”), which vests the Federal Deposit Insurance Corporation (the “FDIC”) with the power to administer and enforce certain sections of the Exchange Act applicable to banks. Following the Reorganization, the Bank will file periodic and current reports and other materials required by the Exchange Act with the FDIC, and the Company will no longer file these reports and materials with the SEC.</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Bank will have the same board of directors following the Reorganization as the Company had immediately prior to the Reorganization, and the executive officers of the Company will hold the same positions and titles.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Reorganization has been approved by the boards of directors of the Company and the Bank. On March 11, 2019, the Company announced that the Bank had received the approval from the FDIC for the corporate reorganization. Additionally, the Company filed a proxy statement/offering circular and other proxy materials on March 29, 2019 with the SEC and intends to hold a special meeting of its shareholders to consider and vote upon the Plan of Merger on May 9, 2019. In addition to shareholder approval, the Reorganization will be subject to various closing conditions, including, among others, the receipt of all remaining required regulatory approvals, including the approval of the Maine Bureau of Financial Institutions.</w:t>
      </w:r>
    </w:p>
    <w:p>
      <w:pPr>
        <w:spacing w:after="0" w:line="200" w:lineRule="exact"/>
        <w:rPr>
          <w:sz w:val="20"/>
          <w:szCs w:val="20"/>
          <w:color w:val="auto"/>
        </w:rPr>
      </w:pPr>
    </w:p>
    <w:p>
      <w:pPr>
        <w:spacing w:after="0" w:line="21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ASU 2014-09 implements a common revenue standard that clarifies the principles for recognizing revenue.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2015-14”) was issued in August 2015 which deferred adoption to annual reporting periods beginning after December 15, 2017, which was adopted during the three months ended September 30, 2018. The timing of the Company’s revenue recognition did not change. The Company’s largest portions of revenue, interest and fees on loans, interest and dividend income on securities and short-term investments, bank-owned life insurance income, and gain on sales of loans, are specifically excluded from the scope of the guidance. Additionally, fees for other services to customers includes loan servicing fee income which is accounted for under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(“Topic 860”), and is not subject to Topic 606. The other component of fees for other services to customers is deposit fees. The majority of the Company’s deposit fees are specifically related to a customer accessing its funds, in which case the revenue is currently recognized in a consistent manner with Topic</w:t>
      </w:r>
    </w:p>
    <w:p>
      <w:pPr>
        <w:spacing w:after="0" w:line="3" w:lineRule="exact"/>
        <w:rPr>
          <w:sz w:val="20"/>
          <w:szCs w:val="20"/>
          <w:color w:val="auto"/>
        </w:rPr>
      </w:pPr>
    </w:p>
    <w:p>
      <w:pPr>
        <w:ind w:right="60" w:firstLine="8"/>
        <w:spacing w:after="0" w:line="277"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that is not specifically related to a customer accessing its funds (i.e. account maintenance fees), can be waived; however, the amount of waived fees is not considered material, and thus the revenue is consistently recognized with Topic 606. All other revenue is also recognized in a manner consistent with Topic 606. Because of the above, the adoption did not have an impact on the Company’s consolidated financial statements.</w:t>
      </w:r>
    </w:p>
    <w:p>
      <w:pPr>
        <w:sectPr>
          <w:pgSz w:w="11900" w:h="16838" w:orient="portrait"/>
          <w:cols w:equalWidth="0" w:num="1">
            <w:col w:w="11400"/>
          </w:cols>
          <w:pgMar w:left="240" w:top="118" w:right="25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(“ASU 2016-01”). This guidance changes how entities account for equity investments that do not result in consolidation and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GAAP. The Company adopted this guidance during the three months ended September 30, 2018. This adoption resulted in a reclassification of $180 thousand from accumulated other comprehensive loss to retained earnings in the consolidated financial statements, with no net effect on shareholders' equity. In addition, the disclosure of the fair value of “Loans, net” in “Notes to Unaudited Consolidated Financial Statements – Note 10: Fair Value Measurements” is now calculated based on an exit pricing strategy versus an entry pricing strategy.</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results of operations. Upon adoption of ASU 2016-02 on July 1, 2019, the Company expects to record an asset of approximately $4.5 million and a liability of approximately $5.5 million on the Consolidated Balance Sheets as a result of recognizing the right-of-use assets and lease liabilities.</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has engaged an existing third-party service provider to assist in implementation.</w:t>
      </w:r>
    </w:p>
    <w:p>
      <w:pPr>
        <w:spacing w:after="0" w:line="19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which amends the scope of modification accounting for share-based payment arrangements. This update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was adopted during the three months ended September 30, 2018 and did not have an impact on the Company’s consolidated financial statements.</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(“ASU 2017-12”). This guidance permits hedge accounting for risk components in hedging relationships involving nonfinancial risk and interest rate risk, and improves the financial reporting of hedging relationships to better portray the economic results of an entity’s risk management activities in its financial statements.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consolidated financial statements.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(“ASU 2018-10”) and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2018-11”). The guidance provides clarification on the application of ASU 2016-02, specifically on certain narrow aspects of the guidance issued under ASU 2016-02, including comparative reporting requirements for initial adoption and, for lessors only, separating lease and non-lease components in a contract and allocating the consideration in the contract to the separate components. For entities that have not adopted ASU 2016-02 before the issuance of these updates, the amendments in this guidance are the same as the effective date and transition requirements in ASU 2016-02. The adoption of this guidance is not expected to have a significant impact on the Company’s consolidated financial statements.</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Measurements (Topic 820)</w:t>
      </w:r>
      <w:r>
        <w:rPr>
          <w:rFonts w:ascii="Arial" w:cs="Arial" w:eastAsia="Arial" w:hAnsi="Arial"/>
          <w:sz w:val="18"/>
          <w:szCs w:val="18"/>
          <w:color w:val="auto"/>
        </w:rPr>
        <w:t xml:space="preserve"> (“ASU 2018-13”). This update modifies disclosure requirements on fair value measurements in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This includes removing requirements related to transfers between Level 1 and Level 2, the policy of timing of transfers between levels, and the valuation process for Level 3 fair value measurements, modifying disclosure requirements related to investments in certain entities that calculate net asset value, and adding disclosure requirements for changes in unrealized gains and losses for recurring Level 3 fair value measurements and the range and weighted average of significant unobservable inputs used to develop Level 3 fair value measurements. The amendments in this guidance are effective for public business entities for fiscal years beginning after December 15, 2019, and interim periods within those fiscal years. Early adoption is permitted. The adoption of this guidance is not expected to have a significant impact on the Company’s consolidated financial statements.</w:t>
      </w:r>
    </w:p>
    <w:p>
      <w:pPr>
        <w:spacing w:after="0" w:line="19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 xml:space="preserve">In October 2018, the FASB issued ASU 2018-16, </w:t>
      </w:r>
      <w:r>
        <w:rPr>
          <w:rFonts w:ascii="Arial" w:cs="Arial" w:eastAsia="Arial" w:hAnsi="Arial"/>
          <w:sz w:val="16"/>
          <w:szCs w:val="16"/>
          <w:i w:val="1"/>
          <w:iCs w:val="1"/>
          <w:color w:val="auto"/>
        </w:rPr>
        <w:t>Derivatives and Hedging (Topic 815): Inclusion of the Secured Overnight Financing Rate (SOFR)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Overnight Index Swap (OIS) Rate as a Benchmark Interest Rate for Hedge Accounting Purposes </w:t>
      </w:r>
      <w:r>
        <w:rPr>
          <w:rFonts w:ascii="Arial" w:cs="Arial" w:eastAsia="Arial" w:hAnsi="Arial"/>
          <w:sz w:val="16"/>
          <w:szCs w:val="16"/>
          <w:color w:val="auto"/>
        </w:rPr>
        <w:t>(“ASU 2018-16”). This guidance permits the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Overnight Index Swap rate based on the Secured Overnight Financing Rate as a U.S. benchmark interest rate, in addition to the London Interbank Offered Rate (“LIBOR”) swap rate due to concerns about the sustainability of LIBOR. The amendments in this update are required to be adopted concurrently with ASU 2017-12. The adoption of this guidance is not expected to have a significant impact on the Company’s consolidated financial statements.</w:t>
      </w:r>
    </w:p>
    <w:p>
      <w:pPr>
        <w:sectPr>
          <w:pgSz w:w="11900" w:h="16838" w:orient="portrait"/>
          <w:cols w:equalWidth="0" w:num="1">
            <w:col w:w="11420"/>
          </w:cols>
          <w:pgMar w:left="240" w:top="118"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summary of the amortized cost, gross unrealized holding gains and losses, and fair value of investment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color w:val="auto"/>
                <w:w w:val="91"/>
              </w:rPr>
              <w:t>March 31, 2019</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57,126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19,812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6,819</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84,341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83,757</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color w:val="auto"/>
                <w:w w:val="89"/>
              </w:rPr>
              <w:t>June 30, 2018</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89,271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87,687</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2019 and June 30, 2018, the Company held no securities of any single issuer (excluding the U. S. Government and government agencies) with a book value that exceeded 10% of shareholders’ equity.</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nine months ended March 31, 2019 or 2018. At March 31, 2019,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92"/>
              </w:rPr>
              <w:t>March 31, 2019</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Equity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Equity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27,253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86,144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nine months ended March 31, 2019 or 2018.</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March 31, 2019, the Company had 30 securities in an unrealized loss position. At March 31, 2019, all of the Company’s available-for-sale securities were issued or guaranteed by either government agencies or government-sponsored enterprises. The decline in fair value of the Company’s investment securities at March 31, 2019 is attributable to changes in interest rates.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March 31, 2019, the Company does not intend to sell and it is not more likely than not that the Company will be required to sell the investment securities before recovery of its amortized cost. As such, management does not believe any of the Company’s investment securities are other-than-temporarily impaired at March 31, 2019.</w:t>
      </w:r>
    </w:p>
    <w:p>
      <w:pPr>
        <w:sectPr>
          <w:pgSz w:w="11900" w:h="16838" w:orient="portrait"/>
          <w:cols w:equalWidth="0" w:num="1">
            <w:col w:w="11420"/>
          </w:cols>
          <w:pgMar w:left="240" w:top="118" w:right="239" w:bottom="157"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 SBA 7(a) loans, as applicable. As of March 31, 2019, the effective duration of the fund that seeks to invest in securities either issued or guaranteed by the U.S. government or its agencies is 4.30 years.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ASU 2016-01, </w:t>
      </w:r>
      <w:r>
        <w:rPr>
          <w:rFonts w:ascii="Arial" w:cs="Arial" w:eastAsia="Arial" w:hAnsi="Arial"/>
          <w:sz w:val="18"/>
          <w:szCs w:val="18"/>
          <w:i w:val="1"/>
          <w:iCs w:val="1"/>
          <w:color w:val="auto"/>
        </w:rPr>
        <w:t>Recognition and Measurements of Financial Assets and Financial Liabilities</w:t>
      </w:r>
      <w:r>
        <w:rPr>
          <w:rFonts w:ascii="Arial" w:cs="Arial" w:eastAsia="Arial" w:hAnsi="Arial"/>
          <w:sz w:val="18"/>
          <w:szCs w:val="18"/>
          <w:color w:val="auto"/>
        </w:rPr>
        <w:t>, was adopted on July 1, 2018, and a cumulative effect adjustment of $180 thousand was recorded to reclassify the amount of accumulated unrealized losses, net, related to equity securities from accumulated other comprehensive loss to retained earnings. For the three and nine months ended March 31, 2019, the Company recognized net unrealized gains on equity securities of $65 thousand and $75 thousand, respectively.</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amortized cost and fair values of available-for-sale debt securities by contractual maturity are shown below as of March 31, 2019. Actual maturities may differ from contractual maturities because borrowers may have the right to prepay obligations with or without prepayment penalties.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Amortized 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20,014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36,960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37,112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U.S. Government agency securities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57,126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20,328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19,812</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76,938</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in full,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and interest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March 31, 2019</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2018</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Originated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278,750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583,593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249,428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525,479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181,800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182,795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60,156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14,726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86,202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100,128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641,327</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320,326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961,653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580,830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871,802</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Total loans include deferred loan origination costs, net, of $79 thousand and $223 thousand as of March 31, 2019 and June 30, 2018,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March 31, 2019</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ind w:left="80"/>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spacing w:after="0" w:line="195" w:lineRule="exact"/>
              <w:rPr>
                <w:sz w:val="20"/>
                <w:szCs w:val="20"/>
                <w:color w:val="auto"/>
              </w:rPr>
            </w:pPr>
            <w:r>
              <w:rPr>
                <w:rFonts w:ascii="Arial" w:cs="Arial" w:eastAsia="Arial" w:hAnsi="Arial"/>
                <w:sz w:val="18"/>
                <w:szCs w:val="18"/>
                <w:color w:val="auto"/>
              </w:rPr>
              <w:t>Past Due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Past Due</w:t>
            </w: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Past Due</w:t>
            </w:r>
          </w:p>
        </w:tc>
        <w:tc>
          <w:tcPr>
            <w:tcW w:w="900" w:type="dxa"/>
            <w:vAlign w:val="bottom"/>
            <w:gridSpan w:val="3"/>
          </w:tcPr>
          <w:p>
            <w:pPr>
              <w:spacing w:after="0"/>
              <w:rPr>
                <w:sz w:val="20"/>
                <w:szCs w:val="20"/>
                <w:color w:val="auto"/>
              </w:rPr>
            </w:pPr>
            <w:r>
              <w:rPr>
                <w:rFonts w:ascii="Arial" w:cs="Arial" w:eastAsia="Arial" w:hAnsi="Arial"/>
                <w:sz w:val="18"/>
                <w:szCs w:val="18"/>
                <w:color w:val="auto"/>
              </w:rPr>
              <w:t>90 Days or</w:t>
            </w:r>
          </w:p>
        </w:tc>
        <w:tc>
          <w:tcPr>
            <w:tcW w:w="1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90 Days or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More-Still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More-</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Total Past</w:t>
            </w:r>
          </w:p>
        </w:tc>
        <w:tc>
          <w:tcPr>
            <w:tcW w:w="1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1040" w:type="dxa"/>
            <w:vAlign w:val="bottom"/>
            <w:gridSpan w:val="4"/>
          </w:tcPr>
          <w:p>
            <w:pPr>
              <w:ind w:left="100"/>
              <w:spacing w:after="0"/>
              <w:rPr>
                <w:sz w:val="20"/>
                <w:szCs w:val="20"/>
                <w:color w:val="auto"/>
              </w:rPr>
            </w:pPr>
            <w:r>
              <w:rPr>
                <w:rFonts w:ascii="Arial" w:cs="Arial" w:eastAsia="Arial" w:hAnsi="Arial"/>
                <w:sz w:val="18"/>
                <w:szCs w:val="18"/>
                <w:color w:val="auto"/>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Days</w:t>
            </w:r>
          </w:p>
        </w:tc>
        <w:tc>
          <w:tcPr>
            <w:tcW w:w="140" w:type="dxa"/>
            <w:vAlign w:val="bottom"/>
          </w:tcPr>
          <w:p>
            <w:pPr>
              <w:spacing w:after="0"/>
              <w:rPr>
                <w:sz w:val="20"/>
                <w:szCs w:val="20"/>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Days</w:t>
            </w:r>
          </w:p>
        </w:tc>
        <w:tc>
          <w:tcPr>
            <w:tcW w:w="740" w:type="dxa"/>
            <w:vAlign w:val="bottom"/>
          </w:tcPr>
          <w:p>
            <w:pPr>
              <w:ind w:left="60"/>
              <w:spacing w:after="0"/>
              <w:rPr>
                <w:sz w:val="20"/>
                <w:szCs w:val="20"/>
                <w:color w:val="auto"/>
              </w:rPr>
            </w:pPr>
            <w:r>
              <w:rPr>
                <w:rFonts w:ascii="Arial" w:cs="Arial" w:eastAsia="Arial" w:hAnsi="Arial"/>
                <w:sz w:val="18"/>
                <w:szCs w:val="18"/>
                <w:color w:val="auto"/>
                <w:w w:val="94"/>
              </w:rPr>
              <w:t>Accruing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ind w:left="120"/>
              <w:spacing w:after="0"/>
              <w:rPr>
                <w:sz w:val="20"/>
                <w:szCs w:val="20"/>
                <w:color w:val="auto"/>
              </w:rPr>
            </w:pPr>
            <w:r>
              <w:rPr>
                <w:rFonts w:ascii="Arial" w:cs="Arial" w:eastAsia="Arial" w:hAnsi="Arial"/>
                <w:sz w:val="18"/>
                <w:szCs w:val="18"/>
                <w:color w:val="auto"/>
              </w:rPr>
              <w:t>Nonaccrual</w:t>
            </w:r>
          </w:p>
        </w:tc>
        <w:tc>
          <w:tcPr>
            <w:tcW w:w="180" w:type="dxa"/>
            <w:vAlign w:val="bottom"/>
          </w:tcPr>
          <w:p>
            <w:pPr>
              <w:spacing w:after="0"/>
              <w:rPr>
                <w:sz w:val="20"/>
                <w:szCs w:val="2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Current</w:t>
            </w: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1"/>
              </w:rPr>
              <w:t>(Dollars in</w:t>
            </w:r>
          </w:p>
        </w:tc>
        <w:tc>
          <w:tcPr>
            <w:tcW w:w="200" w:type="dxa"/>
            <w:vAlign w:val="bottom"/>
          </w:tcPr>
          <w:p>
            <w:pPr>
              <w:spacing w:after="0"/>
              <w:rPr>
                <w:sz w:val="18"/>
                <w:szCs w:val="18"/>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thousands)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2,522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275,724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278,750</w:t>
            </w:r>
          </w:p>
        </w:tc>
        <w:tc>
          <w:tcPr>
            <w:tcW w:w="10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2,128</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74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1,614</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59,557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63,653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68,241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1,671</w:t>
            </w: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641,327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648</w:t>
            </w: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6,081</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648</w:t>
            </w:r>
          </w:p>
        </w:tc>
        <w:tc>
          <w:tcPr>
            <w:tcW w:w="74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9,360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310,966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320,326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8,079</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940,901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961,653</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color w:val="auto"/>
              </w:rPr>
              <w:t>June 30, 2018</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ind w:left="80"/>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spacing w:after="0" w:line="195" w:lineRule="exact"/>
              <w:rPr>
                <w:sz w:val="20"/>
                <w:szCs w:val="20"/>
                <w:color w:val="auto"/>
              </w:rPr>
            </w:pPr>
            <w:r>
              <w:rPr>
                <w:rFonts w:ascii="Arial" w:cs="Arial" w:eastAsia="Arial" w:hAnsi="Arial"/>
                <w:sz w:val="18"/>
                <w:szCs w:val="18"/>
                <w:color w:val="auto"/>
              </w:rPr>
              <w:t>Past Due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Past Due</w:t>
            </w: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Past Due</w:t>
            </w:r>
          </w:p>
        </w:tc>
        <w:tc>
          <w:tcPr>
            <w:tcW w:w="900" w:type="dxa"/>
            <w:vAlign w:val="bottom"/>
            <w:gridSpan w:val="3"/>
          </w:tcPr>
          <w:p>
            <w:pPr>
              <w:spacing w:after="0"/>
              <w:rPr>
                <w:sz w:val="20"/>
                <w:szCs w:val="20"/>
                <w:color w:val="auto"/>
              </w:rPr>
            </w:pPr>
            <w:r>
              <w:rPr>
                <w:rFonts w:ascii="Arial" w:cs="Arial" w:eastAsia="Arial" w:hAnsi="Arial"/>
                <w:sz w:val="18"/>
                <w:szCs w:val="18"/>
                <w:color w:val="auto"/>
              </w:rPr>
              <w:t>90 Days or</w:t>
            </w:r>
          </w:p>
        </w:tc>
        <w:tc>
          <w:tcPr>
            <w:tcW w:w="1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90 Days or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More-Still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More-</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Total Past</w:t>
            </w:r>
          </w:p>
        </w:tc>
        <w:tc>
          <w:tcPr>
            <w:tcW w:w="1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1040" w:type="dxa"/>
            <w:vAlign w:val="bottom"/>
            <w:gridSpan w:val="4"/>
          </w:tcPr>
          <w:p>
            <w:pPr>
              <w:ind w:left="100"/>
              <w:spacing w:after="0"/>
              <w:rPr>
                <w:sz w:val="20"/>
                <w:szCs w:val="20"/>
                <w:color w:val="auto"/>
              </w:rPr>
            </w:pPr>
            <w:r>
              <w:rPr>
                <w:rFonts w:ascii="Arial" w:cs="Arial" w:eastAsia="Arial" w:hAnsi="Arial"/>
                <w:sz w:val="18"/>
                <w:szCs w:val="18"/>
                <w:color w:val="auto"/>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Days</w:t>
            </w:r>
          </w:p>
        </w:tc>
        <w:tc>
          <w:tcPr>
            <w:tcW w:w="140" w:type="dxa"/>
            <w:vAlign w:val="bottom"/>
          </w:tcPr>
          <w:p>
            <w:pPr>
              <w:spacing w:after="0"/>
              <w:rPr>
                <w:sz w:val="20"/>
                <w:szCs w:val="20"/>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Days</w:t>
            </w:r>
          </w:p>
        </w:tc>
        <w:tc>
          <w:tcPr>
            <w:tcW w:w="740" w:type="dxa"/>
            <w:vAlign w:val="bottom"/>
          </w:tcPr>
          <w:p>
            <w:pPr>
              <w:ind w:left="60"/>
              <w:spacing w:after="0"/>
              <w:rPr>
                <w:sz w:val="20"/>
                <w:szCs w:val="20"/>
                <w:color w:val="auto"/>
              </w:rPr>
            </w:pPr>
            <w:r>
              <w:rPr>
                <w:rFonts w:ascii="Arial" w:cs="Arial" w:eastAsia="Arial" w:hAnsi="Arial"/>
                <w:sz w:val="18"/>
                <w:szCs w:val="18"/>
                <w:color w:val="auto"/>
                <w:w w:val="94"/>
              </w:rPr>
              <w:t>Accruing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ind w:left="120"/>
              <w:spacing w:after="0"/>
              <w:rPr>
                <w:sz w:val="20"/>
                <w:szCs w:val="20"/>
                <w:color w:val="auto"/>
              </w:rPr>
            </w:pPr>
            <w:r>
              <w:rPr>
                <w:rFonts w:ascii="Arial" w:cs="Arial" w:eastAsia="Arial" w:hAnsi="Arial"/>
                <w:sz w:val="18"/>
                <w:szCs w:val="18"/>
                <w:color w:val="auto"/>
              </w:rPr>
              <w:t>Nonaccrual</w:t>
            </w:r>
          </w:p>
        </w:tc>
        <w:tc>
          <w:tcPr>
            <w:tcW w:w="180" w:type="dxa"/>
            <w:vAlign w:val="bottom"/>
          </w:tcPr>
          <w:p>
            <w:pPr>
              <w:spacing w:after="0"/>
              <w:rPr>
                <w:sz w:val="20"/>
                <w:szCs w:val="2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Current</w:t>
            </w: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1"/>
              </w:rPr>
              <w:t>(Dollars in</w:t>
            </w:r>
          </w:p>
        </w:tc>
        <w:tc>
          <w:tcPr>
            <w:tcW w:w="200" w:type="dxa"/>
            <w:vAlign w:val="bottom"/>
          </w:tcPr>
          <w:p>
            <w:pPr>
              <w:spacing w:after="0"/>
              <w:rPr>
                <w:sz w:val="18"/>
                <w:szCs w:val="18"/>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thousands)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249,093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249,428</w:t>
            </w:r>
          </w:p>
        </w:tc>
        <w:tc>
          <w:tcPr>
            <w:tcW w:w="10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181,800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59,325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84,173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w:t>
            </w: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74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3,379</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4,329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286,643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290,972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864,068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871,802</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estimated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purchased loans, and SBA loans. Risk characteristics relevant to each portfolio segment are as follows:</w:t>
      </w:r>
    </w:p>
    <w:p>
      <w:pPr>
        <w:spacing w:after="0" w:line="188" w:lineRule="exact"/>
        <w:rPr>
          <w:sz w:val="20"/>
          <w:szCs w:val="20"/>
          <w:color w:val="auto"/>
        </w:rPr>
      </w:pPr>
    </w:p>
    <w:p>
      <w:pPr>
        <w:ind w:left="480" w:right="12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480" w:right="460"/>
        <w:spacing w:after="0" w:line="302" w:lineRule="auto"/>
        <w:rPr>
          <w:sz w:val="20"/>
          <w:szCs w:val="20"/>
          <w:color w:val="auto"/>
        </w:rPr>
      </w:pPr>
      <w:r>
        <w:rPr>
          <w:rFonts w:ascii="Arial" w:cs="Arial" w:eastAsia="Arial" w:hAnsi="Arial"/>
          <w:sz w:val="16"/>
          <w:szCs w:val="16"/>
          <w:color w:val="auto"/>
        </w:rPr>
        <w:t>Commercial and industrial: Loans in this segment are made to businesses and are generally secured by the assets of the business. Repayment is expected from the cash flows of the business. This segment also includes loans to non-bank lenders, which are generally secured by a collateral assignment of the notes and mortgages on loans originated by the non-bank lenders. Weakness in national or regional economic conditions, and a corresponding weakness in consumer or business spending, will have an adverse effect on the credit quality of this segment.</w:t>
      </w:r>
    </w:p>
    <w:p>
      <w:pPr>
        <w:spacing w:after="0" w:line="154"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left="480" w:right="140"/>
        <w:spacing w:after="0" w:line="257" w:lineRule="auto"/>
        <w:rPr>
          <w:sz w:val="20"/>
          <w:szCs w:val="20"/>
          <w:color w:val="auto"/>
        </w:rPr>
      </w:pPr>
      <w:r>
        <w:rPr>
          <w:rFonts w:ascii="Arial" w:cs="Arial" w:eastAsia="Arial" w:hAnsi="Arial"/>
          <w:sz w:val="18"/>
          <w:szCs w:val="18"/>
          <w:color w:val="auto"/>
        </w:rPr>
        <w:t>SBA: Loans in this segment are comprised of both commercial real estate and commercial and industrial loans to small businesses, underwritten and originated by the Bank’s national SBA group (“SBA Division”). Loans are underwritten and originated primarily in accordance with SBA 7(a) guidelines, and are partially guaranteed by the SBA. Loans are primarily secured by income-producing properties and/or assets of the businesses or borrowers. Adverse developments in national or regional economic conditions, and a corresponding weakness in consumer or business spending, will have an adverse effect on the credit quality of this segment.</w:t>
      </w:r>
    </w:p>
    <w:p>
      <w:pPr>
        <w:spacing w:after="0" w:line="188" w:lineRule="exact"/>
        <w:rPr>
          <w:sz w:val="20"/>
          <w:szCs w:val="20"/>
          <w:color w:val="auto"/>
        </w:rPr>
      </w:pPr>
    </w:p>
    <w:p>
      <w:pPr>
        <w:ind w:left="48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ectPr>
          <w:pgSz w:w="11900" w:h="16838" w:orient="portrait"/>
          <w:cols w:equalWidth="0" w:num="1">
            <w:col w:w="11400"/>
          </w:cols>
          <w:pgMar w:left="240" w:top="118"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1"/>
              </w:rPr>
              <w:t>Three Months Ended March 31, 2019</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9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6"/>
                <w:szCs w:val="16"/>
                <w:color w:val="auto"/>
              </w:rPr>
            </w:pPr>
          </w:p>
        </w:tc>
        <w:tc>
          <w:tcPr>
            <w:tcW w:w="116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7"/>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Provision (credit)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Charge-offs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1"/>
              </w:rPr>
              <w:t>Three Months Ended March 31, 2018</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9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6"/>
                <w:szCs w:val="16"/>
                <w:color w:val="auto"/>
              </w:rPr>
            </w:pPr>
          </w:p>
        </w:tc>
        <w:tc>
          <w:tcPr>
            <w:tcW w:w="116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7"/>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Provision (credit)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169</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Charge-offs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r>
      <w:tr>
        <w:trPr>
          <w:trHeight w:val="398"/>
        </w:trPr>
        <w:tc>
          <w:tcPr>
            <w:tcW w:w="24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Residential</w:t>
            </w: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1"/>
              </w:rPr>
              <w:t>Commercial</w:t>
            </w: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Commercial</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Provision (credit)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Charge-offs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1"/>
              </w:rPr>
              <w:t>Nine Months Ended March 31, 2018</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9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6"/>
                <w:szCs w:val="16"/>
                <w:color w:val="auto"/>
              </w:rPr>
            </w:pPr>
          </w:p>
        </w:tc>
        <w:tc>
          <w:tcPr>
            <w:tcW w:w="116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7"/>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Provision (credit)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386</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Charge-offs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rPr>
              <w:t>March 31, 2019</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w w:val="94"/>
              </w:rPr>
              <w:t>Residential</w:t>
            </w:r>
          </w:p>
        </w:tc>
        <w:tc>
          <w:tcPr>
            <w:tcW w:w="120" w:type="dxa"/>
            <w:vAlign w:val="bottom"/>
          </w:tcPr>
          <w:p>
            <w:pPr>
              <w:spacing w:after="0"/>
              <w:rPr>
                <w:sz w:val="16"/>
                <w:szCs w:val="16"/>
                <w:color w:val="auto"/>
              </w:rPr>
            </w:pPr>
          </w:p>
        </w:tc>
        <w:tc>
          <w:tcPr>
            <w:tcW w:w="11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14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w w:val="97"/>
              </w:rPr>
              <w:t>Commercial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7"/>
          </w:tcPr>
          <w:p>
            <w:pPr>
              <w:jc w:val="right"/>
              <w:ind w:right="110"/>
              <w:spacing w:after="0"/>
              <w:rPr>
                <w:sz w:val="20"/>
                <w:szCs w:val="20"/>
                <w:color w:val="auto"/>
              </w:rPr>
            </w:pPr>
            <w:r>
              <w:rPr>
                <w:rFonts w:ascii="Arial" w:cs="Arial" w:eastAsia="Arial" w:hAnsi="Arial"/>
                <w:sz w:val="18"/>
                <w:szCs w:val="18"/>
                <w:color w:val="auto"/>
              </w:rPr>
              <w:t>(Dollars in thousands)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ASC 310-30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4,546</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3,765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6,916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274,985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217,416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ASC 310-30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320,326</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72,026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278,750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224,332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320,326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June 30,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2"/>
              </w:rPr>
              <w:t>Residential</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14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gridSpan w:val="7"/>
          </w:tcPr>
          <w:p>
            <w:pPr>
              <w:jc w:val="right"/>
              <w:ind w:right="25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60" w:type="dxa"/>
            <w:vAlign w:val="bottom"/>
            <w:gridSpan w:val="2"/>
          </w:tcPr>
          <w:p>
            <w:pPr>
              <w:jc w:val="right"/>
              <w:ind w:right="20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1,275</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3,633</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10"/>
        </w:trPr>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-719455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-445135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-162560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720"/>
            <w:col w:w="7960"/>
          </w:cols>
          <w:pgMar w:left="240" w:top="118" w:right="239" w:bottom="177"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11,864</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246,741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568,966</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ASC 310-30</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290,972</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r>
      <w:tr>
        <w:trPr>
          <w:trHeight w:val="20"/>
        </w:trPr>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86,202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249,428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290,972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871,802</w:t>
            </w:r>
          </w:p>
        </w:tc>
      </w:tr>
      <w:tr>
        <w:trPr>
          <w:trHeight w:val="20"/>
        </w:trPr>
        <w:tc>
          <w:tcPr>
            <w:tcW w:w="2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1"/>
              </w:rPr>
              <w:t>March 31, 2019</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2018</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Investment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3,162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14,386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3,817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4,748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9,486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77"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77"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8"/>
          </w:tcPr>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color w:val="auto"/>
                <w:w w:val="90"/>
              </w:rPr>
              <w:t>Three Months Ended March 31,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2018</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6"/>
                <w:szCs w:val="16"/>
                <w:color w:val="auto"/>
              </w:rPr>
            </w:pPr>
          </w:p>
        </w:tc>
        <w:tc>
          <w:tcPr>
            <w:tcW w:w="12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Interest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6"/>
                <w:szCs w:val="16"/>
                <w:color w:val="auto"/>
              </w:rPr>
            </w:pPr>
          </w:p>
        </w:tc>
        <w:tc>
          <w:tcPr>
            <w:tcW w:w="118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Recorded</w:t>
            </w:r>
          </w:p>
        </w:tc>
        <w:tc>
          <w:tcPr>
            <w:tcW w:w="1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Recognized</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440"/>
              <w:spacing w:after="0"/>
              <w:rPr>
                <w:sz w:val="20"/>
                <w:szCs w:val="20"/>
                <w:color w:val="auto"/>
              </w:rPr>
            </w:pPr>
            <w:r>
              <w:rPr>
                <w:rFonts w:ascii="Arial" w:cs="Arial" w:eastAsia="Arial" w:hAnsi="Arial"/>
                <w:sz w:val="18"/>
                <w:szCs w:val="18"/>
                <w:color w:val="auto"/>
                <w:w w:val="91"/>
              </w:rPr>
              <w:t>(Dollars in thousands)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2,887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18,263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2,427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SBA</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27,269</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28,175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92"/>
              </w:rPr>
              <w:t>Nine Months Ended March 31,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2018</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6"/>
                <w:szCs w:val="16"/>
                <w:color w:val="auto"/>
              </w:rPr>
            </w:pPr>
          </w:p>
        </w:tc>
        <w:tc>
          <w:tcPr>
            <w:tcW w:w="12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Interest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6"/>
                <w:szCs w:val="16"/>
                <w:color w:val="auto"/>
              </w:rPr>
            </w:pPr>
          </w:p>
        </w:tc>
        <w:tc>
          <w:tcPr>
            <w:tcW w:w="118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Recorded</w:t>
            </w:r>
          </w:p>
        </w:tc>
        <w:tc>
          <w:tcPr>
            <w:tcW w:w="1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Recognized</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440"/>
              <w:spacing w:after="0"/>
              <w:rPr>
                <w:sz w:val="20"/>
                <w:szCs w:val="20"/>
                <w:color w:val="auto"/>
              </w:rPr>
            </w:pPr>
            <w:r>
              <w:rPr>
                <w:rFonts w:ascii="Arial" w:cs="Arial" w:eastAsia="Arial" w:hAnsi="Arial"/>
                <w:sz w:val="18"/>
                <w:szCs w:val="18"/>
                <w:color w:val="auto"/>
                <w:w w:val="91"/>
              </w:rPr>
              <w:t>(Dollars in thousands)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9,292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17,918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SBA</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25,872</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26,633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325"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25"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4"/>
          </w:tcPr>
          <w:p>
            <w:pPr>
              <w:jc w:val="center"/>
              <w:ind w:left="190"/>
              <w:spacing w:after="0"/>
              <w:rPr>
                <w:sz w:val="20"/>
                <w:szCs w:val="20"/>
                <w:color w:val="auto"/>
              </w:rPr>
            </w:pPr>
            <w:r>
              <w:rPr>
                <w:rFonts w:ascii="Arial" w:cs="Arial" w:eastAsia="Arial" w:hAnsi="Arial"/>
                <w:sz w:val="18"/>
                <w:szCs w:val="18"/>
                <w:color w:val="auto"/>
                <w:w w:val="92"/>
              </w:rPr>
              <w:t>March 31, 2019</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3"/>
              </w:rPr>
              <w:t>Commercial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Residential</w:t>
            </w:r>
            <w:r>
              <w:rPr>
                <w:rFonts w:ascii="Arial" w:cs="Arial" w:eastAsia="Arial" w:hAnsi="Arial"/>
                <w:sz w:val="30"/>
                <w:szCs w:val="30"/>
                <w:color w:val="auto"/>
                <w:w w:val="91"/>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gridSpan w:val="2"/>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56,188</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874,291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6,902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16,363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278,750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224,332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63,653</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15,182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320,326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902,243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color w:val="auto"/>
                <w:w w:val="87"/>
              </w:rPr>
              <w:t>June 30, 2018</w:t>
            </w: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3"/>
              </w:rPr>
              <w:t>Commercial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Residential</w:t>
            </w:r>
            <w:r>
              <w:rPr>
                <w:rFonts w:ascii="Arial" w:cs="Arial" w:eastAsia="Arial" w:hAnsi="Arial"/>
                <w:sz w:val="30"/>
                <w:szCs w:val="30"/>
                <w:color w:val="auto"/>
                <w:w w:val="91"/>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gridSpan w:val="2"/>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54,730</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774,866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249,428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181,800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60,156</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14,326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796,682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right="2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4"/>
              </w:rPr>
              <w:t>Nine Months Ended March 31,</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94"/>
              </w:rPr>
              <w:t>2018</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w w:val="99"/>
              </w:rPr>
              <w:t>Number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6"/>
                <w:szCs w:val="16"/>
                <w:color w:val="auto"/>
              </w:rPr>
            </w:pPr>
          </w:p>
        </w:tc>
        <w:tc>
          <w:tcPr>
            <w:tcW w:w="11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7"/>
              </w:rPr>
              <w:t>Number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30"/>
        </w:trPr>
        <w:tc>
          <w:tcPr>
            <w:tcW w:w="2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Contracts</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Contracts</w:t>
            </w:r>
          </w:p>
        </w:tc>
        <w:tc>
          <w:tcPr>
            <w:tcW w:w="10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r>
      <w:tr>
        <w:trPr>
          <w:trHeight w:val="210"/>
        </w:trPr>
        <w:tc>
          <w:tcPr>
            <w:tcW w:w="24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(Dollars in</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ind w:right="250"/>
              <w:spacing w:after="0"/>
              <w:rPr>
                <w:sz w:val="20"/>
                <w:szCs w:val="20"/>
                <w:color w:val="auto"/>
              </w:rPr>
            </w:pPr>
            <w:r>
              <w:rPr>
                <w:rFonts w:ascii="Arial" w:cs="Arial" w:eastAsia="Arial" w:hAnsi="Arial"/>
                <w:sz w:val="17"/>
                <w:szCs w:val="17"/>
                <w:color w:val="auto"/>
                <w:w w:val="71"/>
              </w:rPr>
              <w:t>thousands)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2,418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3,356</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2,528</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5,762</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Three Months Ended March 31,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6"/>
                <w:szCs w:val="16"/>
                <w:color w:val="auto"/>
              </w:rPr>
            </w:pPr>
          </w:p>
        </w:tc>
        <w:tc>
          <w:tcPr>
            <w:tcW w:w="11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Post-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Total originated portfolio</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Nine Months Ended March 31,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6"/>
                <w:szCs w:val="16"/>
                <w:color w:val="auto"/>
              </w:rPr>
            </w:pPr>
          </w:p>
        </w:tc>
        <w:tc>
          <w:tcPr>
            <w:tcW w:w="11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Post-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Two loans modified in a TDR in the last twelve months totaling $1.5 million defaulted during both the three and nine months ended March 31, 2019. As of March 31, 2019, there were no further commitments to lend to borrowers associated with loans modified in a TDR.</w:t>
      </w:r>
    </w:p>
    <w:p>
      <w:pPr>
        <w:sectPr>
          <w:pgSz w:w="11900" w:h="16838" w:orient="portrait"/>
          <w:cols w:equalWidth="0" w:num="1">
            <w:col w:w="11420"/>
          </w:cols>
          <w:pgMar w:left="240" w:top="118" w:right="239" w:bottom="1095"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95"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color w:val="auto"/>
                <w:w w:val="98"/>
              </w:rPr>
              <w:t>Three Months Ended</w:t>
            </w: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March 31, 2019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2018</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5"/>
          </w:tcPr>
          <w:p>
            <w:pPr>
              <w:jc w:val="right"/>
              <w:ind w:right="92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(841)</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50,761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Accretable yield</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(17,740)</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33,021</w:t>
            </w:r>
          </w:p>
        </w:tc>
      </w:tr>
      <w:tr>
        <w:trPr>
          <w:trHeight w:val="398"/>
        </w:trPr>
        <w:tc>
          <w:tcPr>
            <w:tcW w:w="5780" w:type="dxa"/>
            <w:vAlign w:val="bottom"/>
            <w:tcBorders>
              <w:top w:val="single" w:sz="8" w:color="CCEEFF"/>
            </w:tcBorders>
          </w:tcPr>
          <w:p>
            <w:pPr>
              <w:spacing w:after="0"/>
              <w:rPr>
                <w:sz w:val="24"/>
                <w:szCs w:val="24"/>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Nine Months Ended</w:t>
            </w:r>
          </w:p>
        </w:tc>
        <w:tc>
          <w:tcPr>
            <w:tcW w:w="160" w:type="dxa"/>
            <w:vAlign w:val="bottom"/>
            <w:tcBorders>
              <w:top w:val="single" w:sz="8" w:color="CCEEFF"/>
            </w:tcBorders>
          </w:tcPr>
          <w:p>
            <w:pPr>
              <w:spacing w:after="0"/>
              <w:rPr>
                <w:sz w:val="24"/>
                <w:szCs w:val="24"/>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Nine Months Ended</w:t>
            </w:r>
          </w:p>
        </w:tc>
        <w:tc>
          <w:tcPr>
            <w:tcW w:w="80" w:type="dxa"/>
            <w:vAlign w:val="bottom"/>
            <w:tcBorders>
              <w:top w:val="single" w:sz="8" w:color="CCEEFF"/>
            </w:tcBorders>
          </w:tcPr>
          <w:p>
            <w:pPr>
              <w:spacing w:after="0"/>
              <w:rPr>
                <w:sz w:val="24"/>
                <w:szCs w:val="24"/>
                <w:color w:val="auto"/>
              </w:rPr>
            </w:pPr>
          </w:p>
        </w:tc>
      </w:t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March 31, 2019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2018</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5"/>
          </w:tcPr>
          <w:p>
            <w:pPr>
              <w:jc w:val="right"/>
              <w:ind w:right="92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106,922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(2,665)</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125,985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104,257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Accretable yield</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(37,244)</w:t>
            </w: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(32,783)</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71,474</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80" w:type="dxa"/>
            <w:vAlign w:val="bottom"/>
            <w:gridSpan w:val="3"/>
          </w:tcPr>
          <w:p>
            <w:pPr>
              <w:ind w:left="60"/>
              <w:spacing w:after="0"/>
              <w:rPr>
                <w:sz w:val="20"/>
                <w:szCs w:val="20"/>
                <w:color w:val="auto"/>
              </w:rPr>
            </w:pPr>
            <w:r>
              <w:rPr>
                <w:rFonts w:ascii="Arial" w:cs="Arial" w:eastAsia="Arial" w:hAnsi="Arial"/>
                <w:sz w:val="18"/>
                <w:szCs w:val="18"/>
                <w:color w:val="auto"/>
                <w:w w:val="96"/>
              </w:rPr>
              <w:t>As of and for the Three Months</w:t>
            </w:r>
          </w:p>
        </w:tc>
        <w:tc>
          <w:tcPr>
            <w:tcW w:w="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As of and for the Nine 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6"/>
              </w:rPr>
              <w:t>Ended March 31, 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Ended March 31, 2019</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gridSpan w:val="4"/>
          </w:tcPr>
          <w:p>
            <w:pPr>
              <w:jc w:val="right"/>
              <w:ind w:right="149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213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Loans at end of period</w:t>
            </w:r>
          </w:p>
        </w:tc>
        <w:tc>
          <w:tcPr>
            <w:tcW w:w="240" w:type="dxa"/>
            <w:vAlign w:val="bottom"/>
          </w:tcPr>
          <w:p>
            <w:pPr>
              <w:spacing w:after="0"/>
              <w:rPr>
                <w:sz w:val="20"/>
                <w:szCs w:val="20"/>
                <w:color w:val="auto"/>
              </w:rPr>
            </w:pP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4,950</w:t>
            </w:r>
          </w:p>
        </w:tc>
        <w:tc>
          <w:tcPr>
            <w:tcW w:w="2540" w:type="dxa"/>
            <w:vAlign w:val="bottom"/>
            <w:gridSpan w:val="4"/>
          </w:tcPr>
          <w:p>
            <w:pPr>
              <w:jc w:val="right"/>
              <w:ind w:right="80"/>
              <w:spacing w:after="0"/>
              <w:rPr>
                <w:sz w:val="20"/>
                <w:szCs w:val="20"/>
                <w:color w:val="auto"/>
              </w:rPr>
            </w:pPr>
            <w:r>
              <w:rPr>
                <w:rFonts w:ascii="Arial" w:cs="Arial" w:eastAsia="Arial" w:hAnsi="Arial"/>
                <w:sz w:val="18"/>
                <w:szCs w:val="18"/>
                <w:color w:val="auto"/>
              </w:rPr>
              <w:t>4,950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March 31, 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2018</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jc w:val="right"/>
              <w:ind w:right="92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124,903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17,740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w:t>
            </w:r>
          </w:p>
        </w:tc>
      </w:tr>
      <w:tr>
        <w:trPr>
          <w:trHeight w:val="210"/>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143,088</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131,207</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578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color w:val="auto"/>
              </w:rPr>
              <w:t>Nine Months Ended</w:t>
            </w:r>
          </w:p>
        </w:tc>
        <w:tc>
          <w:tcPr>
            <w:tcW w:w="40" w:type="dxa"/>
            <w:vAlign w:val="bottom"/>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Nine Months Ended</w:t>
            </w:r>
          </w:p>
        </w:tc>
      </w:t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March 31, 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2018</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jc w:val="right"/>
              <w:ind w:right="92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131,197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37,244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32,783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5,313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(24,941)</w:t>
            </w:r>
          </w:p>
        </w:tc>
      </w:tr>
      <w:tr>
        <w:trPr>
          <w:trHeight w:val="210"/>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143,088</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131,207</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2018</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347,432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318,876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313,886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284,317</w:t>
            </w:r>
          </w:p>
        </w:tc>
      </w:tr>
    </w:tbl>
    <w:p>
      <w:pPr>
        <w:spacing w:after="0" w:line="187" w:lineRule="exact"/>
        <w:rPr>
          <w:sz w:val="20"/>
          <w:szCs w:val="20"/>
          <w:color w:val="auto"/>
        </w:rPr>
      </w:pPr>
    </w:p>
    <w:p>
      <w:pPr>
        <w:sectPr>
          <w:pgSz w:w="11900" w:h="16838" w:orient="portrait"/>
          <w:cols w:equalWidth="0" w:num="1">
            <w:col w:w="11420"/>
          </w:cols>
          <w:pgMar w:left="240" w:top="118"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Capitalized servicing rights as of March 31, 2019 and June 30, 2018 totaled $2.9 million and $3.0 million, respectively, and are classified as loan servicing rights, net, on the consolidated balance sheets.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Mortgage loans sold during the three months ended March 31, 2019 totaled $7.8 million, compared to $16.4 million during the three months ended March 31, 2018. Mortgage loans sold during the nine months ended March 31, 2019 totaled $28.7 million, compared to $53.1 million during the nine months ended March 31, 2018. Mortgage loans serviced for others totaled $7.3 million at March 31, 2019 and $8.7 million at June 30, 2018. Additionally, the Company was servicing commercial loans participated out to various other institutions amounting to $22.9 million and $32.2 million at March 31, 2019 and June 30, 2018, respectively.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SBA loans sold during the three months ended March 31, 2019 totaled $6.7 million, compared to $5.8 million during the three months ended March 31, 2018. SBA loans sold during the nine months ended March 31, 2019 totaled $31.8 million, compared to $18.4 million during the nine months ended March 31, 2018. SBA loans serviced for others totaled $172.6 million at March 31, 2019 and $162.0 million at June 30, 2018.</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on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Contractually specified servicing fees were $185 thousand and $196 thousand for the three months ended March 31, 2019 and 2018, respectively, and were included as a component of loan-related fees within noninterest income. Contractually specified servicing fees were $533 thousand and $693 thousand for the nine months ended March 31, 2019 and 2018, respectively.</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significant assumptions used in the valuation of the servicing rights as of March 31, 2019 included a range of discount rates from 7.2% to 21.4% and a weighted average prepayment speed assumption of 13.5%.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290"/>
              <w:spacing w:after="0"/>
              <w:rPr>
                <w:sz w:val="20"/>
                <w:szCs w:val="20"/>
                <w:color w:val="auto"/>
              </w:rPr>
            </w:pPr>
            <w:r>
              <w:rPr>
                <w:rFonts w:ascii="Arial" w:cs="Arial" w:eastAsia="Arial" w:hAnsi="Arial"/>
                <w:sz w:val="18"/>
                <w:szCs w:val="18"/>
                <w:color w:val="auto"/>
                <w:w w:val="90"/>
              </w:rPr>
              <w:t>Three months Ended March 31,</w:t>
            </w:r>
          </w:p>
        </w:tc>
        <w:tc>
          <w:tcPr>
            <w:tcW w:w="140" w:type="dxa"/>
            <w:vAlign w:val="bottom"/>
          </w:tcPr>
          <w:p>
            <w:pPr>
              <w:spacing w:after="0"/>
              <w:rPr>
                <w:sz w:val="20"/>
                <w:szCs w:val="20"/>
                <w:color w:val="auto"/>
              </w:rPr>
            </w:pPr>
          </w:p>
        </w:tc>
        <w:tc>
          <w:tcPr>
            <w:tcW w:w="2560" w:type="dxa"/>
            <w:vAlign w:val="bottom"/>
            <w:gridSpan w:val="5"/>
          </w:tcPr>
          <w:p>
            <w:pPr>
              <w:ind w:left="4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(In</w:t>
            </w:r>
          </w:p>
        </w:tc>
        <w:tc>
          <w:tcPr>
            <w:tcW w:w="220" w:type="dxa"/>
            <w:vAlign w:val="bottom"/>
            <w:gridSpan w:val="2"/>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79"/>
              </w:rPr>
              <w:t>thousands, except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84"/>
              </w:rPr>
              <w:t>share and per share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data)</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14,487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9,044,230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8,927,544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9,029,409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Incremental shares from assumed exercise of dilutive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215,633</w:t>
            </w:r>
          </w:p>
        </w:tc>
        <w:tc>
          <w:tcPr>
            <w:tcW w:w="14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164,937</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9,198,077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9,143,177</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9,194,346</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9,133,515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0.43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1.58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March 31, 2019 and 2018, no stock options were excluded from the calculation of diluted EPS.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ectPr>
          <w:pgSz w:w="11900" w:h="16838" w:orient="portrait"/>
          <w:cols w:equalWidth="0" w:num="1">
            <w:col w:w="11400"/>
          </w:cols>
          <w:pgMar w:left="240" w:top="118" w:right="259" w:bottom="865"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865"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March 31, 2019, the Company had posted cash collateral totaling $2.1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March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Notional</w:t>
            </w: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0"/>
              </w:rPr>
              <w:t>Termination</w:t>
            </w: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9"/>
              </w:rPr>
              <w:t>Receive</w:t>
            </w:r>
          </w:p>
        </w:tc>
        <w:tc>
          <w:tcPr>
            <w:tcW w:w="106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3"/>
              </w:rPr>
              <w:t>Pay</w:t>
            </w:r>
          </w:p>
        </w:tc>
        <w:tc>
          <w:tcPr>
            <w:tcW w:w="104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1"/>
              </w:rPr>
              <w:t>Strike</w:t>
            </w:r>
          </w:p>
        </w:tc>
        <w:tc>
          <w:tcPr>
            <w:tcW w:w="10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Unrealized</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Inception 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Index</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Loss</w:t>
            </w:r>
          </w:p>
        </w:tc>
        <w:tc>
          <w:tcPr>
            <w:tcW w:w="200" w:type="dxa"/>
            <w:vAlign w:val="bottom"/>
          </w:tcPr>
          <w:p>
            <w:pPr>
              <w:spacing w:after="0"/>
              <w:rPr>
                <w:sz w:val="20"/>
                <w:szCs w:val="20"/>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6"/>
          </w:tcPr>
          <w:p>
            <w:pPr>
              <w:jc w:val="center"/>
              <w:spacing w:after="0"/>
              <w:rPr>
                <w:sz w:val="20"/>
                <w:szCs w:val="20"/>
                <w:color w:val="auto"/>
              </w:rPr>
            </w:pPr>
            <w:r>
              <w:rPr>
                <w:rFonts w:ascii="Arial" w:cs="Arial" w:eastAsia="Arial" w:hAnsi="Arial"/>
                <w:sz w:val="18"/>
                <w:szCs w:val="18"/>
                <w:color w:val="auto"/>
                <w:w w:val="91"/>
              </w:rPr>
              <w:t>(Dollars in thousands)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2033</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2023</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w w:val="96"/>
              </w:rPr>
              <w:t>Forward-starting interest rate swaps: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February 2018</w:t>
            </w:r>
          </w:p>
        </w:tc>
        <w:tc>
          <w:tcPr>
            <w:tcW w:w="1020" w:type="dxa"/>
            <w:vAlign w:val="bottom"/>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February 2018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i w:val="1"/>
                <w:iCs w:val="1"/>
                <w:color w:val="auto"/>
              </w:rPr>
              <w:t>Interest rate caps: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2014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10,000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2015</w:t>
            </w: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47,000</w:t>
            </w: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(2,039)</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 2018</w:t>
            </w: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Notional</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0"/>
              </w:rPr>
              <w:t>Termination</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Receive</w:t>
            </w: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3"/>
              </w:rPr>
              <w:t>Pay</w:t>
            </w:r>
          </w:p>
        </w:tc>
        <w:tc>
          <w:tcPr>
            <w:tcW w:w="10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1"/>
              </w:rPr>
              <w:t>Strike</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auto"/>
              </w:rPr>
              <w:t>Unrealized</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Inception 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Index</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Loss</w:t>
            </w:r>
          </w:p>
        </w:tc>
        <w:tc>
          <w:tcPr>
            <w:tcW w:w="200" w:type="dxa"/>
            <w:vAlign w:val="bottom"/>
          </w:tcPr>
          <w:p>
            <w:pPr>
              <w:spacing w:after="0"/>
              <w:rPr>
                <w:sz w:val="20"/>
                <w:szCs w:val="20"/>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6"/>
          </w:tcPr>
          <w:p>
            <w:pPr>
              <w:jc w:val="center"/>
              <w:spacing w:after="0"/>
              <w:rPr>
                <w:sz w:val="20"/>
                <w:szCs w:val="20"/>
                <w:color w:val="auto"/>
              </w:rPr>
            </w:pPr>
            <w:r>
              <w:rPr>
                <w:rFonts w:ascii="Arial" w:cs="Arial" w:eastAsia="Arial" w:hAnsi="Arial"/>
                <w:sz w:val="18"/>
                <w:szCs w:val="18"/>
                <w:color w:val="auto"/>
                <w:w w:val="91"/>
              </w:rPr>
              <w:t>(Dollars in thousands)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2033</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2023</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w w:val="96"/>
              </w:rPr>
              <w:t>Forward-starting interest rate swaps: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February 2018</w:t>
            </w:r>
          </w:p>
        </w:tc>
        <w:tc>
          <w:tcPr>
            <w:tcW w:w="1020" w:type="dxa"/>
            <w:vAlign w:val="bottom"/>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February 2018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i w:val="1"/>
                <w:iCs w:val="1"/>
                <w:color w:val="auto"/>
              </w:rPr>
              <w:t>Interest rate caps: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2014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10,000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2015</w:t>
            </w: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47,000</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and nine months ended March 31, 2019 and 2018,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nine months ended March 31, 2019 and 2018 related to the balance sheet hedging of variable rate debt indicates that the hedges were effective.</w:t>
      </w:r>
    </w:p>
    <w:p>
      <w:pPr>
        <w:sectPr>
          <w:pgSz w:w="11900" w:h="16838" w:orient="portrait"/>
          <w:cols w:equalWidth="0" w:num="1">
            <w:col w:w="11420"/>
          </w:cols>
          <w:pgMar w:left="240" w:top="118"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color w:val="auto"/>
                <w:w w:val="91"/>
              </w:rPr>
              <w:t>Three Months Ended March 31,</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Tax Expense</w:t>
            </w:r>
          </w:p>
        </w:tc>
        <w:tc>
          <w:tcPr>
            <w:tcW w:w="180" w:type="dxa"/>
            <w:vAlign w:val="bottom"/>
          </w:tcPr>
          <w:p>
            <w:pPr>
              <w:spacing w:after="0"/>
              <w:rPr>
                <w:sz w:val="16"/>
                <w:szCs w:val="16"/>
                <w:color w:val="auto"/>
              </w:rPr>
            </w:pPr>
          </w:p>
        </w:tc>
        <w:tc>
          <w:tcPr>
            <w:tcW w:w="96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6"/>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net unrealized loss on available-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for-sale debt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Reclassification adjustment for losses</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color w:val="auto"/>
                <w:w w:val="92"/>
              </w:rPr>
              <w:t>Nine Months Ended March 31,</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Tax Expense</w:t>
            </w:r>
          </w:p>
        </w:tc>
        <w:tc>
          <w:tcPr>
            <w:tcW w:w="180" w:type="dxa"/>
            <w:vAlign w:val="bottom"/>
          </w:tcPr>
          <w:p>
            <w:pPr>
              <w:spacing w:after="0"/>
              <w:rPr>
                <w:sz w:val="16"/>
                <w:szCs w:val="16"/>
                <w:color w:val="auto"/>
              </w:rPr>
            </w:pPr>
          </w:p>
        </w:tc>
        <w:tc>
          <w:tcPr>
            <w:tcW w:w="96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6"/>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Reclassification adjustment for losses</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is comprised of the following:</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2019</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5"/>
          </w:tcPr>
          <w:p>
            <w:pPr>
              <w:jc w:val="right"/>
              <w:ind w:right="92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After tax amount</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After tax amount</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on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2018</w:t>
            </w: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5"/>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20,431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33,338</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29,478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2,383</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$52 thousand recorded in other liabilities at both March 31, 2019 and June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386"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0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ind w:left="500" w:right="12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ectPr>
          <w:pgSz w:w="11900" w:h="16838" w:orient="portrait"/>
          <w:cols w:equalWidth="0" w:num="1">
            <w:col w:w="11420"/>
          </w:cols>
          <w:pgMar w:left="240" w:top="118"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i w:val="1"/>
          <w:iCs w:val="1"/>
          <w:color w:val="auto"/>
        </w:rPr>
        <w:t xml:space="preserve">Servicing rights, net </w:t>
      </w:r>
      <w:r>
        <w:rPr>
          <w:rFonts w:ascii="Arial" w:cs="Arial" w:eastAsia="Arial" w:hAnsi="Arial"/>
          <w:sz w:val="16"/>
          <w:szCs w:val="16"/>
          <w:color w:val="auto"/>
        </w:rPr>
        <w:t>- The fair value of the servicing rights is based on a valuation model that calculates the present value of estimated future net</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income. Adjustments are only recorded when the discounted cash flows derived from the valuation model are less than the carrying value of the asset. Certain inputs are not observable, and therefore servicing rights, net are generally categorized as Level 3 within the fair value hierarchy.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(“FHLBB”)</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 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91"/>
              </w:rPr>
              <w:t>March 31, 2019</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57,126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57,126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tcPr>
          <w:p>
            <w:pPr>
              <w:spacing w:after="0" w:line="256" w:lineRule="exact"/>
              <w:rPr>
                <w:sz w:val="20"/>
                <w:szCs w:val="20"/>
                <w:color w:val="auto"/>
              </w:rPr>
            </w:pPr>
            <w:r>
              <w:rPr>
                <w:rFonts w:ascii="Arial" w:cs="Arial" w:eastAsia="Arial" w:hAnsi="Arial"/>
                <w:sz w:val="18"/>
                <w:szCs w:val="18"/>
                <w:color w:val="auto"/>
              </w:rPr>
              <w:t>Equity investments measured at net asset value</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56,887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56,887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24,181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tcPr>
          <w:p>
            <w:pPr>
              <w:spacing w:after="0" w:line="256" w:lineRule="exact"/>
              <w:rPr>
                <w:sz w:val="20"/>
                <w:szCs w:val="20"/>
                <w:color w:val="auto"/>
              </w:rPr>
            </w:pPr>
            <w:r>
              <w:rPr>
                <w:rFonts w:ascii="Arial" w:cs="Arial" w:eastAsia="Arial" w:hAnsi="Arial"/>
                <w:sz w:val="18"/>
                <w:szCs w:val="18"/>
                <w:color w:val="auto"/>
              </w:rPr>
              <w:t>Equity investments measured at net asset value</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swaps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6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91"/>
              </w:rPr>
              <w:t>March 31, 2019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1,802</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2,014</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2,014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2,943</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2,943</w:t>
            </w:r>
          </w:p>
        </w:tc>
      </w:tr>
      <w:tr>
        <w:trPr>
          <w:trHeight w:val="459"/>
        </w:trPr>
        <w:tc>
          <w:tcPr>
            <w:tcW w:w="4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1,917</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2,233</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2,233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2,970</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810"/>
              <w:spacing w:after="0"/>
              <w:rPr>
                <w:sz w:val="20"/>
                <w:szCs w:val="20"/>
                <w:color w:val="auto"/>
              </w:rPr>
            </w:pPr>
            <w:r>
              <w:rPr>
                <w:rFonts w:ascii="Arial" w:cs="Arial" w:eastAsia="Arial" w:hAnsi="Arial"/>
                <w:sz w:val="18"/>
                <w:szCs w:val="18"/>
                <w:color w:val="auto"/>
                <w:w w:val="92"/>
              </w:rPr>
              <w:t>Fair Value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98"/>
              </w:rPr>
              <w:t>June 30,</w:t>
            </w: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c>
          <w:tcPr>
            <w:tcW w:w="10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6"/>
          </w:tcPr>
          <w:p>
            <w:pPr>
              <w:jc w:val="center"/>
              <w:ind w:right="340"/>
              <w:spacing w:after="0"/>
              <w:rPr>
                <w:sz w:val="20"/>
                <w:szCs w:val="20"/>
                <w:color w:val="auto"/>
              </w:rPr>
            </w:pPr>
            <w:r>
              <w:rPr>
                <w:rFonts w:ascii="Arial" w:cs="Arial" w:eastAsia="Arial" w:hAnsi="Arial"/>
                <w:sz w:val="18"/>
                <w:szCs w:val="18"/>
                <w:color w:val="auto"/>
                <w:w w:val="91"/>
              </w:rPr>
              <w:t>(Dollars in thousands)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342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8"/>
                <w:szCs w:val="18"/>
                <w:color w:val="auto"/>
                <w:w w:val="92"/>
              </w:rPr>
              <w:t>Appraisal of collateral</w:t>
            </w:r>
            <w:r>
              <w:rPr>
                <w:rFonts w:ascii="Arial" w:cs="Arial" w:eastAsia="Arial" w:hAnsi="Arial"/>
                <w:sz w:val="23"/>
                <w:szCs w:val="23"/>
                <w:color w:val="auto"/>
                <w:w w:val="92"/>
                <w:vertAlign w:val="superscript"/>
              </w:rPr>
              <w:t>(1)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c>
          <w:tcPr>
            <w:tcW w:w="3420" w:type="dxa"/>
            <w:vAlign w:val="bottom"/>
            <w:gridSpan w:val="2"/>
          </w:tcPr>
          <w:p>
            <w:pPr>
              <w:jc w:val="center"/>
              <w:ind w:right="100"/>
              <w:spacing w:after="0" w:line="216" w:lineRule="exact"/>
              <w:rPr>
                <w:sz w:val="20"/>
                <w:szCs w:val="20"/>
                <w:color w:val="auto"/>
              </w:rPr>
            </w:pPr>
            <w:r>
              <w:rPr>
                <w:rFonts w:ascii="Arial" w:cs="Arial" w:eastAsia="Arial" w:hAnsi="Arial"/>
                <w:sz w:val="18"/>
                <w:szCs w:val="18"/>
                <w:color w:val="auto"/>
                <w:w w:val="92"/>
              </w:rPr>
              <w:t>Appraisal of collateral</w:t>
            </w:r>
            <w:r>
              <w:rPr>
                <w:rFonts w:ascii="Arial" w:cs="Arial" w:eastAsia="Arial" w:hAnsi="Arial"/>
                <w:sz w:val="23"/>
                <w:szCs w:val="23"/>
                <w:color w:val="auto"/>
                <w:w w:val="92"/>
                <w:vertAlign w:val="superscript"/>
              </w:rPr>
              <w:t>(1)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w:t>
            </w:r>
          </w:p>
        </w:tc>
        <w:tc>
          <w:tcPr>
            <w:tcW w:w="342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8"/>
                <w:szCs w:val="18"/>
                <w:color w:val="auto"/>
                <w:w w:val="90"/>
              </w:rPr>
              <w:t>Discounted cash flow</w:t>
            </w:r>
            <w:r>
              <w:rPr>
                <w:rFonts w:ascii="Arial" w:cs="Arial" w:eastAsia="Arial" w:hAnsi="Arial"/>
                <w:sz w:val="23"/>
                <w:szCs w:val="23"/>
                <w:color w:val="auto"/>
                <w:w w:val="90"/>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0% to 100%.</w:t>
      </w:r>
    </w:p>
    <w:p>
      <w:pPr>
        <w:ind w:right="30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1.7% to 18.9%. For discount rates, the range was 7.2% to 21.4%.</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total gains (losses) on assets measured at fair value on a non-recurring basis for the three and nine months ended March 31,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2940" w:type="dxa"/>
            <w:vAlign w:val="bottom"/>
            <w:gridSpan w:val="6"/>
          </w:tcPr>
          <w:p>
            <w:pPr>
              <w:jc w:val="right"/>
              <w:ind w:right="420"/>
              <w:spacing w:after="0"/>
              <w:rPr>
                <w:sz w:val="20"/>
                <w:szCs w:val="20"/>
                <w:color w:val="auto"/>
              </w:rPr>
            </w:pPr>
            <w:r>
              <w:rPr>
                <w:rFonts w:ascii="Arial" w:cs="Arial" w:eastAsia="Arial" w:hAnsi="Arial"/>
                <w:sz w:val="18"/>
                <w:szCs w:val="18"/>
                <w:color w:val="auto"/>
                <w:w w:val="98"/>
              </w:rPr>
              <w:t>Three Months Ended March 31,</w:t>
            </w:r>
          </w:p>
        </w:tc>
        <w:tc>
          <w:tcPr>
            <w:tcW w:w="160" w:type="dxa"/>
            <w:vAlign w:val="bottom"/>
          </w:tcPr>
          <w:p>
            <w:pPr>
              <w:spacing w:after="0"/>
              <w:rPr>
                <w:sz w:val="20"/>
                <w:szCs w:val="20"/>
                <w:color w:val="auto"/>
              </w:rPr>
            </w:pPr>
          </w:p>
        </w:tc>
        <w:tc>
          <w:tcPr>
            <w:tcW w:w="2620" w:type="dxa"/>
            <w:vAlign w:val="bottom"/>
            <w:gridSpan w:val="5"/>
          </w:tcPr>
          <w:p>
            <w:pPr>
              <w:jc w:val="right"/>
              <w:ind w:right="320"/>
              <w:spacing w:after="0"/>
              <w:rPr>
                <w:sz w:val="20"/>
                <w:szCs w:val="20"/>
                <w:color w:val="auto"/>
              </w:rPr>
            </w:pPr>
            <w:r>
              <w:rPr>
                <w:rFonts w:ascii="Arial" w:cs="Arial" w:eastAsia="Arial" w:hAnsi="Arial"/>
                <w:sz w:val="18"/>
                <w:szCs w:val="18"/>
                <w:color w:val="auto"/>
                <w:w w:val="93"/>
              </w:rPr>
              <w:t>Nine Months Ended March 31,</w:t>
            </w:r>
          </w:p>
        </w:tc>
      </w:tr>
      <w:tr>
        <w:trPr>
          <w:trHeight w:val="210"/>
        </w:trPr>
        <w:tc>
          <w:tcPr>
            <w:tcW w:w="34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jc w:val="right"/>
              <w:ind w:right="10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960" w:type="dxa"/>
            <w:vAlign w:val="bottom"/>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Real estate owned and other repossessed</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collateral</w:t>
            </w:r>
          </w:p>
        </w:tc>
        <w:tc>
          <w:tcPr>
            <w:tcW w:w="9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3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34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r>
      <w:tr>
        <w:trPr>
          <w:trHeight w:val="20"/>
        </w:trPr>
        <w:tc>
          <w:tcPr>
            <w:tcW w:w="3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0"/>
          </w:tcPr>
          <w:p>
            <w:pPr>
              <w:jc w:val="right"/>
              <w:ind w:right="70"/>
              <w:spacing w:after="0"/>
              <w:rPr>
                <w:sz w:val="20"/>
                <w:szCs w:val="20"/>
                <w:color w:val="auto"/>
              </w:rPr>
            </w:pPr>
            <w:r>
              <w:rPr>
                <w:rFonts w:ascii="Arial" w:cs="Arial" w:eastAsia="Arial" w:hAnsi="Arial"/>
                <w:sz w:val="18"/>
                <w:szCs w:val="18"/>
                <w:color w:val="auto"/>
              </w:rPr>
              <w:t>Fair Value Measurements at March 31, 2019</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152,853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152,853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152,853</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76,938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76,938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76,938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gridSpan w:val="3"/>
          </w:tcPr>
          <w:p>
            <w:pPr>
              <w:spacing w:after="0" w:line="206" w:lineRule="exact"/>
              <w:rPr>
                <w:sz w:val="20"/>
                <w:szCs w:val="20"/>
                <w:color w:val="auto"/>
              </w:rPr>
            </w:pPr>
            <w:r>
              <w:rPr>
                <w:rFonts w:ascii="Arial" w:cs="Arial" w:eastAsia="Arial" w:hAnsi="Arial"/>
                <w:sz w:val="18"/>
                <w:szCs w:val="18"/>
                <w:color w:val="auto"/>
                <w:w w:val="94"/>
              </w:rPr>
              <w:t>Equity investments measured at net asset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80" w:type="dxa"/>
            <w:vAlign w:val="bottom"/>
            <w:gridSpan w:val="3"/>
          </w:tcPr>
          <w:p>
            <w:pPr>
              <w:ind w:left="160"/>
              <w:spacing w:after="0" w:line="266" w:lineRule="exact"/>
              <w:rPr>
                <w:sz w:val="20"/>
                <w:szCs w:val="20"/>
                <w:color w:val="auto"/>
              </w:rPr>
            </w:pPr>
            <w:r>
              <w:rPr>
                <w:rFonts w:ascii="Arial" w:cs="Arial" w:eastAsia="Arial" w:hAnsi="Arial"/>
                <w:sz w:val="18"/>
                <w:szCs w:val="18"/>
                <w:color w:val="auto"/>
              </w:rPr>
              <w:t>value</w:t>
            </w:r>
            <w:r>
              <w:rPr>
                <w:rFonts w:ascii="Arial" w:cs="Arial" w:eastAsia="Arial" w:hAnsi="Arial"/>
                <w:sz w:val="30"/>
                <w:szCs w:val="30"/>
                <w:color w:val="auto"/>
                <w:vertAlign w:val="superscript"/>
              </w:rPr>
              <w:t>(1)</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6,819</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955,995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3,320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3,320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1,016,624</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1,016,348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1,016,348</w:t>
            </w: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15,001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27,330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2,051</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9"/>
          </w:tcPr>
          <w:p>
            <w:pPr>
              <w:ind w:left="960"/>
              <w:spacing w:after="0"/>
              <w:rPr>
                <w:sz w:val="20"/>
                <w:szCs w:val="20"/>
                <w:color w:val="auto"/>
              </w:rPr>
            </w:pPr>
            <w:r>
              <w:rPr>
                <w:rFonts w:ascii="Arial" w:cs="Arial" w:eastAsia="Arial" w:hAnsi="Arial"/>
                <w:sz w:val="18"/>
                <w:szCs w:val="18"/>
                <w:color w:val="auto"/>
                <w:w w:val="88"/>
              </w:rPr>
              <w:t>Fair Value Measurements at June 30, 2018</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157,402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157,402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157,402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81,068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81,068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81,068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gridSpan w:val="3"/>
          </w:tcPr>
          <w:p>
            <w:pPr>
              <w:spacing w:after="0" w:line="206" w:lineRule="exact"/>
              <w:rPr>
                <w:sz w:val="20"/>
                <w:szCs w:val="20"/>
                <w:color w:val="auto"/>
              </w:rPr>
            </w:pPr>
            <w:r>
              <w:rPr>
                <w:rFonts w:ascii="Arial" w:cs="Arial" w:eastAsia="Arial" w:hAnsi="Arial"/>
                <w:sz w:val="18"/>
                <w:szCs w:val="18"/>
                <w:color w:val="auto"/>
                <w:w w:val="94"/>
              </w:rPr>
              <w:t>Equity investments measured at net asset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80" w:type="dxa"/>
            <w:vAlign w:val="bottom"/>
            <w:gridSpan w:val="3"/>
          </w:tcPr>
          <w:p>
            <w:pPr>
              <w:ind w:left="160"/>
              <w:spacing w:after="0" w:line="266" w:lineRule="exact"/>
              <w:rPr>
                <w:sz w:val="20"/>
                <w:szCs w:val="20"/>
                <w:color w:val="auto"/>
              </w:rPr>
            </w:pPr>
            <w:r>
              <w:rPr>
                <w:rFonts w:ascii="Arial" w:cs="Arial" w:eastAsia="Arial" w:hAnsi="Arial"/>
                <w:sz w:val="18"/>
                <w:szCs w:val="18"/>
                <w:color w:val="auto"/>
              </w:rPr>
              <w:t>value</w:t>
            </w:r>
            <w:r>
              <w:rPr>
                <w:rFonts w:ascii="Arial" w:cs="Arial" w:eastAsia="Arial" w:hAnsi="Arial"/>
                <w:sz w:val="30"/>
                <w:szCs w:val="30"/>
                <w:color w:val="auto"/>
                <w:vertAlign w:val="superscript"/>
              </w:rPr>
              <w:t>(1)</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6,619</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7,155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7,155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866,995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2,528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954,940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953,216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23,958</w:t>
            </w:r>
          </w:p>
        </w:tc>
        <w:tc>
          <w:tcPr>
            <w:tcW w:w="28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25,961</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40" w:hanging="328"/>
        <w:spacing w:after="0" w:line="209" w:lineRule="auto"/>
        <w:tabs>
          <w:tab w:leader="none" w:pos="66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ectPr>
          <w:pgSz w:w="11900" w:h="16838" w:orient="portrait"/>
          <w:cols w:equalWidth="0" w:num="1">
            <w:col w:w="11260"/>
          </w:cols>
          <w:pgMar w:left="240" w:top="118" w:right="399" w:bottom="1440" w:gutter="0" w:footer="0" w:header="0"/>
        </w:sect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2018,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Northeast Bancorp’s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operational risks including, but not limited to, cybersecurity breaches, fraud and natural disasters; the risk that the Company may not be successful in the execution of its business strategy; the risk that intangibles recorded in the Company’s financial statements will become impaired; the ability of the Company and the Bank to satisfy the conditions to the completion of the Reorganization; the ability of the Company and the Bank to meet expectations regarding the timing, completion and accounting and tax treatments of the Reorganization; the possibility that any of the anticipated benefits of the Reorganization will not be realized or will not be realized as expected; the failure of the Reorganization to close for any reason; the possibility that the Reorganization may be more expensive to complete than anticipated, including as a result of unexpected factors or events; changes in assumptions used in making such forward-looking statements; and the other risks and uncertainties detailed in the Company’s Annual Report on Form 10-K for the fiscal year ended June 30, 2018 as updated in the Company’s Quarterly Reports on Form 10-Q and other filings submitted to the SEC.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and the FDIC.</w:t>
      </w:r>
    </w:p>
    <w:p>
      <w:pPr>
        <w:spacing w:after="0" w:line="1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to the merger, which represents an acquisition by FHB of Northeast, with Northeast as the surviving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The Company and the Bank are currently in compliance with all commitments to the Federal Reserve. The Company’s compliance ratios at March 31, 2019 follow: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Ratios as of March 31,</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Condition</w:t>
            </w:r>
          </w:p>
        </w:tc>
        <w:tc>
          <w:tcPr>
            <w:tcW w:w="2120" w:type="dxa"/>
            <w:vAlign w:val="bottom"/>
            <w:gridSpan w:val="2"/>
          </w:tcPr>
          <w:p>
            <w:pPr>
              <w:jc w:val="right"/>
              <w:ind w:right="7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(ii) Total capital ratio</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On January 7, 2019, the Company announced the Reorganization. If the Reorganization is completed, these commitments to the FRB will no longer be applicable. The Bank intends to replace these commitments with standards relating to its capital levels and asset portfolio composition, which will be incorporated into its policies and procedures, and compliance with FDIC policy on commercial real estate concentration risk.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Reorganization, the Bank intends to incorporate the following standards into its policies and procedures:</w:t>
      </w:r>
    </w:p>
    <w:p>
      <w:pPr>
        <w:spacing w:after="0" w:line="2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Tier 1 leverage ratio of at least 10%, which is unchanged from the requirement in the commitments to the FRB;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Total capital ratio of at least 13.5% (as opposed to 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purchased loans to 60% of total loans (as opposed to 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ratio of the Bank’s loans to core deposits of not more than 125% (as opposed to 100%);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Hold commercial real estate loans (excluding owner-occupied commercial real estate) to within 500% of Total capital (as opposed to 300%).</w:t>
      </w:r>
    </w:p>
    <w:p>
      <w:pPr>
        <w:spacing w:after="0" w:line="22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newly established standards are designed to help ensure the Bank will continue to operate in a safe and sound manner, but may permit more growth in the Bank’s loan portfolio as compared to operating under the existing commitments. The Maine Bureau of Financial Institutions’ order approving FHB Formation LLC’s acquisition of the Company in December of 2010 requires the Bank to maintain a Tier 1 leverage ratio of not less than 8.5% and a Total capital ratio of not less than 13.5%. These conditions will continue to apply to the Bank whether or not the Reorganization is completed.</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11, 2019, the Company announced that the Bank received approval from the FDIC for the Reorganization. The Reorganization remains subject to various closing conditions including, among others, (i) approval by the holders of the outstanding shares of the Company’s capital stock entitled to vote on the Reorganization, (ii) receipt of all remaining required regulatory approvals, including approval of the Bank’s stock issuance and amended and restated articles of incorporation and bylaws by the Maine Bureau of Financial Institutions, and (iii) approval for listing on NASDAQ of the Bank’s voting common stock.</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March 31, 2019, the Company, on a consolidated basis, had total assets of $1.2 billion, total deposits of $1.0 billion, and shareholders’ equity of $153.2 million. The Company gathers retail deposits through its banking offices in Maine and the Bank's online affinity deposit program, ableBanking; originates loans through the Bank’s Community Banking Division; originates Small Business Administration (“SBA”) and United States Department of Agriculture (“USDA”) loans through the Bank’s SBA Division; and purchases and originates commercial loans through the Bank’s Loan Acquisition and Servicing Group (“LASG”). The Community Banking Division, with ten full-service branches, operates from the Bank’s headquarters in Lewiston, Maine. LASG, ableBanking, and the SBA Division operate from the Company's offices in Boston, Massachusetts.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2018 to gain a better understanding of how Northeast’s financial performance is measured and reported. There has been no material change in critical accounting policies during the three and nine months ended March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income increased by $896 thousand to $4.8 million for the quarter ended March 31, 2019, compared to net income of $3.9 million for the quarter ended March 31, 2018.</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$1.9 million to $15.0 million for the quarter ended March 31, 2019, compared to $13.1 million for the quarter ended March 31, 2018. The increase was primarily due to higher yields and higher average balances in the loan portfolio. These increases were partially offset by higher funding costs and higher average deposit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decreased by $16 thousand for the quarter ended March 31, 2019, compared to the quarter ended March 31, 2018.</w:t>
      </w:r>
    </w:p>
    <w:p>
      <w:pPr>
        <w:spacing w:after="0" w:line="22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Noninterest expense increased by $777 thousand for the quarter ended March 31, 2019 compared to the quarter ended March 31, 2018, primarily due to an increase in salaries and employee benefits expense. This increase resulted from increases in base salary, stock-based compensation expense, incentive compensation, and a decrease in deferred salaries expense. The increase also resulted from an increase in loan acquisition and collection expense, largely driven by increased loan expenses and collection expenses incurred on the purchased loan payoffs and real estate owned during the quarter.</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 expense increased by $160 thousand to $1.9 million, or an effective tax rate of 28.3%, for the quarter ended March 31, 2019, compared to $1.7 million, or an effective tax rate of 30.7%, for the quarter ended March 31, 2018. The increase in income tax expense was due to the increase in pre-tax earnings. The decrease in effective tax rate was primarily due to the decrease in the federal corporate income tax rate to 21.0% for the quarter ended March 31, 2019, as compared to the blended federal corporate income tax rate of 28.0% for the quarter ended March 31, 2018, partially offset by a decrease in excess tax benefits recognized in the current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2019, total assets were $1.2 billion, an increase of $73.7 million, or 6.4%, from total assets of $1.2 billion as of June 30, 2018. The principal components of the changes in the balance sheet follow:</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table highlights the changes in the loan portfolio for the three and nine months ended March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1"/>
              </w:rPr>
              <w:t>Loan Portfolio Changes</w:t>
            </w:r>
          </w:p>
        </w:tc>
        <w:tc>
          <w:tcPr>
            <w:tcW w:w="1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1"/>
              </w:rPr>
              <w:t>Three Months Ended March 31, 2019</w:t>
            </w:r>
          </w:p>
        </w:tc>
        <w:tc>
          <w:tcPr>
            <w:tcW w:w="1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0"/>
              </w:rPr>
              <w:t>December 31,</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2019</w:t>
            </w: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Change ($)</w:t>
            </w:r>
          </w:p>
        </w:tc>
        <w:tc>
          <w:tcPr>
            <w:tcW w:w="220" w:type="dxa"/>
            <w:vAlign w:val="bottom"/>
          </w:tcPr>
          <w:p>
            <w:pPr>
              <w:spacing w:after="0"/>
              <w:rPr>
                <w:sz w:val="20"/>
                <w:szCs w:val="20"/>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Change (%)</w:t>
            </w: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(Dollars in thousands)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330,643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LASG Originated</w:t>
            </w: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478,020</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435,817</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42,203</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63,653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67,282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Community Banking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104,544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(4,890)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961,653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938,286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23,367</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1"/>
              </w:rPr>
              <w:t>Nine Months Ended March 31, 2019</w:t>
            </w:r>
          </w:p>
        </w:tc>
        <w:tc>
          <w:tcPr>
            <w:tcW w:w="1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1"/>
              </w:rPr>
              <w:t>March 31, 2019</w:t>
            </w:r>
          </w:p>
        </w:tc>
        <w:tc>
          <w:tcPr>
            <w:tcW w:w="120" w:type="dxa"/>
            <w:vAlign w:val="bottom"/>
          </w:tcPr>
          <w:p>
            <w:pPr>
              <w:spacing w:after="0"/>
              <w:rPr>
                <w:sz w:val="16"/>
                <w:szCs w:val="16"/>
                <w:color w:val="auto"/>
              </w:rPr>
            </w:pPr>
          </w:p>
        </w:tc>
        <w:tc>
          <w:tcPr>
            <w:tcW w:w="15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7"/>
              </w:rPr>
              <w:t>June 30, 2018</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Change ($)</w:t>
            </w:r>
          </w:p>
        </w:tc>
        <w:tc>
          <w:tcPr>
            <w:tcW w:w="220" w:type="dxa"/>
            <w:vAlign w:val="bottom"/>
          </w:tcPr>
          <w:p>
            <w:pPr>
              <w:spacing w:after="0"/>
              <w:rPr>
                <w:sz w:val="20"/>
                <w:szCs w:val="20"/>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Change (%)</w:t>
            </w: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(Dollars in thousands)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29,354</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LASG Originated</w:t>
            </w: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478,020</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397,363</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80,657</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20.30%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63,653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60,156</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3,497</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Community Banking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123,311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(23,657)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961,653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871,802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89,851</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Loans generated by the Bank's LASG for the quarter ended March 31, 2019 totaled $89.1 million, which consisted of $4.6 million of purchased loans, at an average price of 98.5% of unpaid principal balance, and $84.5 million of originated loans. The Bank's SBA Division closed and funded $6.4 million of new loans during the quarter ended March 31, 2019. In addition, the Company sold $6.7 million of the guaranteed portion of SBA loans in the secondary market, of which $4.8 million were originated in the current quarter and $1.9 million were originated in prior quarters. Residential loan production sold in the secondary market totaled $7.8 million for the quarter.</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noted above in the “</w:t>
      </w:r>
      <w:r>
        <w:rPr>
          <w:rFonts w:ascii="Arial" w:cs="Arial" w:eastAsia="Arial" w:hAnsi="Arial"/>
          <w:sz w:val="16"/>
          <w:szCs w:val="16"/>
          <w:i w:val="1"/>
          <w:iCs w:val="1"/>
          <w:color w:val="auto"/>
        </w:rPr>
        <w:t>Business Overview</w:t>
      </w:r>
      <w:r>
        <w:rPr>
          <w:rFonts w:ascii="Arial" w:cs="Arial" w:eastAsia="Arial" w:hAnsi="Arial"/>
          <w:sz w:val="16"/>
          <w:szCs w:val="16"/>
          <w:color w:val="auto"/>
        </w:rPr>
        <w:t>” section, the Company made certain commitments to the Federal Reserve in connection with the merger of FHB with and into the Company in December 2010. The Company’s loan purchase and commercial real estate loan availability under these conditions follow: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Availability at March 31,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Basis for Regulatory Condition</w:t>
            </w:r>
          </w:p>
        </w:tc>
        <w:tc>
          <w:tcPr>
            <w:tcW w:w="6160" w:type="dxa"/>
            <w:vAlign w:val="bottom"/>
            <w:gridSpan w:val="2"/>
          </w:tcPr>
          <w:p>
            <w:pPr>
              <w:ind w:left="120"/>
              <w:spacing w:after="0"/>
              <w:rPr>
                <w:sz w:val="20"/>
                <w:szCs w:val="20"/>
                <w:color w:val="auto"/>
              </w:rPr>
            </w:pPr>
            <w:r>
              <w:rPr>
                <w:rFonts w:ascii="Arial" w:cs="Arial" w:eastAsia="Arial" w:hAnsi="Arial"/>
                <w:sz w:val="18"/>
                <w:szCs w:val="18"/>
                <w:color w:val="auto"/>
              </w:rPr>
              <w:t>Condition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r>
      <w:tr>
        <w:trPr>
          <w:trHeight w:val="210"/>
        </w:trPr>
        <w:tc>
          <w:tcPr>
            <w:tcW w:w="2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6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Purchased loans may not exceed 40% of total loans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r>
      <w:tr>
        <w:trPr>
          <w:trHeight w:val="202"/>
        </w:trPr>
        <w:tc>
          <w:tcPr>
            <w:tcW w:w="2880" w:type="dxa"/>
            <w:vAlign w:val="bottom"/>
          </w:tcPr>
          <w:p>
            <w:pPr>
              <w:spacing w:after="0"/>
              <w:rPr>
                <w:sz w:val="17"/>
                <w:szCs w:val="17"/>
                <w:color w:val="auto"/>
              </w:rPr>
            </w:pPr>
          </w:p>
        </w:tc>
        <w:tc>
          <w:tcPr>
            <w:tcW w:w="61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Non-owner occupied commercial real estate loans may not exceed 300% of total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Regulatory Capital</w:t>
            </w:r>
          </w:p>
        </w:tc>
        <w:tc>
          <w:tcPr>
            <w:tcW w:w="6160" w:type="dxa"/>
            <w:vAlign w:val="bottom"/>
            <w:gridSpan w:val="2"/>
          </w:tcPr>
          <w:p>
            <w:pPr>
              <w:ind w:left="12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bl>
    <w:p>
      <w:pPr>
        <w:spacing w:after="0" w:line="202"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On January 7, 2019, the Company announced the Reorganization. If the Reorganization is completed, these commitments to the FRB will no longer be applicable. The Bank intends to replace these commitments with standards relating to its capital levels and asset portfolio composition, which will be incorporated into its policies and procedures, and compliance with FDIC policy on commercial real estate concentration risk.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Reorganization, the Bank intends to incorporate the following standards into its policies and procedures: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 Tier 1 leverage ratio of at least 10%, which is unchanged from the requirement in the commitments to the FRB;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 Total capital ratio of at least 13.5% (as opposed to 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purchased loans to 60% of total loans (as opposed to 40%);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 ratio of the Bank’s loans to core deposits of not more than 125% (as opposed to 100%);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Hold commercial real estate loans (excluding owner-occupied commercial real estate) to within 500% of Total capital (as opposed to 300%).</w:t>
      </w:r>
    </w:p>
    <w:p>
      <w:pPr>
        <w:spacing w:after="0" w:line="23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newly established standards are designed to help ensure the Bank will continue to operate in a safe and sound manner, but may permit more growth in the Bank’s loan portfolio as compared to operating under the existing commitments. The Maine Bureau of Financial Institutions’ order approving FHB Formation LLC’s acquisition of the Company in December of 2010 requires the Bank to maintain a Tier 1 leverage ratio of not less than 8.5% and a Total capital ratio of not less than 13.5%. These conditions will continue to apply to the Bank whether or not the Reorganization is completed.</w:t>
      </w:r>
    </w:p>
    <w:p>
      <w:pPr>
        <w:sectPr>
          <w:pgSz w:w="11900" w:h="16838" w:orient="portrait"/>
          <w:cols w:equalWidth="0" w:num="1">
            <w:col w:w="11420"/>
          </w:cols>
          <w:pgMar w:left="240" w:top="118" w:right="239" w:bottom="379"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79"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11, 2019, the Company announced that the Bank received approval from the FDIC for the Reorganization. The Reorganization remains subject to various closing conditions including, among others, (i) approval by the holders of the outstanding shares of the Company’s capital stock entitled to vote on the Reorganization, (ii) receipt of all remaining required regulatory approvals, including approval of the Bank’s stock issuance and amended and restated articles of incorporation and bylaws by the Maine Bureau of Financial Institutions, and (iii) approval for listing on NASDAQ of the Bank’s voting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the Bank’s LASG portfolio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97"/>
              </w:rPr>
              <w:t>LASG Portfolio</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Three Months Ended March 31,</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Purchased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Originated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Total LASG</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Purchased</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Originated</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4"/>
              </w:rPr>
              <w:t>Total LASG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(Dollars</w:t>
            </w:r>
          </w:p>
        </w:tc>
        <w:tc>
          <w:tcPr>
            <w:tcW w:w="280" w:type="dxa"/>
            <w:vAlign w:val="bottom"/>
            <w:gridSpan w:val="2"/>
            <w:vMerge w:val="continue"/>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Loans purchased or originated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4,675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84,546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89,221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38,493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72,894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89,150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33,021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on Purchased Loans (1)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92"/>
              </w:rPr>
              <w:t>Nine Months Ended March 31,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Purchased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Originated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Total LASG</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Purchased</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Originated</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4"/>
              </w:rPr>
              <w:t>Total LASG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(Dollars</w:t>
            </w:r>
          </w:p>
        </w:tc>
        <w:tc>
          <w:tcPr>
            <w:tcW w:w="280" w:type="dxa"/>
            <w:vAlign w:val="bottom"/>
            <w:gridSpan w:val="2"/>
            <w:vMerge w:val="continue"/>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Loans purchased or originated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94,423</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219,348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313,771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81,016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157,958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238,974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219,348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308,089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71,474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157,958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on Purchased Loans (1)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as of period end: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354,655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478,020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832,675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289,852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381,990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798,346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381,990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636,690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8"/>
        <w:spacing w:after="0" w:line="279"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on purchased loans does not include the effect of purchased loan charge-offs or recoveries during the period. Total return on purchased loans is considered a non-GAAP financial measure. See reconciliation in below table entitled “Total Return on Purchased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Due from Banks, Short-Term Investments and Investment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were $152.9 million as of March 31, 2019, a decrease of $4.5 million, or 2.9%, from $157.4 million at June 30, 2018. The decrease is primarily due to the increase in loans, partially offset by the increase in deposits in the period.</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Investment securities totaled $83.8 million as of March 31, 2019, compared to $87.7 million as of June 30, 2018, representing a decrease of $3.9 million, or 4.5%, primarily due to principal payments on mortgage-backed securities. Included in investment securities are securities issued by government agencies and government-sponsored enterprises, as well as an investment of $5.2 million in a Community Reinvestment Act (“CRA”) qualified fund that seeks to invest in securities either issued or guaranteed by the U.S. government or its agencies and an investment of $1.6 million in a CRA qualified fund that primarily invests in the federally guaranteed portion of SBA 7(a) loans. At March 31, 2019, no securities were pledged for outstanding borrowings.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 for 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March 31, 2019</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4"/>
              </w:rPr>
              <w:t>Community</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Banking</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Division</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LASG</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SBA Division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Percent of Total</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81"/>
              </w:rPr>
              <w:t>(Dollars 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62,294</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9,732</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72,026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222,435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23.13%</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34,321</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113,880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11.84%</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230,420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23.96%</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2,566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originated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63,653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641,327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66.69%</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loans: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187,930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187,930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19.54%</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purchased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320,326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33.31%</w:t>
            </w: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99,654</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798,346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63,653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961,653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4"/>
              </w:rPr>
              <w:t>Community</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Banking</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Division</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LASG</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SBA Division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Percent of Total</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81"/>
              </w:rPr>
              <w:t>(Dollars 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79,091</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7,111</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86,330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21.29%</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81,916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24,483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117,750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13.51%</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187,857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21.55%</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3,244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originated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60,156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580,830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66.62%</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loans: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150,805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150,805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purchased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290,972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33.38%</w:t>
            </w: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123,311</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688,335</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60,156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871,802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the loan is classified as a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recorded at fair value less estimated costs to sell upon repossession. Revenues and expenses are recognized in the period when received or incurred on OREO and in-substance foreclosures. Gains and losses on disposition are recognized in noninterest income.</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line="69"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March 31, 2019 and June 30, 2018.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9"/>
          </w:tcPr>
          <w:p>
            <w:pPr>
              <w:jc w:val="center"/>
              <w:ind w:right="300"/>
              <w:spacing w:after="0"/>
              <w:rPr>
                <w:sz w:val="20"/>
                <w:szCs w:val="20"/>
                <w:color w:val="auto"/>
              </w:rPr>
            </w:pPr>
            <w:r>
              <w:rPr>
                <w:rFonts w:ascii="Arial" w:cs="Arial" w:eastAsia="Arial" w:hAnsi="Arial"/>
                <w:sz w:val="18"/>
                <w:szCs w:val="18"/>
                <w:color w:val="auto"/>
                <w:w w:val="91"/>
              </w:rPr>
              <w:t>Nonperforming Assets at March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Originated</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60" w:type="dxa"/>
            <w:vAlign w:val="bottom"/>
            <w:gridSpan w:val="6"/>
          </w:tcPr>
          <w:p>
            <w:pPr>
              <w:jc w:val="right"/>
              <w:ind w:right="200"/>
              <w:spacing w:after="0"/>
              <w:rPr>
                <w:sz w:val="20"/>
                <w:szCs w:val="20"/>
                <w:color w:val="auto"/>
              </w:rPr>
            </w:pPr>
            <w:r>
              <w:rPr>
                <w:rFonts w:ascii="Arial" w:cs="Arial" w:eastAsia="Arial" w:hAnsi="Arial"/>
                <w:sz w:val="18"/>
                <w:szCs w:val="18"/>
                <w:color w:val="auto"/>
                <w:w w:val="87"/>
              </w:rPr>
              <w:t>(Dollars in 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2,317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3,336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Total nonperforming loans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Total nonperforming assets</w:t>
            </w:r>
          </w:p>
        </w:tc>
        <w:tc>
          <w:tcPr>
            <w:tcW w:w="7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7,415</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7,349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9"/>
          </w:tcPr>
          <w:p>
            <w:pPr>
              <w:jc w:val="center"/>
              <w:ind w:right="320"/>
              <w:spacing w:after="0"/>
              <w:rPr>
                <w:sz w:val="20"/>
                <w:szCs w:val="20"/>
                <w:color w:val="auto"/>
              </w:rPr>
            </w:pPr>
            <w:r>
              <w:rPr>
                <w:rFonts w:ascii="Arial" w:cs="Arial" w:eastAsia="Arial" w:hAnsi="Arial"/>
                <w:sz w:val="18"/>
                <w:szCs w:val="18"/>
                <w:color w:val="auto"/>
                <w:w w:val="90"/>
              </w:rPr>
              <w:t>Nonperforming Assets at 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Originated</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60" w:type="dxa"/>
            <w:vAlign w:val="bottom"/>
            <w:gridSpan w:val="6"/>
          </w:tcPr>
          <w:p>
            <w:pPr>
              <w:jc w:val="right"/>
              <w:ind w:right="200"/>
              <w:spacing w:after="0"/>
              <w:rPr>
                <w:sz w:val="20"/>
                <w:szCs w:val="20"/>
                <w:color w:val="auto"/>
              </w:rPr>
            </w:pPr>
            <w:r>
              <w:rPr>
                <w:rFonts w:ascii="Arial" w:cs="Arial" w:eastAsia="Arial" w:hAnsi="Arial"/>
                <w:sz w:val="18"/>
                <w:szCs w:val="18"/>
                <w:color w:val="auto"/>
                <w:w w:val="87"/>
              </w:rPr>
              <w:t>(Dollars in 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3,212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Total nonperforming loans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Total nonperforming assets</w:t>
            </w:r>
          </w:p>
        </w:tc>
        <w:tc>
          <w:tcPr>
            <w:tcW w:w="7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6,328</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7,863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2019, nonperforming assets totaled $14.8 million, or 1.20% of total assets, as compared to $14.2 million, or 1.23% of total assets, as of June 30, 2018.</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OREO decreased by $219 thousand, or 9.8%, to $2.0 million at March 31, 2019, compared to $2.2 million at June 30, 2018. The decrease was primarily the result of the sale of one property during the quarter ended September 30, 2018, partially offset by the addition of one property during the quarter ended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Company’s allowance for loan losses amounted to $5.7 million as of March 31, 2019, compared to $4.8 million as of June 30, 2018. The increase in the period is primarily the result of the increase in loan balance, as well as an increase in qualitative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March 31, 2019</w:t>
            </w:r>
          </w:p>
        </w:tc>
        <w:tc>
          <w:tcPr>
            <w:tcW w:w="200" w:type="dxa"/>
            <w:vAlign w:val="bottom"/>
          </w:tcPr>
          <w:p>
            <w:pPr>
              <w:spacing w:after="0"/>
              <w:rPr>
                <w:sz w:val="20"/>
                <w:szCs w:val="20"/>
                <w:color w:val="auto"/>
              </w:rPr>
            </w:pPr>
          </w:p>
        </w:tc>
        <w:tc>
          <w:tcPr>
            <w:tcW w:w="1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March 31, 2018</w:t>
            </w:r>
          </w:p>
        </w:tc>
        <w:tc>
          <w:tcPr>
            <w:tcW w:w="10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44.38%</w:t>
            </w:r>
          </w:p>
        </w:tc>
        <w:tc>
          <w:tcPr>
            <w:tcW w:w="17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40.20%</w:t>
            </w:r>
          </w:p>
        </w:tc>
        <w:tc>
          <w:tcPr>
            <w:tcW w:w="1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34.46%</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0.59%</w:t>
            </w:r>
          </w:p>
        </w:tc>
        <w:tc>
          <w:tcPr>
            <w:tcW w:w="17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0.55%</w:t>
            </w:r>
          </w:p>
        </w:tc>
        <w:tc>
          <w:tcPr>
            <w:tcW w:w="17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0.57%</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0.04%</w:t>
            </w:r>
          </w:p>
        </w:tc>
        <w:tc>
          <w:tcPr>
            <w:tcW w:w="1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0.04%</w:t>
            </w:r>
          </w:p>
        </w:tc>
        <w:tc>
          <w:tcPr>
            <w:tcW w:w="1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0.03%</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w:t>
      </w:r>
    </w:p>
    <w:p>
      <w:pPr>
        <w:sectPr>
          <w:pgSz w:w="11900" w:h="16908" w:orient="portrait"/>
          <w:cols w:equalWidth="0" w:num="1">
            <w:col w:w="11400"/>
          </w:cols>
          <w:pgMar w:left="240" w:top="118" w:right="25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other factors.</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Premises and equipment, net, decreased by $805 thousand, or 12.2%, to $5.8 million at March 31, 2019, compared to $6.6 million at June 30, 2018. The decrease was primarily due to depreciation and amortization.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Intangible assets totaled $542 thousand and $867 thousand at March 31, 2019 and June 30, 2018, respectively. The $325 thousand decrease was the result of amortization during the period.</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Servicing rights, net totaled $2.9 million and $3.0 million at March 31, 2019 and June 30, 2018, respectively. The $27 thousand decrease was the result of amortization and the revaluation of the servicing rights performed on a quarterly basis, offset by SBA loans sold during the nine months ended March 31, 2019.</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cash surrender value of the Company’s bank-owned life insurance (“BOLI”) assets increased $328 thousand, or 2.0% to $16.9 million at March 31, 2019, compared to $16.6 million at June 30, 2018. Increases in cash surrender value are recognized in noninterest income and are not subject to income taxes. Borrowing on, or surrendering a policy, may subject the Company to income tax expense on the increase in cash surrender value. For these reasons, management considers BOLI an illiquid asset. BOLI represented 9.2% of the Company’s regulatory total capital at March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FHLBB Advances, Subordinated Debt, Liquidity, and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March 31, 2019, non-maturity accounts and non-brokered insured time deposits represented 99.9% of total deposits.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deposits increased by $61.7 million, or 6.5%, from June 30, 2018, attributable primarily to an increase in time deposits of $187.1 million, or 53.1%, as a result of campaigns in the current period, partially offset by decreases in money market accounts of $124.2 million, or 29.5%.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March 31, 2019 and June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4"/>
          </w:tcPr>
          <w:p>
            <w:pPr>
              <w:jc w:val="right"/>
              <w:ind w:right="930"/>
              <w:spacing w:after="0"/>
              <w:rPr>
                <w:sz w:val="20"/>
                <w:szCs w:val="20"/>
                <w:color w:val="auto"/>
              </w:rPr>
            </w:pPr>
            <w:r>
              <w:rPr>
                <w:rFonts w:ascii="Arial" w:cs="Arial" w:eastAsia="Arial" w:hAnsi="Arial"/>
                <w:sz w:val="18"/>
                <w:szCs w:val="18"/>
                <w:color w:val="auto"/>
              </w:rPr>
              <w:t>March 31, 2019</w:t>
            </w:r>
          </w:p>
        </w:tc>
        <w:tc>
          <w:tcPr>
            <w:tcW w:w="220" w:type="dxa"/>
            <w:vAlign w:val="bottom"/>
          </w:tcPr>
          <w:p>
            <w:pPr>
              <w:spacing w:after="0"/>
              <w:rPr>
                <w:sz w:val="20"/>
                <w:szCs w:val="20"/>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Percent of Total</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71"/>
              </w:rPr>
              <w:t>in</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Percent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76,003</w:t>
            </w: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72,272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68,197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73,347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36,481</w:t>
            </w: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36,290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Money market deposits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296,720</w:t>
            </w:r>
          </w:p>
        </w:tc>
        <w:tc>
          <w:tcPr>
            <w:tcW w:w="1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29.18%</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420,886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477,401</w:t>
            </w:r>
          </w:p>
        </w:tc>
        <w:tc>
          <w:tcPr>
            <w:tcW w:w="1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46.96%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602,795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Term certificates of $250 thousand or less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538,913</w:t>
            </w:r>
          </w:p>
        </w:tc>
        <w:tc>
          <w:tcPr>
            <w:tcW w:w="1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53.01%</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352,145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greater than $250 thousand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539,223</w:t>
            </w:r>
          </w:p>
        </w:tc>
        <w:tc>
          <w:tcPr>
            <w:tcW w:w="1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53.04%</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352,145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1,016,624</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954,940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FHLBB Advances</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Advances from the FHLBB were $15.0 million at both March 31, 2019 and June 30, 2018. As of March 31, 2019, the Company had pledged certain residential real estate loans and commercial real estate loans to secure outstanding advances and provide additional borrowing capacity. As of March 31, 2019, no securities were pledged for outstanding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June 29, 2016, the Company entered into a Subordinated Note Purchase Agreement with certain institutional accredited investors pursuant to which the Company issued subordinated notes equal to $15.1 million in aggregate principal amount with an interest rate of 6.75% fixed-to-floating maturing in 2026 (“subordinated notes”). The subordinated notes, net of issuance costs, totaled $14.8 million and $14.7 million at March 31, 2019 and June 30, 2018, respectively.</w:t>
      </w:r>
    </w:p>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had junior subordinated debentures issued to affiliated trusts totaling $9.4 million and $9.2 million at March 31, 2019 and June 30, 2018, respectively. The unpaid principal balance of the junior subordinated debentures totaled $16.5 million at both March 31, 2019 and June 30, 2018.</w:t>
      </w:r>
    </w:p>
    <w:p>
      <w:pPr>
        <w:sectPr>
          <w:pgSz w:w="11900" w:h="16838" w:orient="portrait"/>
          <w:cols w:equalWidth="0" w:num="1">
            <w:col w:w="11400"/>
          </w:cols>
          <w:pgMar w:left="240" w:top="118" w:right="25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connection with the Reorganization, the Company intends to redeem the junior subordinated debentures and the Bank will assume the Company’s obligations under the subordinated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unused borrowing capacity of the Company at March 31, 2019, in addition to traditional retail deposit products: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Brokered time deposits</w:t>
      </w:r>
    </w:p>
    <w:p>
      <w:pPr>
        <w:spacing w:after="0" w:line="23" w:lineRule="exact"/>
        <w:rPr>
          <w:sz w:val="20"/>
          <w:szCs w:val="20"/>
          <w:color w:val="auto"/>
        </w:rPr>
      </w:pPr>
    </w:p>
    <w:p>
      <w:pPr>
        <w:ind w:left="300" w:right="252"/>
        <w:spacing w:after="0" w:line="273" w:lineRule="auto"/>
        <w:rPr>
          <w:sz w:val="20"/>
          <w:szCs w:val="20"/>
          <w:color w:val="auto"/>
        </w:rPr>
      </w:pPr>
      <w:r>
        <w:rPr>
          <w:rFonts w:ascii="Arial" w:cs="Arial" w:eastAsia="Arial" w:hAnsi="Arial"/>
          <w:sz w:val="18"/>
          <w:szCs w:val="18"/>
          <w:color w:val="auto"/>
        </w:rPr>
        <w:t>Federal Home Loan Bank of Boston Other available lines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unused borrowing capacity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8"/>
        <w:spacing w:after="0"/>
        <w:rPr>
          <w:sz w:val="20"/>
          <w:szCs w:val="20"/>
          <w:color w:val="auto"/>
        </w:rPr>
      </w:pPr>
      <w:r>
        <w:rPr>
          <w:rFonts w:ascii="Arial" w:cs="Arial" w:eastAsia="Arial" w:hAnsi="Arial"/>
          <w:sz w:val="18"/>
          <w:szCs w:val="18"/>
          <w:color w:val="auto"/>
        </w:rPr>
        <w:t>As of March 31, 2019</w:t>
      </w:r>
    </w:p>
    <w:p>
      <w:pPr>
        <w:spacing w:after="0" w:line="23" w:lineRule="exact"/>
        <w:rPr>
          <w:sz w:val="20"/>
          <w:szCs w:val="20"/>
          <w:color w:val="auto"/>
        </w:rPr>
      </w:pPr>
    </w:p>
    <w:p>
      <w:pPr>
        <w:ind w:left="68"/>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1097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3" w:lineRule="exact"/>
        <w:rPr>
          <w:sz w:val="20"/>
          <w:szCs w:val="20"/>
          <w:color w:val="auto"/>
        </w:rPr>
      </w:pPr>
    </w:p>
    <w:p>
      <w:pPr>
        <w:ind w:left="1148" w:hanging="1148"/>
        <w:spacing w:after="0"/>
        <w:tabs>
          <w:tab w:leader="none" w:pos="11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307,541 Subject to policy limitation of 25%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-130810</wp:posOffset>
            </wp:positionV>
            <wp:extent cx="687768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1228"/>
        <w:spacing w:after="0"/>
        <w:rPr>
          <w:sz w:val="20"/>
          <w:szCs w:val="20"/>
          <w:color w:val="auto"/>
        </w:rPr>
      </w:pPr>
      <w:r>
        <w:rPr>
          <w:rFonts w:ascii="Arial" w:cs="Arial" w:eastAsia="Arial" w:hAnsi="Arial"/>
          <w:sz w:val="16"/>
          <w:szCs w:val="16"/>
          <w:color w:val="auto"/>
        </w:rPr>
        <w:t>37,637 Unused advance capacity subject to eligible and qualified collateral</w:t>
      </w:r>
    </w:p>
    <w:p>
      <w:pPr>
        <w:spacing w:after="0" w:line="32" w:lineRule="exact"/>
        <w:rPr>
          <w:sz w:val="20"/>
          <w:szCs w:val="20"/>
          <w:color w:val="auto"/>
        </w:rPr>
      </w:pPr>
    </w:p>
    <w:p>
      <w:pPr>
        <w:ind w:left="1228"/>
        <w:spacing w:after="0"/>
        <w:rPr>
          <w:sz w:val="20"/>
          <w:szCs w:val="20"/>
          <w:color w:val="auto"/>
        </w:rPr>
      </w:pPr>
      <w:r>
        <w:rPr>
          <w:rFonts w:ascii="Arial" w:cs="Arial" w:eastAsia="Arial" w:hAnsi="Arial"/>
          <w:sz w:val="18"/>
          <w:szCs w:val="18"/>
          <w:color w:val="auto"/>
        </w:rPr>
        <w:t>17,500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-130810</wp:posOffset>
            </wp:positionV>
            <wp:extent cx="68776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ind w:left="1148" w:hanging="1148"/>
        <w:spacing w:after="0"/>
        <w:tabs>
          <w:tab w:leader="none" w:pos="11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362,678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097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1097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3152" w:space="720"/>
            <w:col w:w="7548"/>
          </w:cols>
          <w:pgMar w:left="240" w:top="118" w:right="239" w:bottom="1440" w:gutter="0" w:footer="0" w:header="0"/>
          <w:type w:val="continuous"/>
        </w:sectPr>
      </w:pPr>
    </w:p>
    <w:p>
      <w:pPr>
        <w:spacing w:after="0" w:line="24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of the FHLBB may be required.</w:t>
      </w:r>
    </w:p>
    <w:p>
      <w:pPr>
        <w:spacing w:after="0" w:line="1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At March 31, 2019, the Company had $427.4 million of immediately accessible liquidity, defined as cash that the Bank reasonably believes could be raised within seven days through collateralized borrowings, brokered deposits or security sales. This position represented 34.7% of total assets. The Company also had $152.9 million of cash and cash equivalents at March 31, 2019.</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unpaid principal balance and carrying amount of junior subordinated debentures totaled $16.5 million and $9.4 million, respectively, as of March 31, 2019. The unpaid principal balance and carrying amount of subordinated debentures totaled $15.1 million and $14.8 million, respectively, as of March 31,</w:t>
      </w:r>
    </w:p>
    <w:p>
      <w:pPr>
        <w:ind w:right="260"/>
        <w:spacing w:after="0" w:line="254" w:lineRule="auto"/>
        <w:rPr>
          <w:sz w:val="20"/>
          <w:szCs w:val="20"/>
          <w:color w:val="auto"/>
        </w:rPr>
      </w:pPr>
      <w:r>
        <w:rPr>
          <w:rFonts w:ascii="Arial" w:cs="Arial" w:eastAsia="Arial" w:hAnsi="Arial"/>
          <w:sz w:val="18"/>
          <w:szCs w:val="18"/>
          <w:color w:val="auto"/>
        </w:rPr>
        <w:t>2019. The junior subordinated debentures represents qualifying Tier 1 capital for the Company, up to a maximum of 25% of total Tier 1 capital, and subordinated debentures represents qualifying Tier 2 capital for the Company. At March 31, 2019, the carrying amounts of the junior subordinated debentures, net of the Company’s $496 thousand investment in the affiliated trusts, qualified as Tier 1 capital, and the subordinated debt qualified as Tier 2 capital.</w:t>
      </w:r>
    </w:p>
    <w:p>
      <w:pPr>
        <w:spacing w:after="0" w:line="19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connection with the Reorganization, the Company intends to redeem the $16.5 million unpaid principal balance of junior subordinated debentures issued by the Company in connection with the issuance of trust preferred securities by its three Delaware statutory trust subsidiaries, and the Bank will assume the Company’s obligations under the $15.1 million unpaid principal balance of 6.75% Fixed-to-Floating Rate Subordinated Notes due July 1, 2026. On a pro forma basis as of March 31, 2019, after giving effect to these transactions, the Bank’s Tier 1 leverage capital ratio and Total capital ratio would have been 12.3% and 17.8%, respectively, and the Bank would be considered “well capitalized” under all regulatory capital definitions and in excess of the proposed standards. In addition, the redemption of the junior subordinated debentures is expected to result in a reduction in net income of approximately $5.2 million, after tax, during the quarter in which the redemption occurs, due to the write-off of the carrying value discount on the debentures that was recognized in connection with the merger of FHB Formation LLC with and into the Company in December 2010.</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March 31, 2019, shareholders’ equity was $153.2 million, an increase of $14.8 million, or 10.7% from June 30, 2018. Book value per outstanding common share was $16.94 at March 31, 2019 and $15.49 at June 30, 2018. Tier 1 capital to total average assets of the Company was 13.6% as of March 31, 2019 and 13.1% at June 30, 2018.</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ectPr>
          <w:pgSz w:w="11900" w:h="16838" w:orient="portrait"/>
          <w:cols w:equalWidth="0" w:num="1">
            <w:col w:w="11420"/>
          </w:cols>
          <w:pgMar w:left="240" w:top="118" w:right="2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w:t>
      </w:r>
    </w:p>
    <w:p>
      <w:pPr>
        <w:spacing w:after="0" w:line="2" w:lineRule="exact"/>
        <w:rPr>
          <w:sz w:val="20"/>
          <w:szCs w:val="20"/>
          <w:color w:val="auto"/>
        </w:rPr>
      </w:pPr>
    </w:p>
    <w:p>
      <w:pPr>
        <w:ind w:right="260" w:firstLine="8"/>
        <w:spacing w:after="0" w:line="290"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the Bank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7"/>
          </w:tcPr>
          <w:p>
            <w:pPr>
              <w:jc w:val="center"/>
              <w:ind w:right="400"/>
              <w:spacing w:after="0"/>
              <w:rPr>
                <w:sz w:val="20"/>
                <w:szCs w:val="20"/>
                <w:color w:val="auto"/>
              </w:rPr>
            </w:pPr>
            <w:r>
              <w:rPr>
                <w:rFonts w:ascii="Arial" w:cs="Arial" w:eastAsia="Arial" w:hAnsi="Arial"/>
                <w:sz w:val="18"/>
                <w:szCs w:val="18"/>
                <w:color w:val="auto"/>
                <w:w w:val="95"/>
              </w:rPr>
              <w:t>Minimum To Be Well</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Capital 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7"/>
          </w:tcPr>
          <w:p>
            <w:pPr>
              <w:jc w:val="center"/>
              <w:ind w:right="380"/>
              <w:spacing w:after="0"/>
              <w:rPr>
                <w:sz w:val="20"/>
                <w:szCs w:val="20"/>
                <w:color w:val="auto"/>
              </w:rPr>
            </w:pPr>
            <w:r>
              <w:rPr>
                <w:rFonts w:ascii="Arial" w:cs="Arial" w:eastAsia="Arial" w:hAnsi="Arial"/>
                <w:sz w:val="18"/>
                <w:szCs w:val="18"/>
                <w:color w:val="auto"/>
                <w:w w:val="92"/>
              </w:rPr>
              <w:t>Capitalized Under</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with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5"/>
          </w:tcPr>
          <w:p>
            <w:pPr>
              <w:ind w:left="140"/>
              <w:spacing w:after="0"/>
              <w:rPr>
                <w:sz w:val="20"/>
                <w:szCs w:val="20"/>
                <w:color w:val="auto"/>
              </w:rPr>
            </w:pPr>
            <w:r>
              <w:rPr>
                <w:rFonts w:ascii="Arial" w:cs="Arial" w:eastAsia="Arial" w:hAnsi="Arial"/>
                <w:sz w:val="18"/>
                <w:szCs w:val="18"/>
                <w:color w:val="auto"/>
                <w:w w:val="95"/>
              </w:rPr>
              <w:t>Minimum Capital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7"/>
          </w:tcPr>
          <w:p>
            <w:pPr>
              <w:jc w:val="center"/>
              <w:ind w:right="400"/>
              <w:spacing w:after="0"/>
              <w:rPr>
                <w:sz w:val="20"/>
                <w:szCs w:val="20"/>
                <w:color w:val="auto"/>
              </w:rPr>
            </w:pPr>
            <w:r>
              <w:rPr>
                <w:rFonts w:ascii="Arial" w:cs="Arial" w:eastAsia="Arial" w:hAnsi="Arial"/>
                <w:sz w:val="18"/>
                <w:szCs w:val="18"/>
                <w:color w:val="auto"/>
                <w:w w:val="92"/>
              </w:rPr>
              <w:t>Prompt Corrective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Conservation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Actual</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5"/>
          </w:tcPr>
          <w:p>
            <w:pPr>
              <w:ind w:left="280"/>
              <w:spacing w:after="0"/>
              <w:rPr>
                <w:sz w:val="20"/>
                <w:szCs w:val="20"/>
                <w:color w:val="auto"/>
              </w:rPr>
            </w:pPr>
            <w:r>
              <w:rPr>
                <w:rFonts w:ascii="Arial" w:cs="Arial" w:eastAsia="Arial" w:hAnsi="Arial"/>
                <w:sz w:val="18"/>
                <w:szCs w:val="18"/>
                <w:color w:val="auto"/>
              </w:rPr>
              <w:t>Requirements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7"/>
          </w:tcPr>
          <w:p>
            <w:pPr>
              <w:jc w:val="center"/>
              <w:ind w:right="400"/>
              <w:spacing w:after="0"/>
              <w:rPr>
                <w:sz w:val="20"/>
                <w:szCs w:val="20"/>
                <w:color w:val="auto"/>
              </w:rPr>
            </w:pPr>
            <w:r>
              <w:rPr>
                <w:rFonts w:ascii="Arial" w:cs="Arial" w:eastAsia="Arial" w:hAnsi="Arial"/>
                <w:sz w:val="18"/>
                <w:szCs w:val="18"/>
                <w:color w:val="auto"/>
                <w:w w:val="94"/>
              </w:rPr>
              <w:t>Action Provisions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Buffer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color w:val="auto"/>
                <w:w w:val="95"/>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Ratio</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0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11"/>
          </w:tcPr>
          <w:p>
            <w:pPr>
              <w:ind w:left="660"/>
              <w:spacing w:after="0"/>
              <w:rPr>
                <w:sz w:val="20"/>
                <w:szCs w:val="20"/>
                <w:color w:val="auto"/>
              </w:rPr>
            </w:pPr>
            <w:r>
              <w:rPr>
                <w:rFonts w:ascii="Arial" w:cs="Arial" w:eastAsia="Arial" w:hAnsi="Arial"/>
                <w:sz w:val="18"/>
                <w:szCs w:val="18"/>
                <w:color w:val="auto"/>
              </w:rPr>
              <w:t>(Dollars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equity tier 1 capital to risk weighted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154,557</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42,841</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173,290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18.20%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rPr>
              <w:t>42,839</w:t>
            </w: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4.5%</w:t>
            </w:r>
          </w:p>
        </w:tc>
        <w:tc>
          <w:tcPr>
            <w:tcW w:w="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61,879</w:t>
            </w:r>
          </w:p>
        </w:tc>
        <w:tc>
          <w:tcPr>
            <w:tcW w:w="460" w:type="dxa"/>
            <w:vAlign w:val="bottom"/>
            <w:gridSpan w:val="3"/>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4"/>
              </w:rPr>
              <w:t>&gt;</w:t>
            </w:r>
          </w:p>
        </w:tc>
        <w:tc>
          <w:tcPr>
            <w:tcW w:w="6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6.5%</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183,988</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19.33%</w:t>
            </w:r>
          </w:p>
        </w:tc>
        <w:tc>
          <w:tcPr>
            <w:tcW w:w="120" w:type="dxa"/>
            <w:vAlign w:val="bottom"/>
          </w:tcPr>
          <w:p>
            <w:pPr>
              <w:spacing w:after="0"/>
              <w:rPr>
                <w:sz w:val="15"/>
                <w:szCs w:val="15"/>
                <w:color w:val="auto"/>
              </w:rPr>
            </w:pP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76,163</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179,000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rPr>
              <w:t>76,159</w:t>
            </w: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8.0%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95,198</w:t>
            </w:r>
          </w:p>
        </w:tc>
        <w:tc>
          <w:tcPr>
            <w:tcW w:w="1060" w:type="dxa"/>
            <w:vAlign w:val="bottom"/>
            <w:gridSpan w:val="5"/>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 10.0%</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163,476</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17.17%</w:t>
            </w:r>
          </w:p>
        </w:tc>
        <w:tc>
          <w:tcPr>
            <w:tcW w:w="120" w:type="dxa"/>
            <w:vAlign w:val="bottom"/>
          </w:tcPr>
          <w:p>
            <w:pPr>
              <w:spacing w:after="0"/>
              <w:rPr>
                <w:sz w:val="15"/>
                <w:szCs w:val="15"/>
                <w:color w:val="auto"/>
              </w:rPr>
            </w:pP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57,122</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173,290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18.20%</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83"/>
              </w:rPr>
              <w:t>57,119</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6.0%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76,159</w:t>
            </w:r>
          </w:p>
        </w:tc>
        <w:tc>
          <w:tcPr>
            <w:tcW w:w="460" w:type="dxa"/>
            <w:vAlign w:val="bottom"/>
            <w:gridSpan w:val="3"/>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4"/>
              </w:rPr>
              <w:t>&gt;</w:t>
            </w:r>
          </w:p>
        </w:tc>
        <w:tc>
          <w:tcPr>
            <w:tcW w:w="6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8.0%</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163,476</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13.58%</w:t>
            </w:r>
          </w:p>
        </w:tc>
        <w:tc>
          <w:tcPr>
            <w:tcW w:w="120" w:type="dxa"/>
            <w:vAlign w:val="bottom"/>
          </w:tcPr>
          <w:p>
            <w:pPr>
              <w:spacing w:after="0"/>
              <w:rPr>
                <w:sz w:val="15"/>
                <w:szCs w:val="15"/>
                <w:color w:val="auto"/>
              </w:rPr>
            </w:pP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48,135</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173,290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83"/>
              </w:rPr>
              <w:t>48,114</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4.0%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60,143</w:t>
            </w:r>
          </w:p>
        </w:tc>
        <w:tc>
          <w:tcPr>
            <w:tcW w:w="460" w:type="dxa"/>
            <w:vAlign w:val="bottom"/>
            <w:gridSpan w:val="3"/>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4"/>
              </w:rPr>
              <w:t>&gt;</w:t>
            </w:r>
          </w:p>
        </w:tc>
        <w:tc>
          <w:tcPr>
            <w:tcW w:w="6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5.0%</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3"/>
              </w:rPr>
              <w:t>Common equity tier 1 capital to risk weighted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139,247</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83"/>
              </w:rPr>
              <w:t>39,113</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4.5%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18.04%</w:t>
            </w:r>
          </w:p>
        </w:tc>
        <w:tc>
          <w:tcPr>
            <w:tcW w:w="120" w:type="dxa"/>
            <w:vAlign w:val="bottom"/>
          </w:tcPr>
          <w:p>
            <w:pPr>
              <w:spacing w:after="0"/>
              <w:rPr>
                <w:sz w:val="15"/>
                <w:szCs w:val="15"/>
                <w:color w:val="auto"/>
              </w:rPr>
            </w:pP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39,120</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4.5%</w:t>
            </w:r>
          </w:p>
        </w:tc>
        <w:tc>
          <w:tcPr>
            <w:tcW w:w="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56,506</w:t>
            </w:r>
          </w:p>
        </w:tc>
        <w:tc>
          <w:tcPr>
            <w:tcW w:w="460" w:type="dxa"/>
            <w:vAlign w:val="bottom"/>
            <w:gridSpan w:val="3"/>
          </w:tcPr>
          <w:p>
            <w:pPr>
              <w:jc w:val="center"/>
              <w:ind w:left="230"/>
              <w:spacing w:after="0" w:line="176" w:lineRule="exact"/>
              <w:rPr>
                <w:sz w:val="20"/>
                <w:szCs w:val="20"/>
                <w:color w:val="auto"/>
              </w:rPr>
            </w:pPr>
            <w:r>
              <w:rPr>
                <w:rFonts w:ascii="Arial" w:cs="Arial" w:eastAsia="Arial" w:hAnsi="Arial"/>
                <w:sz w:val="18"/>
                <w:szCs w:val="18"/>
                <w:color w:val="auto"/>
                <w:w w:val="94"/>
              </w:rPr>
              <w:t>&gt;</w:t>
            </w:r>
          </w:p>
        </w:tc>
        <w:tc>
          <w:tcPr>
            <w:tcW w:w="6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6.5%</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167,567</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rPr>
              <w:t>69,535</w:t>
            </w: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8.0%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161,714</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18.60%</w:t>
            </w:r>
          </w:p>
        </w:tc>
        <w:tc>
          <w:tcPr>
            <w:tcW w:w="120" w:type="dxa"/>
            <w:vAlign w:val="bottom"/>
          </w:tcPr>
          <w:p>
            <w:pPr>
              <w:spacing w:after="0"/>
              <w:rPr>
                <w:sz w:val="15"/>
                <w:szCs w:val="15"/>
                <w:color w:val="auto"/>
              </w:rPr>
            </w:pP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69,546</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86,933</w:t>
            </w:r>
          </w:p>
        </w:tc>
        <w:tc>
          <w:tcPr>
            <w:tcW w:w="106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auto"/>
              </w:rPr>
              <w:t>&gt; 10.0%</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147,990</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rPr>
              <w:t>52,151</w:t>
            </w: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6.0%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18.04%</w:t>
            </w:r>
          </w:p>
        </w:tc>
        <w:tc>
          <w:tcPr>
            <w:tcW w:w="120" w:type="dxa"/>
            <w:vAlign w:val="bottom"/>
          </w:tcPr>
          <w:p>
            <w:pPr>
              <w:spacing w:after="0"/>
              <w:rPr>
                <w:sz w:val="15"/>
                <w:szCs w:val="15"/>
                <w:color w:val="auto"/>
              </w:rPr>
            </w:pP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52,160</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69,546</w:t>
            </w:r>
          </w:p>
        </w:tc>
        <w:tc>
          <w:tcPr>
            <w:tcW w:w="460" w:type="dxa"/>
            <w:vAlign w:val="bottom"/>
            <w:gridSpan w:val="3"/>
          </w:tcPr>
          <w:p>
            <w:pPr>
              <w:jc w:val="center"/>
              <w:ind w:left="230"/>
              <w:spacing w:after="0" w:line="176" w:lineRule="exact"/>
              <w:rPr>
                <w:sz w:val="20"/>
                <w:szCs w:val="20"/>
                <w:color w:val="auto"/>
              </w:rPr>
            </w:pPr>
            <w:r>
              <w:rPr>
                <w:rFonts w:ascii="Arial" w:cs="Arial" w:eastAsia="Arial" w:hAnsi="Arial"/>
                <w:sz w:val="18"/>
                <w:szCs w:val="18"/>
                <w:color w:val="auto"/>
                <w:w w:val="94"/>
              </w:rPr>
              <w:t>&gt;</w:t>
            </w:r>
          </w:p>
        </w:tc>
        <w:tc>
          <w:tcPr>
            <w:tcW w:w="6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8.0%</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147,990</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rPr>
              <w:t>45,102</w:t>
            </w:r>
          </w:p>
        </w:tc>
        <w:tc>
          <w:tcPr>
            <w:tcW w:w="460" w:type="dxa"/>
            <w:vAlign w:val="bottom"/>
            <w:gridSpan w:val="2"/>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87"/>
              </w:rPr>
              <w:t>4.0%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w w:val="99"/>
              </w:rPr>
              <w:t>N/A</w:t>
            </w:r>
          </w:p>
        </w:tc>
        <w:tc>
          <w:tcPr>
            <w:tcW w:w="14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13.92%</w:t>
            </w:r>
          </w:p>
        </w:tc>
        <w:tc>
          <w:tcPr>
            <w:tcW w:w="120" w:type="dxa"/>
            <w:vAlign w:val="bottom"/>
          </w:tcPr>
          <w:p>
            <w:pPr>
              <w:spacing w:after="0"/>
              <w:rPr>
                <w:sz w:val="15"/>
                <w:szCs w:val="15"/>
                <w:color w:val="auto"/>
              </w:rPr>
            </w:pPr>
          </w:p>
        </w:tc>
        <w:tc>
          <w:tcPr>
            <w:tcW w:w="880" w:type="dxa"/>
            <w:vAlign w:val="bottom"/>
            <w:gridSpan w:val="2"/>
          </w:tcPr>
          <w:p>
            <w:pPr>
              <w:ind w:left="280"/>
              <w:spacing w:after="0" w:line="176" w:lineRule="exact"/>
              <w:rPr>
                <w:sz w:val="20"/>
                <w:szCs w:val="20"/>
                <w:color w:val="auto"/>
              </w:rPr>
            </w:pPr>
            <w:r>
              <w:rPr>
                <w:rFonts w:ascii="Arial" w:cs="Arial" w:eastAsia="Arial" w:hAnsi="Arial"/>
                <w:sz w:val="18"/>
                <w:szCs w:val="18"/>
                <w:color w:val="auto"/>
              </w:rPr>
              <w:t>45,075</w:t>
            </w:r>
          </w:p>
        </w:tc>
        <w:tc>
          <w:tcPr>
            <w:tcW w:w="460" w:type="dxa"/>
            <w:vAlign w:val="bottom"/>
            <w:gridSpan w:val="2"/>
          </w:tcPr>
          <w:p>
            <w:pPr>
              <w:jc w:val="center"/>
              <w:ind w:left="270"/>
              <w:spacing w:after="0" w:line="176" w:lineRule="exact"/>
              <w:rPr>
                <w:sz w:val="20"/>
                <w:szCs w:val="20"/>
                <w:color w:val="auto"/>
              </w:rPr>
            </w:pPr>
            <w:r>
              <w:rPr>
                <w:rFonts w:ascii="Arial" w:cs="Arial" w:eastAsia="Arial" w:hAnsi="Arial"/>
                <w:sz w:val="18"/>
                <w:szCs w:val="18"/>
                <w:color w:val="auto"/>
                <w:w w:val="94"/>
              </w:rPr>
              <w:t>&gt;</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87"/>
              </w:rPr>
              <w:t>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56,344</w:t>
            </w:r>
          </w:p>
        </w:tc>
        <w:tc>
          <w:tcPr>
            <w:tcW w:w="460" w:type="dxa"/>
            <w:vAlign w:val="bottom"/>
            <w:gridSpan w:val="3"/>
          </w:tcPr>
          <w:p>
            <w:pPr>
              <w:jc w:val="center"/>
              <w:ind w:left="230"/>
              <w:spacing w:after="0" w:line="176" w:lineRule="exact"/>
              <w:rPr>
                <w:sz w:val="20"/>
                <w:szCs w:val="20"/>
                <w:color w:val="auto"/>
              </w:rPr>
            </w:pPr>
            <w:r>
              <w:rPr>
                <w:rFonts w:ascii="Arial" w:cs="Arial" w:eastAsia="Arial" w:hAnsi="Arial"/>
                <w:sz w:val="18"/>
                <w:szCs w:val="18"/>
                <w:color w:val="auto"/>
                <w:w w:val="94"/>
              </w:rPr>
              <w:t>&gt;</w:t>
            </w:r>
          </w:p>
        </w:tc>
        <w:tc>
          <w:tcPr>
            <w:tcW w:w="6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5.0%</w:t>
            </w:r>
          </w:p>
        </w:tc>
        <w:tc>
          <w:tcPr>
            <w:tcW w:w="1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2.5% on January 1, 2019.</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Company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connection with the merger on December 29, 2010,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ectPr>
          <w:pgSz w:w="11900" w:h="16838" w:orient="portrait"/>
          <w:cols w:equalWidth="0" w:num="1">
            <w:col w:w="11420"/>
          </w:cols>
          <w:pgMar w:left="240" w:top="118" w:right="239" w:bottom="568"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68"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more detail above, in connection with the Reorganization, the Bank intends to replace these commitments with standards relating to its capital levels and asset portfolio composition, which will be incorporated into its policies and procedures, and compliance with FDIC policy on commercial real estate concentration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These financial instruments include commitments to extend credit, unused lines of credit, standby letters of credit, and commitments to fund investments. These instruments involve, to varying degrees, elements of credit and interest-rate risk in excess of the amounts recognized on the condensed consolidated balance sheet. The contract or notional amounts of these instruments reflect the extent of the Company’s involvement in particular classes of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income increased by $896 thousand to $4.8 million for the quarter ended March 31, 2019, compared to net income of $3.9 million for the quarter ended March 31, 2018. The increase in net income was due to the increase in base interest income, partially offset by lower transactional interest income, higher funding costs, and an increase in noninterest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and 2018</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$1.9 million to $15.0 million for the quarter ended March 31, 2019, compared to $13.1 million for the quarter ended March 31, 2018. The increase was primarily due to higher yields and higher average balances in the loan portfolio. These increases were partially offset by higher funding costs and higher average deposit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and related yields recognized on the loan portfolios: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Interest Income and Yield on Loans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color w:val="auto"/>
                <w:w w:val="91"/>
              </w:rPr>
              <w:t>Three Months Ended March 31,</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6"/>
                <w:szCs w:val="16"/>
                <w:color w:val="auto"/>
              </w:rPr>
            </w:pPr>
          </w:p>
        </w:tc>
        <w:tc>
          <w:tcPr>
            <w:tcW w:w="8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6"/>
                <w:szCs w:val="16"/>
                <w:color w:val="auto"/>
              </w:rPr>
            </w:pPr>
          </w:p>
        </w:tc>
        <w:tc>
          <w:tcPr>
            <w:tcW w:w="10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Interest</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2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Balance (1)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20"/>
                <w:szCs w:val="20"/>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Yield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Balance (1)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w:t>
            </w:r>
          </w:p>
        </w:tc>
        <w:tc>
          <w:tcPr>
            <w:tcW w:w="200" w:type="dxa"/>
            <w:vAlign w:val="bottom"/>
          </w:tcPr>
          <w:p>
            <w:pPr>
              <w:spacing w:after="0"/>
              <w:rPr>
                <w:sz w:val="20"/>
                <w:szCs w:val="20"/>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20"/>
                <w:szCs w:val="20"/>
                <w:color w:val="auto"/>
              </w:rPr>
            </w:pPr>
          </w:p>
        </w:tc>
      </w:tr>
      <w:tr>
        <w:trPr>
          <w:trHeight w:val="210"/>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jc w:val="center"/>
              <w:ind w:right="160"/>
              <w:spacing w:after="0"/>
              <w:rPr>
                <w:sz w:val="20"/>
                <w:szCs w:val="20"/>
                <w:color w:val="auto"/>
              </w:rPr>
            </w:pPr>
            <w:r>
              <w:rPr>
                <w:rFonts w:ascii="Arial" w:cs="Arial" w:eastAsia="Arial" w:hAnsi="Arial"/>
                <w:sz w:val="18"/>
                <w:szCs w:val="18"/>
                <w:color w:val="auto"/>
                <w:w w:val="91"/>
              </w:rPr>
              <w:t>(Dollars 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102,850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4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136,824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69,247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53,069</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437,499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8,490</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351,271</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5,916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r>
      <w:tr>
        <w:trPr>
          <w:trHeight w:val="21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4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241,793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w:t>
            </w:r>
          </w:p>
        </w:tc>
      </w:tr>
      <w:tr>
        <w:trPr>
          <w:trHeight w:val="20"/>
        </w:trPr>
        <w:tc>
          <w:tcPr>
            <w:tcW w:w="2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ind w:left="320"/>
              <w:spacing w:after="0"/>
              <w:rPr>
                <w:sz w:val="20"/>
                <w:szCs w:val="20"/>
                <w:color w:val="auto"/>
              </w:rPr>
            </w:pPr>
            <w:r>
              <w:rPr>
                <w:rFonts w:ascii="Arial" w:cs="Arial" w:eastAsia="Arial" w:hAnsi="Arial"/>
                <w:sz w:val="18"/>
                <w:szCs w:val="18"/>
                <w:color w:val="auto"/>
              </w:rPr>
              <w:t>Total LASG</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761,913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593,064</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12,648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r>
      <w:tr>
        <w:trPr>
          <w:trHeight w:val="20"/>
        </w:trPr>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934,010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14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782,957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760" w:hanging="618"/>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components of total income on purchased loans are set forth in the table below entitled “Total Return on Purchased Loans.” When compared to the three months ended March 31, 2018, transactional income for the three months ended March 31, 2019 decreased by $672 thousand, while regularly scheduled interest and accretion increased by $1.6 million due to the increase in average balance. The total return on purchased loans for the three months ended March 31, 2019 was 10.2%.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The following table details the total return on purchased loans: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color w:val="auto"/>
                <w:w w:val="89"/>
              </w:rPr>
              <w:t>Total Return on Purchased Loans</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8"/>
                <w:szCs w:val="18"/>
                <w:color w:val="auto"/>
                <w:w w:val="90"/>
              </w:rPr>
              <w:t>Three Months Ended March 31,</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Income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center"/>
              <w:ind w:right="380"/>
              <w:spacing w:after="0"/>
              <w:rPr>
                <w:sz w:val="20"/>
                <w:szCs w:val="20"/>
                <w:color w:val="auto"/>
              </w:rPr>
            </w:pPr>
            <w:r>
              <w:rPr>
                <w:rFonts w:ascii="Arial" w:cs="Arial" w:eastAsia="Arial" w:hAnsi="Arial"/>
                <w:sz w:val="18"/>
                <w:szCs w:val="18"/>
                <w:color w:val="auto"/>
                <w:w w:val="91"/>
              </w:rPr>
              <w:t>(Dollars in thousands)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Transactional income: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0.87%</w:t>
            </w:r>
          </w:p>
        </w:tc>
      </w:tr>
      <w:tr>
        <w:trPr>
          <w:trHeight w:val="216"/>
        </w:trPr>
        <w:tc>
          <w:tcPr>
            <w:tcW w:w="6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6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3.52%</w:t>
            </w:r>
          </w:p>
        </w:tc>
      </w:tr>
      <w:tr>
        <w:trPr>
          <w:trHeight w:val="210"/>
        </w:trPr>
        <w:tc>
          <w:tcPr>
            <w:tcW w:w="66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10"/>
        </w:trPr>
        <w:tc>
          <w:tcPr>
            <w:tcW w:w="660" w:type="dxa"/>
            <w:vAlign w:val="bottom"/>
          </w:tcPr>
          <w:p>
            <w:pPr>
              <w:spacing w:after="0"/>
              <w:rPr>
                <w:sz w:val="18"/>
                <w:szCs w:val="18"/>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10.22%</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12.16%</w:t>
            </w: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0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interest rate spread increased by 12 basis points to 4.81% and net interest margin increased by 26 basis points to 5.20% for the quarter ended March 31, 2019 compared to the quarter ended March 31, 2018. The increase was principally due to higher average loan balances in the quarter and higher yields, offset by higher deposit rates and average deposit balances.</w:t>
      </w:r>
    </w:p>
    <w:p>
      <w:pPr>
        <w:sectPr>
          <w:pgSz w:w="11900" w:h="16838" w:orient="portrait"/>
          <w:cols w:equalWidth="0" w:num="1">
            <w:col w:w="11320"/>
          </w:cols>
          <w:pgMar w:left="240" w:top="118" w:right="339" w:bottom="1440" w:gutter="0" w:footer="0" w:header="0"/>
        </w:sectPr>
      </w:pP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type w:val="continuous"/>
        </w:sectPr>
      </w:pPr>
    </w:p>
    <w:bookmarkStart w:id="43" w:name="page44"/>
    <w:bookmarkEnd w:id="43"/>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March 31, 2019 and 2018.</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color w:val="auto"/>
                <w:w w:val="94"/>
              </w:rPr>
              <w:t>Three Months Ended March 31,</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Interest</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Average</w:t>
            </w: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Income/</w:t>
            </w: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Yield/</w:t>
            </w: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Average</w:t>
            </w:r>
          </w:p>
        </w:tc>
        <w:tc>
          <w:tcPr>
            <w:tcW w:w="1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Income/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r>
      <w:tr>
        <w:trPr>
          <w:trHeight w:val="230"/>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Balance</w:t>
            </w:r>
          </w:p>
        </w:tc>
        <w:tc>
          <w:tcPr>
            <w:tcW w:w="14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Expense</w:t>
            </w:r>
          </w:p>
        </w:tc>
        <w:tc>
          <w:tcPr>
            <w:tcW w:w="12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14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Balance</w:t>
            </w:r>
          </w:p>
        </w:tc>
        <w:tc>
          <w:tcPr>
            <w:tcW w:w="14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Expense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Rate</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934,010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18,796</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8.16%</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782,957</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15,408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7.98%</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Short-term investments (4)</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152,854</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913</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202,283</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1,172,514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20,179</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1,078,628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2,647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3,079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28,399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32,332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1,203,560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1,114,039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68,869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68,716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0.29%</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318,423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1,251</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428,946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35,599</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38,369</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0.18%</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501,378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321,271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924,269</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4,447</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857,302</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24,170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578</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23,831</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8.93%</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963,858</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5,146</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896,830</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0"/>
        </w:trPr>
        <w:tc>
          <w:tcPr>
            <w:tcW w:w="3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79,599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7,714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1,052,946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982,753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150,614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131,286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1,203,560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1,114,039</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37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15,033</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13,134</w:t>
            </w: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197"/>
        </w:trPr>
        <w:tc>
          <w:tcPr>
            <w:tcW w:w="37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Net interest margin (5)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4.94%</w:t>
            </w:r>
          </w:p>
        </w:tc>
      </w:tr>
    </w:tbl>
    <w:p>
      <w:pPr>
        <w:spacing w:after="0" w:line="214" w:lineRule="exact"/>
        <w:rPr>
          <w:sz w:val="20"/>
          <w:szCs w:val="20"/>
          <w:color w:val="auto"/>
        </w:rPr>
      </w:pPr>
    </w:p>
    <w:p>
      <w:pPr>
        <w:ind w:left="600" w:hanging="30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600" w:hanging="30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00" w:right="780" w:hanging="7"/>
        <w:spacing w:after="0" w:line="250"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Nonaccrual loans are included in the computation of average, but unpaid interest has not been included for purposes of determining interest income.</w:t>
      </w:r>
    </w:p>
    <w:p>
      <w:pPr>
        <w:ind w:left="600" w:hanging="30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Short-term investments include FHLB overnight deposits and other interest-bearing deposits.</w:t>
      </w:r>
    </w:p>
    <w:p>
      <w:pPr>
        <w:spacing w:after="0" w:line="9" w:lineRule="exact"/>
        <w:rPr>
          <w:rFonts w:ascii="Arial" w:cs="Arial" w:eastAsia="Arial" w:hAnsi="Arial"/>
          <w:sz w:val="18"/>
          <w:szCs w:val="18"/>
          <w:color w:val="auto"/>
        </w:rPr>
      </w:pPr>
    </w:p>
    <w:p>
      <w:pPr>
        <w:ind w:left="600" w:hanging="30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40" w:type="dxa"/>
            <w:vAlign w:val="bottom"/>
            <w:gridSpan w:val="9"/>
          </w:tcPr>
          <w:p>
            <w:pPr>
              <w:jc w:val="right"/>
              <w:ind w:right="540"/>
              <w:spacing w:after="0"/>
              <w:rPr>
                <w:sz w:val="20"/>
                <w:szCs w:val="20"/>
                <w:color w:val="auto"/>
              </w:rPr>
            </w:pPr>
            <w:r>
              <w:rPr>
                <w:rFonts w:ascii="Arial" w:cs="Arial" w:eastAsia="Arial" w:hAnsi="Arial"/>
                <w:sz w:val="18"/>
                <w:szCs w:val="18"/>
                <w:color w:val="auto"/>
                <w:w w:val="96"/>
              </w:rPr>
              <w:t>Three Months Ended March 31, 2019 Compared to 2018</w:t>
            </w:r>
          </w:p>
        </w:tc>
      </w:tr>
      <w:tr>
        <w:trPr>
          <w:trHeight w:val="195"/>
        </w:trPr>
        <w:tc>
          <w:tcPr>
            <w:tcW w:w="3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w w:val="94"/>
              </w:rPr>
              <w:t>Change Due to</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80" w:type="dxa"/>
            <w:vAlign w:val="bottom"/>
          </w:tcPr>
          <w:p>
            <w:pPr>
              <w:spacing w:after="0"/>
              <w:rPr>
                <w:sz w:val="20"/>
                <w:szCs w:val="20"/>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Change Due to Rate</w:t>
            </w:r>
          </w:p>
        </w:tc>
        <w:tc>
          <w:tcPr>
            <w:tcW w:w="20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3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r>
      <w:tr>
        <w:trPr>
          <w:trHeight w:val="216"/>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r>
      <w:tr>
        <w:trPr>
          <w:trHeight w:val="20"/>
        </w:trPr>
        <w:tc>
          <w:tcPr>
            <w:tcW w:w="33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6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915</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8"/>
                <w:szCs w:val="18"/>
                <w:color w:val="auto"/>
              </w:rPr>
            </w:pPr>
          </w:p>
        </w:tc>
      </w:tr>
      <w:tr>
        <w:trPr>
          <w:trHeight w:val="210"/>
        </w:trPr>
        <w:tc>
          <w:tcPr>
            <w:tcW w:w="3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72"/>
        </w:trPr>
        <w:tc>
          <w:tcPr>
            <w:tcW w:w="3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18"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1,410</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8"/>
                <w:szCs w:val="18"/>
                <w:color w:val="auto"/>
              </w:rPr>
            </w:pPr>
          </w:p>
        </w:tc>
        <w:tc>
          <w:tcPr>
            <w:tcW w:w="2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8"/>
                <w:szCs w:val="18"/>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2019 and 2018</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Net interest and dividend income before provision for loan losses increased by $6.1 million for the nine months ended March 31, 2019, compared to the nine months ended March 31, 2018. The increase was primarily due to higher average balances and higher rates earned in the loan portfolio. These increases were partially offset by lower transactional income, higher funding costs and higher average deposit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and related yields recognized on the loan portfolios: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8"/>
                <w:szCs w:val="18"/>
                <w:color w:val="auto"/>
                <w:w w:val="90"/>
              </w:rPr>
              <w:t>Interest Income and Yield on Loans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92"/>
              </w:rPr>
              <w:t>Nine Months Ended March 31,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6"/>
                <w:szCs w:val="16"/>
                <w:color w:val="auto"/>
              </w:rPr>
            </w:pPr>
          </w:p>
        </w:tc>
        <w:tc>
          <w:tcPr>
            <w:tcW w:w="9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Interest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6"/>
                <w:szCs w:val="16"/>
                <w:color w:val="auto"/>
              </w:rPr>
            </w:pPr>
          </w:p>
        </w:tc>
        <w:tc>
          <w:tcPr>
            <w:tcW w:w="11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Interest</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2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Balance (1)</w:t>
            </w:r>
          </w:p>
        </w:tc>
        <w:tc>
          <w:tcPr>
            <w:tcW w:w="18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360" w:type="dxa"/>
            <w:vAlign w:val="bottom"/>
            <w:gridSpan w:val="2"/>
          </w:tcPr>
          <w:p>
            <w:pPr>
              <w:jc w:val="right"/>
              <w:ind w:right="530"/>
              <w:spacing w:after="0"/>
              <w:rPr>
                <w:sz w:val="20"/>
                <w:szCs w:val="20"/>
                <w:color w:val="auto"/>
              </w:rPr>
            </w:pPr>
            <w:r>
              <w:rPr>
                <w:rFonts w:ascii="Arial" w:cs="Arial" w:eastAsia="Arial" w:hAnsi="Arial"/>
                <w:sz w:val="18"/>
                <w:szCs w:val="18"/>
                <w:color w:val="auto"/>
              </w:rPr>
              <w:t>Yield</w:t>
            </w: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(1)</w:t>
            </w:r>
          </w:p>
        </w:tc>
        <w:tc>
          <w:tcPr>
            <w:tcW w:w="18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Income</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Yield</w:t>
            </w:r>
          </w:p>
        </w:tc>
      </w:tr>
      <w:tr>
        <w:trPr>
          <w:trHeight w:val="210"/>
        </w:trPr>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4,319</w:t>
            </w:r>
          </w:p>
        </w:tc>
        <w:tc>
          <w:tcPr>
            <w:tcW w:w="15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SBA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71,309</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4,091</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52,014</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418,747</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24,031</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340,014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16,746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311,780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22,815</w:t>
            </w:r>
          </w:p>
        </w:tc>
        <w:tc>
          <w:tcPr>
            <w:tcW w:w="15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0"/>
        </w:trPr>
        <w:tc>
          <w:tcPr>
            <w:tcW w:w="2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280" w:type="dxa"/>
            <w:vAlign w:val="bottom"/>
          </w:tcPr>
          <w:p>
            <w:pPr>
              <w:ind w:left="320"/>
              <w:spacing w:after="0"/>
              <w:rPr>
                <w:sz w:val="20"/>
                <w:szCs w:val="20"/>
                <w:color w:val="auto"/>
              </w:rPr>
            </w:pPr>
            <w:r>
              <w:rPr>
                <w:rFonts w:ascii="Arial" w:cs="Arial" w:eastAsia="Arial" w:hAnsi="Arial"/>
                <w:sz w:val="18"/>
                <w:szCs w:val="18"/>
                <w:color w:val="auto"/>
              </w:rPr>
              <w:t>Total LASG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730,527</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46,846</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577,197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37,278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8.60%</w:t>
            </w:r>
          </w:p>
        </w:tc>
      </w:tr>
      <w:tr>
        <w:trPr>
          <w:trHeight w:val="20"/>
        </w:trPr>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912,402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55,256</w:t>
            </w:r>
          </w:p>
        </w:tc>
        <w:tc>
          <w:tcPr>
            <w:tcW w:w="15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772,084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620" w:hanging="478"/>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table details the total return on purchased loans. When compared to the nine months ended March 31, 2018, transactional income for the nine months ended March 31, 2019 decreased by $1.8 million, while regularly scheduled interest and accretion increased by $4.1 million due to the increase in average balance.</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color w:val="auto"/>
                <w:w w:val="89"/>
              </w:rPr>
              <w:t>Total Return on Purchased Loans</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color w:val="auto"/>
                <w:w w:val="92"/>
              </w:rPr>
              <w:t>Nine Months Ended March 31,</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Income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center"/>
              <w:ind w:right="380"/>
              <w:spacing w:after="0"/>
              <w:rPr>
                <w:sz w:val="20"/>
                <w:szCs w:val="20"/>
                <w:color w:val="auto"/>
              </w:rPr>
            </w:pPr>
            <w:r>
              <w:rPr>
                <w:rFonts w:ascii="Arial" w:cs="Arial" w:eastAsia="Arial" w:hAnsi="Arial"/>
                <w:sz w:val="18"/>
                <w:szCs w:val="18"/>
                <w:color w:val="auto"/>
                <w:w w:val="91"/>
              </w:rPr>
              <w:t>(Dollars in thousands)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Transactional income: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3.83%</w:t>
            </w:r>
          </w:p>
        </w:tc>
      </w:tr>
      <w:tr>
        <w:trPr>
          <w:trHeight w:val="210"/>
        </w:trPr>
        <w:tc>
          <w:tcPr>
            <w:tcW w:w="4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10"/>
        </w:trPr>
        <w:tc>
          <w:tcPr>
            <w:tcW w:w="4420" w:type="dxa"/>
            <w:vAlign w:val="bottom"/>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21,048</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11.82%</w:t>
            </w:r>
          </w:p>
        </w:tc>
      </w:tr>
      <w:tr>
        <w:trPr>
          <w:trHeight w:val="20"/>
        </w:trPr>
        <w:tc>
          <w:tcPr>
            <w:tcW w:w="4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6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interest rate spread increased by five basis points to 4.81% and net interest margin increased by 15 basis points to 5.15% for the nine months ended March 31, 2019 compared to the nine months ended March 31, 2018. The increase was principally due to higher average balances and higher rates earned in the loan portfolio, partially offset by higher deposit rates and average deposit balances, as well as lower transactional income recognized in the nine months ended March 31, 2019.</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nine months ended March 31, 2019 and 2018.</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w w:val="95"/>
              </w:rPr>
              <w:t>Nine Months Ended March 31,</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Interest</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Average</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Income/</w:t>
            </w: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Yield/</w:t>
            </w: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Average</w:t>
            </w:r>
          </w:p>
        </w:tc>
        <w:tc>
          <w:tcPr>
            <w:tcW w:w="1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Income/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r>
      <w:tr>
        <w:trPr>
          <w:trHeight w:val="230"/>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Balance</w:t>
            </w: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Expense</w:t>
            </w:r>
          </w:p>
        </w:tc>
        <w:tc>
          <w:tcPr>
            <w:tcW w:w="10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14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Balance</w:t>
            </w:r>
          </w:p>
        </w:tc>
        <w:tc>
          <w:tcPr>
            <w:tcW w:w="14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Expense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Rate</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912,402</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55,256</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772,084</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45,302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164,841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169,073</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1,164,640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59,274</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1,036,825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2,606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2,981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30,339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1,197,585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1,071,730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70,882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0.34%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69,532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0.29%</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366,326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394,364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35,592</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37,418</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450,064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7,627</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312,268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922,864</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12,111</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813,582</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7,001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24,084</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23,745</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8.70%</w:t>
            </w: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962,438</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14,241</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855,685</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9,020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0"/>
        </w:trPr>
        <w:tc>
          <w:tcPr>
            <w:tcW w:w="3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80,953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80,896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7,080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1,051,966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943,661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145,619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128,069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1,197,585</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1,071,730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37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(5)</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38,913</w:t>
            </w: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197"/>
        </w:trPr>
        <w:tc>
          <w:tcPr>
            <w:tcW w:w="37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Net interest margin (6)</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w:t>
            </w:r>
          </w:p>
        </w:tc>
      </w:tr>
    </w:tbl>
    <w:p>
      <w:pPr>
        <w:spacing w:after="0" w:line="214" w:lineRule="exact"/>
        <w:rPr>
          <w:sz w:val="20"/>
          <w:szCs w:val="20"/>
          <w:color w:val="auto"/>
        </w:rPr>
      </w:pPr>
    </w:p>
    <w:p>
      <w:pPr>
        <w:ind w:left="600" w:hanging="307"/>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600" w:hanging="307"/>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00" w:right="600" w:hanging="7"/>
        <w:spacing w:after="0" w:line="250"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Nonaccrual loans are included in the computation of average, but unpaid interest has not been included for purposes of determining interest income.</w:t>
      </w:r>
    </w:p>
    <w:p>
      <w:pPr>
        <w:ind w:left="540" w:hanging="247"/>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Short-term investments include FHLB overnight deposits and other interest-bearing deposits.</w:t>
      </w:r>
    </w:p>
    <w:p>
      <w:pPr>
        <w:spacing w:after="0" w:line="9" w:lineRule="exact"/>
        <w:rPr>
          <w:rFonts w:ascii="Arial" w:cs="Arial" w:eastAsia="Arial" w:hAnsi="Arial"/>
          <w:sz w:val="18"/>
          <w:szCs w:val="18"/>
          <w:color w:val="auto"/>
        </w:rPr>
      </w:pPr>
    </w:p>
    <w:p>
      <w:pPr>
        <w:ind w:left="540" w:hanging="247"/>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tax exempt interest income of $10 thousand for the nine months ended March 31, 2018.</w:t>
      </w:r>
    </w:p>
    <w:p>
      <w:pPr>
        <w:spacing w:after="0" w:line="9" w:lineRule="exact"/>
        <w:rPr>
          <w:rFonts w:ascii="Arial" w:cs="Arial" w:eastAsia="Arial" w:hAnsi="Arial"/>
          <w:sz w:val="18"/>
          <w:szCs w:val="18"/>
          <w:color w:val="auto"/>
        </w:rPr>
      </w:pPr>
    </w:p>
    <w:p>
      <w:pPr>
        <w:ind w:left="540" w:hanging="247"/>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40" w:type="dxa"/>
            <w:vAlign w:val="bottom"/>
            <w:gridSpan w:val="9"/>
          </w:tcPr>
          <w:p>
            <w:pPr>
              <w:jc w:val="right"/>
              <w:ind w:right="580"/>
              <w:spacing w:after="0"/>
              <w:rPr>
                <w:sz w:val="20"/>
                <w:szCs w:val="20"/>
                <w:color w:val="auto"/>
              </w:rPr>
            </w:pPr>
            <w:r>
              <w:rPr>
                <w:rFonts w:ascii="Arial" w:cs="Arial" w:eastAsia="Arial" w:hAnsi="Arial"/>
                <w:sz w:val="18"/>
                <w:szCs w:val="18"/>
                <w:color w:val="auto"/>
                <w:w w:val="98"/>
              </w:rPr>
              <w:t>Nine Months Ended March 31, 2019 Compared to 2018</w:t>
            </w:r>
          </w:p>
        </w:tc>
      </w:tr>
      <w:tr>
        <w:trPr>
          <w:trHeight w:val="195"/>
        </w:trPr>
        <w:tc>
          <w:tcPr>
            <w:tcW w:w="4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w w:val="94"/>
              </w:rPr>
              <w:t>Change Due to</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80" w:type="dxa"/>
            <w:vAlign w:val="bottom"/>
          </w:tcPr>
          <w:p>
            <w:pPr>
              <w:spacing w:after="0"/>
              <w:rPr>
                <w:sz w:val="20"/>
                <w:szCs w:val="20"/>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Change Due to Rate</w:t>
            </w:r>
          </w:p>
        </w:tc>
        <w:tc>
          <w:tcPr>
            <w:tcW w:w="20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4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w:t>
            </w:r>
          </w:p>
        </w:tc>
      </w:tr>
      <w:tr>
        <w:trPr>
          <w:trHeight w:val="20"/>
        </w:trPr>
        <w:tc>
          <w:tcPr>
            <w:tcW w:w="4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2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3,014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11,341</w:t>
            </w:r>
          </w:p>
        </w:tc>
        <w:tc>
          <w:tcPr>
            <w:tcW w:w="8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w:t>
            </w: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4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80" w:type="dxa"/>
            <w:vAlign w:val="bottom"/>
            <w:shd w:val="clear" w:color="auto" w:fill="CCEEFF"/>
          </w:tcPr>
          <w:p>
            <w:pPr>
              <w:spacing w:after="0"/>
              <w:rPr>
                <w:sz w:val="18"/>
                <w:szCs w:val="18"/>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2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6,120</w:t>
            </w:r>
          </w:p>
        </w:tc>
        <w:tc>
          <w:tcPr>
            <w:tcW w:w="8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and 2018</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provision for loan losses for the three months ended March 31, 2019 and 2018 was $414 thousand and $364 thousand, respectively. The increase in the Company’s provision for loan losses was primarily due to changes in the composition of the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2019 and 2018</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provision for loan losses for the nine months ended March 31, 2019 and 2018 was $1.0 million and $1.2 million, respectively. The decrease in the Company’s provision for loan losses was primarily due to changes in the composition of the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and 2018</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Noninterest income decreased by $16 thousand for the quarter ended March 31, 2019, compared to the quarter ended March 31, 2018, principally due to the following:</w:t>
      </w:r>
    </w:p>
    <w:p>
      <w:pPr>
        <w:spacing w:after="0" w:line="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$119 thousand, due to lower volume of residential loans sold in the quarter;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decrease in fees for other services to customers of $27 thousand, due to lower deposit fees and commercial loan servicing fees; offset by,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gain on sale of other loans of $66 thousand, due to a higher volume of LASG purchased loans sold in the quarter;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net unrealized gain on equity securities of $65 thousand.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2019 and 2018</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Noninterest income decreased by $103 thousand for the nine months ended March 31, 2019, compared to the nine months ended March 31, 2018, principally due to the following:</w:t>
      </w:r>
    </w:p>
    <w:p>
      <w:pPr>
        <w:spacing w:after="0" w:line="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$385 thousand, due to lower volume of residential loans sold in the period; and</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fees for other services to customers of $197 thousand, due to lower commercial loan servicing fees as a result of the write-off of servicing assets related to SBA loans that paid off during the period; offset by,</w:t>
      </w: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gain on sale of SBA loans of $440 thousand, due to a higher volume of SBA guarantees sold.</w:t>
      </w:r>
    </w:p>
    <w:p>
      <w:pPr>
        <w:sectPr>
          <w:pgSz w:w="11900" w:h="16838" w:orient="portrait"/>
          <w:cols w:equalWidth="0" w:num="1">
            <w:col w:w="11420"/>
          </w:cols>
          <w:pgMar w:left="240" w:top="118" w:right="239" w:bottom="906"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06" w:gutter="0" w:footer="0" w:header="0"/>
          <w:type w:val="continuous"/>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and 2018</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Noninterest expense increased by $777 thousand for the quarter ended March 31, 2019 compared to the quarter ended March 31, 2018, primarily due to the following:</w:t>
      </w:r>
    </w:p>
    <w:p>
      <w:pPr>
        <w:spacing w:after="0" w:line="1" w:lineRule="exact"/>
        <w:rPr>
          <w:sz w:val="20"/>
          <w:szCs w:val="20"/>
          <w:color w:val="auto"/>
        </w:rPr>
      </w:pPr>
    </w:p>
    <w:p>
      <w:pPr>
        <w:ind w:left="660" w:right="5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salaries and employee benefits expense of $453 thousand, primarily due to increases in base salary, stock-based compensation expense, incentive compensation, and a decrease in deferred salaries expense;</w:t>
      </w:r>
    </w:p>
    <w:p>
      <w:pPr>
        <w:ind w:left="660" w:right="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loan acquisition and collection expense of $345 thousand, largely driven by increased loan expenses and collection expenses incurred on the purchased loan payoffs and real estate owned during the quarter; and</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data processing fees of $208 thousand, primarily due to increased IT outsourcing costs; partially offset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decrease in occupancy and equipment of $202 thousand, primarily due to a decrease in equipment repairs and maintenance expense.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2019 and 2018</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Noninterest expense increased by $2.8 million for the nine months ended March 31, 2019, compared to the nine months ended March 31, 2018, primarily due to the following:</w:t>
      </w:r>
    </w:p>
    <w:p>
      <w:pPr>
        <w:spacing w:after="0" w:line="1" w:lineRule="exact"/>
        <w:rPr>
          <w:sz w:val="20"/>
          <w:szCs w:val="20"/>
          <w:color w:val="auto"/>
        </w:rPr>
      </w:pPr>
    </w:p>
    <w:p>
      <w:pPr>
        <w:ind w:left="980" w:right="28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salaries and employee benefits expense of $1.2 million, primarily due to increases in incentive compensation and stock-based compensation expense;</w:t>
      </w: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data processing fees of $918 thousand, primarily due to increased IT outsourcing costs;</w:t>
      </w:r>
    </w:p>
    <w:p>
      <w:pPr>
        <w:spacing w:after="0" w:line="9" w:lineRule="exact"/>
        <w:rPr>
          <w:rFonts w:ascii="Arial" w:cs="Arial" w:eastAsia="Arial" w:hAnsi="Arial"/>
          <w:sz w:val="18"/>
          <w:szCs w:val="18"/>
          <w:color w:val="auto"/>
        </w:rPr>
      </w:pPr>
    </w:p>
    <w:p>
      <w:pPr>
        <w:ind w:left="980" w:right="340" w:hanging="324"/>
        <w:spacing w:after="0" w:line="265"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in loan acquisition and collection expense of $635 thousand, largely driven by increased loan expenses and collection expenses incurred on purchased loan payoffs, real estate owned and increased SBA and purchased loan activity during the period;</w:t>
      </w:r>
    </w:p>
    <w:p>
      <w:pPr>
        <w:ind w:left="980" w:right="20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professional fees of $225 thousand, primarily due to increased legal expense related to the anticipated reorganization and other consulting costs; and</w:t>
      </w: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in other noninterest expense of $380 thousand, primarily due to the quarterly valuation of SBA servicing rights; offset by,</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occupancy and equipment expense of $726 thousand due to lower equipment repairs and maintenance.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and 2018</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Income tax expense increased by $160 thousand to $1.9 million, or an effective tax rate of 28.3%, for the quarter ended March 31, 2019, compared to $1.7 million, or an effective tax rate of 30.7%, for the quarter ended March 31, 2018. The increase in income tax expense was due to the increase in pre-tax earnings. The decrease in effective tax rate was primarily due to the decrease in the federal corporate income tax rate to 21.0% for the quarter ended March 31, 2019, as compared to the blended federal corporate income tax rate of 28.0% for the quarter ended March 31, 2018, offset by a decrease in excess tax benefits recognized in the current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2019 and 2018</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Income tax expense increased by $714 thousand to $5.5 million, or an effective tax rate of 27.4%, for the nine months ended March 31, 2019, compared to $4.7 million, or an effective tax rate of 28.6%, the nine months ended March 31, 2018. The increase in expense was due to the increase in earnings. The decrease in the effective tax rate was primarily due to the following:</w:t>
      </w:r>
    </w:p>
    <w:p>
      <w:pPr>
        <w:ind w:left="980" w:right="20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new federal corporate income tax rate of 21.0% for the nine months ended March 31, 2019, as compared to the blended federal corporate income tax rate of 28.0% for the nine months ended March 31, 2018; and</w:t>
      </w:r>
    </w:p>
    <w:p>
      <w:pPr>
        <w:ind w:left="980" w:right="20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$498 thousand revaluation of the deferred tax asset as a result of the Tax Cuts and Jobs Act recorded in the nine months ended March 31, 2018; partially offset by,</w:t>
      </w:r>
    </w:p>
    <w:p>
      <w:pPr>
        <w:ind w:left="980" w:hanging="324"/>
        <w:spacing w:after="0" w:line="277"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 decrease in the income tax benefit recognized of $990 thousand arising from the treatment of vested restricted stock awards under ASU 2016-09, </w:t>
      </w:r>
      <w:r>
        <w:rPr>
          <w:rFonts w:ascii="Arial" w:cs="Arial" w:eastAsia="Arial" w:hAnsi="Arial"/>
          <w:sz w:val="17"/>
          <w:szCs w:val="17"/>
          <w:i w:val="1"/>
          <w:iCs w:val="1"/>
          <w:color w:val="auto"/>
        </w:rPr>
        <w:t>Compensation–Stock Compensation (Topic 718): Improvements to Employee Share-Based Payment Accounting,</w:t>
      </w:r>
      <w:r>
        <w:rPr>
          <w:rFonts w:ascii="Arial" w:cs="Arial" w:eastAsia="Arial" w:hAnsi="Arial"/>
          <w:sz w:val="17"/>
          <w:szCs w:val="17"/>
          <w:color w:val="auto"/>
        </w:rPr>
        <w:t xml:space="preserve"> whereby the tax effects of vested awards or exercised stock options are treated as a discrete item in the reporting period in which they occur.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March 31, 2019.</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March 31, 2019 that have materially affected, or is reasonably likely to materially affect, the Company’s internal controls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00" w:right="120" w:hanging="3"/>
        <w:spacing w:after="0" w:line="277" w:lineRule="auto"/>
        <w:tabs>
          <w:tab w:leader="none" w:pos="9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were no purchases made by the Company of its common stock during the three months ended March 31, 2019. The Company’s amended stock repurchase program expired on October 21, 2018.</w:t>
      </w:r>
    </w:p>
    <w:p>
      <w:pPr>
        <w:spacing w:after="0" w:line="16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40"/>
        <w:spacing w:after="0"/>
        <w:tabs>
          <w:tab w:leader="none" w:pos="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8"/>
          <w:szCs w:val="18"/>
          <w:u w:val="single" w:color="auto"/>
          <w:color w:val="auto"/>
        </w:rPr>
        <w:t>Exhibits</w:t>
      </w:r>
      <w:r>
        <w:rPr>
          <w:sz w:val="20"/>
          <w:szCs w:val="20"/>
          <w:color w:val="auto"/>
        </w:rPr>
        <w:tab/>
      </w:r>
      <w:r>
        <w:rPr>
          <w:rFonts w:ascii="Arial" w:cs="Arial" w:eastAsia="Arial" w:hAnsi="Arial"/>
          <w:sz w:val="16"/>
          <w:szCs w:val="16"/>
          <w:u w:val="single" w:color="auto"/>
          <w:color w:val="auto"/>
        </w:rPr>
        <w:t>Description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w:t>
      </w:r>
    </w:p>
    <w:p>
      <w:pPr>
        <w:spacing w:after="0" w:line="9" w:lineRule="exact"/>
        <w:rPr>
          <w:sz w:val="20"/>
          <w:szCs w:val="20"/>
          <w:color w:val="auto"/>
        </w:rPr>
      </w:pPr>
    </w:p>
    <w:p>
      <w:pPr>
        <w:ind w:left="6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3">
        <w:r>
          <w:rPr>
            <w:rFonts w:ascii="Arial" w:cs="Arial" w:eastAsia="Arial" w:hAnsi="Arial"/>
            <w:sz w:val="16"/>
            <w:szCs w:val="16"/>
            <w:u w:val="single" w:color="auto"/>
            <w:color w:val="0000EE"/>
          </w:rPr>
          <w:t>Certification of the Chief Executive Officer pursuant to Section 302 of the Sarbanes-Oxley Act of 2002 (Rule 13a-14(a)). *</w:t>
        </w:r>
      </w:hyperlink>
    </w:p>
    <w:p>
      <w:pPr>
        <w:spacing w:after="0" w:line="9" w:lineRule="exact"/>
        <w:rPr>
          <w:sz w:val="20"/>
          <w:szCs w:val="20"/>
          <w:color w:val="auto"/>
        </w:rPr>
      </w:pPr>
    </w:p>
    <w:p>
      <w:pPr>
        <w:ind w:left="6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4">
        <w:r>
          <w:rPr>
            <w:rFonts w:ascii="Arial" w:cs="Arial" w:eastAsia="Arial" w:hAnsi="Arial"/>
            <w:sz w:val="16"/>
            <w:szCs w:val="16"/>
            <w:u w:val="single" w:color="auto"/>
            <w:color w:val="0000EE"/>
          </w:rPr>
          <w:t>Certification of the Chief Financial Officer pursuant to Section 302 of the Sarbanes-Oxley Act of 2002 (Rule 13a-14(a)). *</w:t>
        </w:r>
      </w:hyperlink>
    </w:p>
    <w:p>
      <w:pPr>
        <w:spacing w:after="0" w:line="9" w:lineRule="exact"/>
        <w:rPr>
          <w:sz w:val="20"/>
          <w:szCs w:val="20"/>
          <w:color w:val="auto"/>
        </w:rPr>
      </w:pPr>
    </w:p>
    <w:p>
      <w:pPr>
        <w:ind w:left="1260" w:right="260" w:hanging="609"/>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5">
        <w:r>
          <w:rPr>
            <w:rFonts w:ascii="Arial" w:cs="Arial" w:eastAsia="Arial" w:hAnsi="Arial"/>
            <w:sz w:val="18"/>
            <w:szCs w:val="18"/>
            <w:u w:val="single" w:color="auto"/>
            <w:color w:val="0000EE"/>
          </w:rPr>
          <w:t>Certificate of the Chief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Act of 2002 (Rule 13a-14(b)). **</w:t>
        </w:r>
      </w:hyperlink>
    </w:p>
    <w:p>
      <w:pPr>
        <w:spacing w:after="0" w:line="1" w:lineRule="exact"/>
        <w:rPr>
          <w:sz w:val="20"/>
          <w:szCs w:val="20"/>
          <w:color w:val="auto"/>
        </w:rPr>
      </w:pPr>
    </w:p>
    <w:p>
      <w:pPr>
        <w:ind w:left="1260" w:hanging="609"/>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6">
        <w:r>
          <w:rPr>
            <w:rFonts w:ascii="Arial" w:cs="Arial" w:eastAsia="Arial" w:hAnsi="Arial"/>
            <w:sz w:val="18"/>
            <w:szCs w:val="18"/>
            <w:u w:val="single" w:color="auto"/>
            <w:color w:val="0000EE"/>
          </w:rPr>
          <w:t>Certificate of the Chief Financial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of 2002 (Rule 13a-14(b)). **</w:t>
        </w:r>
      </w:hyperlink>
    </w:p>
    <w:p>
      <w:pPr>
        <w:spacing w:after="0" w:line="1" w:lineRule="exact"/>
        <w:rPr>
          <w:sz w:val="20"/>
          <w:szCs w:val="20"/>
          <w:color w:val="auto"/>
        </w:rPr>
      </w:pPr>
    </w:p>
    <w:p>
      <w:pPr>
        <w:ind w:left="1260" w:right="40" w:hanging="583"/>
        <w:spacing w:after="0" w:line="252"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March 31, 2019 formatted in XBRL: (i) Consolidated Balance Sheets as of March 31, 2019 and June 30, 2018; (ii) Consolidated Statements of Income for the three and nine months ended March 31, 2019 and 2018; (iii) Consolidated Statements of Comprehensive Income for the three and nine months ended March 31, 2019 and 2018; (iv) Consolidated Statements of Changes in Shareholders’ Equity for the three and nine months ended March 31, 2019 and 2018; (v) Consolidated Statements of Cash Flows for the nine months ended March 31, 2019 and 2018; and (v) Notes to Unaudited Consolidated Financial Statements. *</w:t>
      </w:r>
    </w:p>
    <w:p>
      <w:pPr>
        <w:spacing w:after="0" w:line="1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7"/>
          <w:szCs w:val="17"/>
          <w:b w:val="1"/>
          <w:bCs w:val="1"/>
          <w:color w:val="auto"/>
        </w:rPr>
        <w:t>NORTHEAST BANCORP</w:t>
      </w:r>
    </w:p>
    <w:p>
      <w:pPr>
        <w:spacing w:after="0" w:line="22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Richard Wayne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Jean-Pierre Lapointe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118"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Exhibit 31.1 Certification of the Chief Executive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620" w:hanging="376"/>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8, 2019</w:t>
      </w:r>
    </w:p>
    <w:p>
      <w:pPr>
        <w:spacing w:after="0" w:line="23" w:lineRule="exact"/>
        <w:rPr>
          <w:sz w:val="20"/>
          <w:szCs w:val="20"/>
          <w:color w:val="auto"/>
        </w:rPr>
      </w:pPr>
    </w:p>
    <w:p>
      <w:pPr>
        <w:jc w:val="right"/>
        <w:ind w:right="4320"/>
        <w:spacing w:after="0"/>
        <w:rPr>
          <w:sz w:val="20"/>
          <w:szCs w:val="20"/>
          <w:color w:val="auto"/>
        </w:rPr>
      </w:pPr>
      <w:r>
        <w:rPr>
          <w:rFonts w:ascii="Arial" w:cs="Arial" w:eastAsia="Arial" w:hAnsi="Arial"/>
          <w:sz w:val="18"/>
          <w:szCs w:val="18"/>
          <w:u w:val="single" w:color="auto"/>
          <w:color w:val="auto"/>
        </w:rPr>
        <w:t>/s/ Richard Wayne</w:t>
      </w:r>
    </w:p>
    <w:p>
      <w:pPr>
        <w:spacing w:after="0" w:line="9" w:lineRule="exact"/>
        <w:rPr>
          <w:sz w:val="20"/>
          <w:szCs w:val="20"/>
          <w:color w:val="auto"/>
        </w:rPr>
      </w:pPr>
    </w:p>
    <w:p>
      <w:pPr>
        <w:jc w:val="right"/>
        <w:ind w:right="432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60"/>
          </w:cols>
          <w:pgMar w:left="240" w:top="121" w:right="29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Jean-Pierre Lapointe, certify that:</w:t>
      </w:r>
    </w:p>
    <w:p>
      <w:pPr>
        <w:spacing w:after="0" w:line="225" w:lineRule="exact"/>
        <w:rPr>
          <w:sz w:val="20"/>
          <w:szCs w:val="20"/>
          <w:color w:val="auto"/>
        </w:rPr>
      </w:pPr>
    </w:p>
    <w:p>
      <w:pPr>
        <w:ind w:left="620" w:hanging="376"/>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8, 2019</w:t>
      </w:r>
      <w:r>
        <w:rPr>
          <w:sz w:val="20"/>
          <w:szCs w:val="20"/>
          <w:color w:val="auto"/>
        </w:rPr>
        <w:tab/>
      </w:r>
      <w:r>
        <w:rPr>
          <w:rFonts w:ascii="Arial" w:cs="Arial" w:eastAsia="Arial" w:hAnsi="Arial"/>
          <w:sz w:val="16"/>
          <w:szCs w:val="16"/>
          <w:u w:val="single" w:color="auto"/>
          <w:color w:val="auto"/>
        </w:rPr>
        <w:t>/s/ Jean-Pierre Lapointe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360"/>
          </w:cols>
          <w:pgMar w:left="240" w:top="121" w:right="299" w:bottom="1440" w:gutter="0" w:footer="0" w:header="0"/>
        </w:sectPr>
      </w:pPr>
    </w:p>
    <w:bookmarkStart w:id="54" w:name="page55"/>
    <w:bookmarkEnd w:id="54"/>
    <w:p>
      <w:pPr>
        <w:spacing w:after="0"/>
        <w:tabs>
          <w:tab w:leader="none" w:pos="118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2019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660" w:hanging="287"/>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hanging="7"/>
        <w:spacing w:after="0" w:line="277" w:lineRule="auto"/>
        <w:tabs>
          <w:tab w:leader="none" w:pos="6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8, 2019</w:t>
      </w:r>
      <w:r>
        <w:rPr>
          <w:sz w:val="20"/>
          <w:szCs w:val="20"/>
          <w:color w:val="auto"/>
        </w:rPr>
        <w:tab/>
      </w:r>
      <w:r>
        <w:rPr>
          <w:rFonts w:ascii="Arial" w:cs="Arial" w:eastAsia="Arial" w:hAnsi="Arial"/>
          <w:sz w:val="16"/>
          <w:szCs w:val="16"/>
          <w:u w:val="single" w:color="auto"/>
          <w:color w:val="auto"/>
        </w:rPr>
        <w:t>/s/ Richard Wayne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40"/>
          </w:cols>
          <w:pgMar w:left="240" w:top="121" w:right="319" w:bottom="1440" w:gutter="0" w:footer="0" w:header="0"/>
        </w:sectPr>
      </w:pPr>
    </w:p>
    <w:bookmarkStart w:id="55" w:name="page56"/>
    <w:bookmarkEnd w:id="55"/>
    <w:p>
      <w:pPr>
        <w:spacing w:after="0"/>
        <w:tabs>
          <w:tab w:leader="none" w:pos="11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2019 as filed with the Securities and Exchange Commission on the date hereof (the "Report"), I, Jean-Pierre Lapointe,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660" w:hanging="287"/>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right="40" w:hanging="7"/>
        <w:spacing w:after="0" w:line="277" w:lineRule="auto"/>
        <w:tabs>
          <w:tab w:leader="none" w:pos="6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8, 2019</w:t>
      </w:r>
      <w:r>
        <w:rPr>
          <w:sz w:val="20"/>
          <w:szCs w:val="20"/>
          <w:color w:val="auto"/>
        </w:rPr>
        <w:tab/>
      </w:r>
      <w:r>
        <w:rPr>
          <w:rFonts w:ascii="Arial" w:cs="Arial" w:eastAsia="Arial" w:hAnsi="Arial"/>
          <w:sz w:val="16"/>
          <w:szCs w:val="16"/>
          <w:u w:val="single" w:color="auto"/>
          <w:color w:val="auto"/>
        </w:rPr>
        <w:t>/s/ Jean-Pierre Lapointe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2"/>
    </w:lvl>
  </w:abstractNum>
  <w:abstractNum w:abstractNumId="2">
    <w:nsid w:val="2443A858"/>
    <w:multiLevelType w:val="hybridMultilevel"/>
    <w:lvl w:ilvl="0">
      <w:lvlJc w:val="left"/>
      <w:lvlText w:val="%1."/>
      <w:numFmt w:val="decimal"/>
      <w:start w:val="606"/>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5"/>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1."/>
      <w:numFmt w:val="decimal"/>
      <w:start w:val="8"/>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0"/>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lowerRoman"/>
      <w:start w:val="3"/>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3"/>
    </w:lvl>
  </w:abstractNum>
  <w:abstractNum w:abstractNumId="36">
    <w:nsid w:val="51EAD36B"/>
    <w:multiLevelType w:val="hybridMultilevel"/>
    <w:lvl w:ilvl="0">
      <w:lvlJc w:val="left"/>
      <w:lvlText w:val="*"/>
      <w:numFmt w:val="bullet"/>
      <w:start w:val="1"/>
    </w:lvl>
    <w:lvl w:ilvl="1">
      <w:lvlJc w:val="left"/>
      <w:lvlText w:val="%2"/>
      <w:numFmt w:val="decimal"/>
      <w:start w:val="101"/>
    </w:lvl>
  </w:abstractNum>
  <w:abstractNum w:abstractNumId="37">
    <w:nsid w:val="2D517796"/>
    <w:multiLevelType w:val="hybridMultilevel"/>
    <w:lvl w:ilvl="0">
      <w:lvlJc w:val="left"/>
      <w:lvlText w:val="**"/>
      <w:numFmt w:val="bullet"/>
      <w:start w:val="1"/>
    </w:lvl>
    <w:lvl w:ilvl="1">
      <w:lvlJc w:val="left"/>
      <w:lvlText w:val="%2"/>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2019-12-28T12:41:09Z</dcterms:created>
  <dcterms:modified xsi:type="dcterms:W3CDTF">2019-12-28T12:41:09Z</dcterms:modified>
</cp:coreProperties>
</file>