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2180" w:hanging="432"/>
        <w:spacing w:after="0" w:line="253" w:lineRule="auto"/>
        <w:tabs>
          <w:tab w:leader="none" w:pos="4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June 30, 2017</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40" w:right="1820" w:hanging="432"/>
        <w:spacing w:after="0" w:line="253" w:lineRule="auto"/>
        <w:tabs>
          <w:tab w:leader="none" w:pos="43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74295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NORTHEAST BANCORP</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3"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600" w:type="dxa"/>
            <w:vAlign w:val="bottom"/>
            <w:gridSpan w:val="2"/>
          </w:tcPr>
          <w:p>
            <w:pPr>
              <w:jc w:val="center"/>
              <w:ind w:right="1110"/>
              <w:spacing w:after="0"/>
              <w:rPr>
                <w:sz w:val="20"/>
                <w:szCs w:val="20"/>
                <w:color w:val="auto"/>
              </w:rPr>
            </w:pPr>
            <w:r>
              <w:rPr>
                <w:rFonts w:ascii="Arial" w:cs="Arial" w:eastAsia="Arial" w:hAnsi="Arial"/>
                <w:sz w:val="18"/>
                <w:szCs w:val="18"/>
                <w:b w:val="1"/>
                <w:bCs w:val="1"/>
                <w:color w:val="auto"/>
                <w:w w:val="93"/>
              </w:rPr>
              <w:t>Maine</w:t>
            </w:r>
          </w:p>
        </w:tc>
        <w:tc>
          <w:tcPr>
            <w:tcW w:w="552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01-0425066</w:t>
            </w:r>
          </w:p>
        </w:tc>
      </w:tr>
      <w:tr>
        <w:trPr>
          <w:trHeight w:val="216"/>
        </w:trPr>
        <w:tc>
          <w:tcPr>
            <w:tcW w:w="338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0"/>
              </w:rPr>
              <w:t>(State or other jurisdiction of</w:t>
            </w:r>
          </w:p>
        </w:tc>
        <w:tc>
          <w:tcPr>
            <w:tcW w:w="2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38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1"/>
              </w:rPr>
              <w:t>incorporation or organization)</w:t>
            </w:r>
          </w:p>
        </w:tc>
        <w:tc>
          <w:tcPr>
            <w:tcW w:w="2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338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1"/>
              </w:rPr>
              <w:t>500 Canal Street, Lewiston, Maine</w:t>
            </w:r>
          </w:p>
        </w:tc>
        <w:tc>
          <w:tcPr>
            <w:tcW w:w="552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04240</w:t>
            </w:r>
          </w:p>
        </w:tc>
      </w:tr>
      <w:tr>
        <w:trPr>
          <w:trHeight w:val="216"/>
        </w:trPr>
        <w:tc>
          <w:tcPr>
            <w:tcW w:w="33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216"/>
        </w:trPr>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700" w:type="dxa"/>
            <w:vAlign w:val="bottom"/>
            <w:gridSpan w:val="3"/>
          </w:tcPr>
          <w:p>
            <w:pPr>
              <w:jc w:val="center"/>
              <w:ind w:right="233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(207) 786-3245</w:t>
            </w:r>
          </w:p>
        </w:tc>
        <w:tc>
          <w:tcPr>
            <w:tcW w:w="34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120" w:type="dxa"/>
            <w:vAlign w:val="bottom"/>
            <w:gridSpan w:val="4"/>
          </w:tcPr>
          <w:p>
            <w:pPr>
              <w:jc w:val="center"/>
              <w:ind w:right="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78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7"/>
        </w:trPr>
        <w:tc>
          <w:tcPr>
            <w:tcW w:w="3380" w:type="dxa"/>
            <w:vAlign w:val="bottom"/>
            <w:gridSpan w:val="3"/>
          </w:tcPr>
          <w:p>
            <w:pPr>
              <w:jc w:val="center"/>
              <w:ind w:right="310"/>
              <w:spacing w:after="0"/>
              <w:rPr>
                <w:sz w:val="20"/>
                <w:szCs w:val="20"/>
                <w:color w:val="auto"/>
              </w:rPr>
            </w:pPr>
            <w:r>
              <w:rPr>
                <w:rFonts w:ascii="Arial" w:cs="Arial" w:eastAsia="Arial" w:hAnsi="Arial"/>
                <w:sz w:val="18"/>
                <w:szCs w:val="18"/>
                <w:color w:val="auto"/>
                <w:w w:val="91"/>
              </w:rPr>
              <w:t>Voting Common Stock, $1.00 par value</w:t>
            </w:r>
          </w:p>
        </w:tc>
        <w:tc>
          <w:tcPr>
            <w:tcW w:w="2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74295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4"/>
              </w:rPr>
              <w:t>Large Accelerated Filer</w:t>
            </w:r>
          </w:p>
        </w:tc>
        <w:tc>
          <w:tcPr>
            <w:tcW w:w="36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660" w:type="dxa"/>
            <w:vAlign w:val="bottom"/>
          </w:tcPr>
          <w:p>
            <w:pPr>
              <w:ind w:left="340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660" w:type="dxa"/>
            <w:vAlign w:val="bottom"/>
          </w:tcPr>
          <w:p>
            <w:pPr>
              <w:ind w:left="3400"/>
              <w:spacing w:after="0"/>
              <w:rPr>
                <w:sz w:val="20"/>
                <w:szCs w:val="20"/>
                <w:color w:val="auto"/>
              </w:rPr>
            </w:pPr>
            <w:r>
              <w:rPr>
                <w:rFonts w:ascii="Arial" w:cs="Arial" w:eastAsia="Arial" w:hAnsi="Arial"/>
                <w:sz w:val="18"/>
                <w:szCs w:val="18"/>
                <w:color w:val="auto"/>
                <w:w w:val="99"/>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8"/>
        </w:trPr>
        <w:tc>
          <w:tcPr>
            <w:tcW w:w="1780" w:type="dxa"/>
            <w:vAlign w:val="bottom"/>
          </w:tcPr>
          <w:p>
            <w:pPr>
              <w:spacing w:after="0"/>
              <w:rPr>
                <w:sz w:val="20"/>
                <w:szCs w:val="20"/>
                <w:color w:val="auto"/>
              </w:rPr>
            </w:pPr>
            <w:r>
              <w:rPr>
                <w:rFonts w:ascii="Arial" w:cs="Arial" w:eastAsia="Arial" w:hAnsi="Arial"/>
                <w:sz w:val="18"/>
                <w:szCs w:val="18"/>
                <w:color w:val="auto"/>
              </w:rPr>
              <w:t>Emerging growth</w:t>
            </w:r>
          </w:p>
        </w:tc>
        <w:tc>
          <w:tcPr>
            <w:tcW w:w="36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18"/>
                <w:szCs w:val="18"/>
                <w:color w:val="auto"/>
              </w:rPr>
              <w:t>company</w:t>
            </w:r>
          </w:p>
        </w:tc>
        <w:tc>
          <w:tcPr>
            <w:tcW w:w="3640" w:type="dxa"/>
            <w:vAlign w:val="bottom"/>
            <w:vMerge w:val="continue"/>
          </w:tcPr>
          <w:p>
            <w:pPr>
              <w:spacing w:after="0"/>
              <w:rPr>
                <w:sz w:val="21"/>
                <w:szCs w:val="21"/>
                <w:color w:val="auto"/>
              </w:rPr>
            </w:pPr>
          </w:p>
        </w:tc>
        <w:tc>
          <w:tcPr>
            <w:tcW w:w="5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60"/>
        <w:spacing w:after="0" w:line="308" w:lineRule="auto"/>
        <w:rPr>
          <w:sz w:val="20"/>
          <w:szCs w:val="20"/>
          <w:color w:val="auto"/>
        </w:rPr>
      </w:pPr>
      <w:r>
        <w:rPr>
          <w:rFonts w:ascii="Arial" w:cs="Arial" w:eastAsia="Arial" w:hAnsi="Arial"/>
          <w:sz w:val="17"/>
          <w:szCs w:val="17"/>
          <w:color w:val="auto"/>
        </w:rPr>
        <w:t>The aggregate market value of the registrant’s voting and non-voting common stock held by non-affiliates, computed by reference to the last reported sales price of the registrant’s voting common stock on the NASDAQ Global Market on December 31, 2016 was approximately $87,688,256.</w:t>
      </w:r>
    </w:p>
    <w:p>
      <w:pPr>
        <w:spacing w:after="0" w:line="147"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As of September 6, 2017, the registrant had outstanding 7,853,075 shares of voting common stock, $1.00 par value per share, and 991,194 shares of non-voting common stock, $1.00 par value per share.</w:t>
      </w:r>
    </w:p>
    <w:p>
      <w:pPr>
        <w:sectPr>
          <w:pgSz w:w="11900" w:h="16838" w:orient="portrait"/>
          <w:cols w:equalWidth="0" w:num="1">
            <w:col w:w="11420"/>
          </w:cols>
          <w:pgMar w:left="240" w:top="226"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3235960</wp:posOffset>
            </wp:positionH>
            <wp:positionV relativeFrom="page">
              <wp:posOffset>586105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t>DOCUMENTS INCORPORATED BY REFERENCE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Portions of the registrant’s proxy statement for the 2017 Annual Meeting of Shareholders to be held on November 17, 2017 are incorporated by reference in Items 10, 11, 12, 13 and 14 of Part III of this Annual Report on Form 10-K. The registrant intends to file such proxy statement with the Securities and Exchange Commission no later than 120 days after the end of its fiscal year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0"/>
          </w:cols>
          <w:pgMar w:left="240" w:top="1026" w:right="41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20" w:type="dxa"/>
            <w:vAlign w:val="bottom"/>
            <w:gridSpan w:val="8"/>
          </w:tcPr>
          <w:p>
            <w:pPr>
              <w:jc w:val="center"/>
              <w:ind w:right="3660"/>
              <w:spacing w:after="0"/>
              <w:rPr>
                <w:sz w:val="20"/>
                <w:szCs w:val="20"/>
                <w:color w:val="auto"/>
              </w:rPr>
            </w:pPr>
            <w:r>
              <w:rPr>
                <w:rFonts w:ascii="Arial" w:cs="Arial" w:eastAsia="Arial" w:hAnsi="Arial"/>
                <w:sz w:val="18"/>
                <w:szCs w:val="18"/>
                <w:color w:val="auto"/>
                <w:w w:val="90"/>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62"/>
        </w:trPr>
        <w:tc>
          <w:tcPr>
            <w:tcW w:w="116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72"/>
              </w:rPr>
            </w:pPr>
            <w:hyperlink w:anchor="page6">
              <w:r>
                <w:rPr>
                  <w:rFonts w:ascii="Arial" w:cs="Arial" w:eastAsia="Arial" w:hAnsi="Arial"/>
                  <w:sz w:val="18"/>
                  <w:szCs w:val="18"/>
                  <w:color w:val="0000EE"/>
                  <w:w w:val="72"/>
                </w:rPr>
                <w:t>Item 1.</w:t>
              </w:r>
            </w:hyperlink>
          </w:p>
        </w:tc>
        <w:tc>
          <w:tcPr>
            <w:tcW w:w="200" w:type="dxa"/>
            <w:vAlign w:val="bottom"/>
            <w:gridSpan w:val="3"/>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900" w:type="dxa"/>
            <w:vAlign w:val="bottom"/>
            <w:gridSpan w:val="4"/>
          </w:tcPr>
          <w:p>
            <w:pPr>
              <w:jc w:val="right"/>
              <w:ind w:right="6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color w:val="0000EE"/>
                <w:w w:val="77"/>
              </w:rPr>
            </w:pPr>
            <w:hyperlink w:anchor="page18">
              <w:r>
                <w:rPr>
                  <w:rFonts w:ascii="Arial" w:cs="Arial" w:eastAsia="Arial" w:hAnsi="Arial"/>
                  <w:sz w:val="18"/>
                  <w:szCs w:val="18"/>
                  <w:color w:val="0000EE"/>
                  <w:w w:val="77"/>
                </w:rPr>
                <w:t>Item 1A.</w:t>
              </w:r>
            </w:hyperlink>
          </w:p>
        </w:tc>
        <w:tc>
          <w:tcPr>
            <w:tcW w:w="80" w:type="dxa"/>
            <w:vAlign w:val="bottom"/>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28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color w:val="0000EE"/>
                <w:w w:val="77"/>
              </w:rPr>
            </w:pPr>
            <w:hyperlink w:anchor="page27">
              <w:r>
                <w:rPr>
                  <w:rFonts w:ascii="Arial" w:cs="Arial" w:eastAsia="Arial" w:hAnsi="Arial"/>
                  <w:sz w:val="18"/>
                  <w:szCs w:val="18"/>
                  <w:color w:val="0000EE"/>
                  <w:w w:val="77"/>
                </w:rPr>
                <w:t>Item 1B.</w:t>
              </w:r>
            </w:hyperlink>
          </w:p>
        </w:tc>
        <w:tc>
          <w:tcPr>
            <w:tcW w:w="80" w:type="dxa"/>
            <w:vAlign w:val="bottom"/>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28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72"/>
              </w:rPr>
            </w:pPr>
            <w:hyperlink w:anchor="page27">
              <w:r>
                <w:rPr>
                  <w:rFonts w:ascii="Arial" w:cs="Arial" w:eastAsia="Arial" w:hAnsi="Arial"/>
                  <w:sz w:val="18"/>
                  <w:szCs w:val="18"/>
                  <w:color w:val="0000EE"/>
                  <w:w w:val="72"/>
                </w:rPr>
                <w:t>Item 2.</w:t>
              </w:r>
            </w:hyperlink>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28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72"/>
              </w:rPr>
            </w:pPr>
            <w:hyperlink w:anchor="page27">
              <w:r>
                <w:rPr>
                  <w:rFonts w:ascii="Arial" w:cs="Arial" w:eastAsia="Arial" w:hAnsi="Arial"/>
                  <w:sz w:val="18"/>
                  <w:szCs w:val="18"/>
                  <w:color w:val="0000EE"/>
                  <w:w w:val="72"/>
                </w:rPr>
                <w:t>Item 3.</w:t>
              </w:r>
            </w:hyperlink>
          </w:p>
        </w:tc>
        <w:tc>
          <w:tcPr>
            <w:tcW w:w="200" w:type="dxa"/>
            <w:vAlign w:val="bottom"/>
            <w:gridSpan w:val="3"/>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8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72"/>
              </w:rPr>
            </w:pPr>
            <w:hyperlink w:anchor="page27">
              <w:r>
                <w:rPr>
                  <w:rFonts w:ascii="Arial" w:cs="Arial" w:eastAsia="Arial" w:hAnsi="Arial"/>
                  <w:sz w:val="18"/>
                  <w:szCs w:val="18"/>
                  <w:color w:val="0000EE"/>
                  <w:w w:val="72"/>
                </w:rPr>
                <w:t>Item 4.</w:t>
              </w:r>
            </w:hyperlink>
          </w:p>
        </w:tc>
        <w:tc>
          <w:tcPr>
            <w:tcW w:w="200" w:type="dxa"/>
            <w:vAlign w:val="bottom"/>
            <w:gridSpan w:val="3"/>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28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620" w:type="dxa"/>
            <w:vAlign w:val="bottom"/>
          </w:tcPr>
          <w:p>
            <w:pPr>
              <w:spacing w:after="0"/>
              <w:rPr>
                <w:sz w:val="24"/>
                <w:szCs w:val="24"/>
                <w:color w:val="auto"/>
              </w:rPr>
            </w:pPr>
          </w:p>
        </w:tc>
      </w:tr>
      <w:tr>
        <w:trPr>
          <w:trHeight w:val="20"/>
        </w:trPr>
        <w:tc>
          <w:tcPr>
            <w:tcW w:w="520" w:type="dxa"/>
            <w:vAlign w:val="bottom"/>
            <w:tcBorders>
              <w:right w:val="single" w:sz="8" w:color="0000EE"/>
            </w:tcBorders>
            <w:gridSpan w:val="2"/>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Part II</w:t>
              </w:r>
            </w:hyperlink>
          </w:p>
        </w:tc>
        <w:tc>
          <w:tcPr>
            <w:tcW w:w="64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72"/>
              </w:rPr>
            </w:pPr>
            <w:hyperlink w:anchor="page28">
              <w:r>
                <w:rPr>
                  <w:rFonts w:ascii="Arial" w:cs="Arial" w:eastAsia="Arial" w:hAnsi="Arial"/>
                  <w:sz w:val="18"/>
                  <w:szCs w:val="18"/>
                  <w:color w:val="0000EE"/>
                  <w:w w:val="72"/>
                </w:rPr>
                <w:t>Item 5.</w:t>
              </w:r>
            </w:hyperlink>
          </w:p>
        </w:tc>
        <w:tc>
          <w:tcPr>
            <w:tcW w:w="200" w:type="dxa"/>
            <w:vAlign w:val="bottom"/>
            <w:gridSpan w:val="3"/>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Shareholder Matters and Issuer Purchases of Equity Securities</w:t>
              </w:r>
            </w:hyperlink>
          </w:p>
        </w:tc>
        <w:tc>
          <w:tcPr>
            <w:tcW w:w="28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72"/>
              </w:rPr>
            </w:pPr>
            <w:hyperlink w:anchor="page30">
              <w:r>
                <w:rPr>
                  <w:rFonts w:ascii="Arial" w:cs="Arial" w:eastAsia="Arial" w:hAnsi="Arial"/>
                  <w:sz w:val="18"/>
                  <w:szCs w:val="18"/>
                  <w:color w:val="0000EE"/>
                  <w:w w:val="72"/>
                </w:rPr>
                <w:t>Item 6.</w:t>
              </w:r>
            </w:hyperlink>
          </w:p>
        </w:tc>
        <w:tc>
          <w:tcPr>
            <w:tcW w:w="200" w:type="dxa"/>
            <w:vAlign w:val="bottom"/>
            <w:gridSpan w:val="3"/>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28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72"/>
              </w:rPr>
            </w:pPr>
            <w:hyperlink w:anchor="page31">
              <w:r>
                <w:rPr>
                  <w:rFonts w:ascii="Arial" w:cs="Arial" w:eastAsia="Arial" w:hAnsi="Arial"/>
                  <w:sz w:val="18"/>
                  <w:szCs w:val="18"/>
                  <w:color w:val="0000EE"/>
                  <w:w w:val="72"/>
                </w:rPr>
                <w:t>Item 7.</w:t>
              </w:r>
            </w:hyperlink>
          </w:p>
        </w:tc>
        <w:tc>
          <w:tcPr>
            <w:tcW w:w="200" w:type="dxa"/>
            <w:vAlign w:val="bottom"/>
            <w:gridSpan w:val="3"/>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28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color w:val="0000EE"/>
                <w:w w:val="77"/>
              </w:rPr>
            </w:pPr>
            <w:hyperlink w:anchor="page53">
              <w:r>
                <w:rPr>
                  <w:rFonts w:ascii="Arial" w:cs="Arial" w:eastAsia="Arial" w:hAnsi="Arial"/>
                  <w:sz w:val="18"/>
                  <w:szCs w:val="18"/>
                  <w:color w:val="0000EE"/>
                  <w:w w:val="77"/>
                </w:rPr>
                <w:t>Item 7A.</w:t>
              </w:r>
            </w:hyperlink>
          </w:p>
        </w:tc>
        <w:tc>
          <w:tcPr>
            <w:tcW w:w="80" w:type="dxa"/>
            <w:vAlign w:val="bottom"/>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280" w:type="dxa"/>
            <w:vAlign w:val="bottom"/>
            <w:gridSpan w:val="3"/>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72"/>
              </w:rPr>
            </w:pPr>
            <w:hyperlink w:anchor="page54">
              <w:r>
                <w:rPr>
                  <w:rFonts w:ascii="Arial" w:cs="Arial" w:eastAsia="Arial" w:hAnsi="Arial"/>
                  <w:sz w:val="18"/>
                  <w:szCs w:val="18"/>
                  <w:color w:val="0000EE"/>
                  <w:w w:val="72"/>
                </w:rPr>
                <w:t>Item 8.</w:t>
              </w:r>
            </w:hyperlink>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54">
              <w:r>
                <w:rPr>
                  <w:rFonts w:ascii="Arial" w:cs="Arial" w:eastAsia="Arial" w:hAnsi="Arial"/>
                  <w:sz w:val="18"/>
                  <w:szCs w:val="18"/>
                  <w:color w:val="0000EE"/>
                </w:rPr>
                <w:t>Financial Statements and Supplementary Data</w:t>
              </w:r>
            </w:hyperlink>
          </w:p>
        </w:tc>
        <w:tc>
          <w:tcPr>
            <w:tcW w:w="28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72"/>
              </w:rPr>
            </w:pPr>
            <w:hyperlink w:anchor="page101">
              <w:r>
                <w:rPr>
                  <w:rFonts w:ascii="Arial" w:cs="Arial" w:eastAsia="Arial" w:hAnsi="Arial"/>
                  <w:sz w:val="18"/>
                  <w:szCs w:val="18"/>
                  <w:color w:val="0000EE"/>
                  <w:w w:val="72"/>
                </w:rPr>
                <w:t>Item 9.</w:t>
              </w:r>
            </w:hyperlink>
          </w:p>
        </w:tc>
        <w:tc>
          <w:tcPr>
            <w:tcW w:w="200" w:type="dxa"/>
            <w:vAlign w:val="bottom"/>
            <w:gridSpan w:val="3"/>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280" w:type="dxa"/>
            <w:vAlign w:val="bottom"/>
            <w:gridSpan w:val="3"/>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77"/>
              </w:rPr>
            </w:pPr>
            <w:hyperlink w:anchor="page101">
              <w:r>
                <w:rPr>
                  <w:rFonts w:ascii="Arial" w:cs="Arial" w:eastAsia="Arial" w:hAnsi="Arial"/>
                  <w:sz w:val="18"/>
                  <w:szCs w:val="18"/>
                  <w:color w:val="0000EE"/>
                  <w:w w:val="77"/>
                </w:rPr>
                <w:t>Item 9A</w:t>
              </w:r>
            </w:hyperlink>
          </w:p>
        </w:tc>
        <w:tc>
          <w:tcPr>
            <w:tcW w:w="120" w:type="dxa"/>
            <w:vAlign w:val="bottom"/>
            <w:gridSpan w:val="2"/>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01">
              <w:r>
                <w:rPr>
                  <w:rFonts w:ascii="Arial" w:cs="Arial" w:eastAsia="Arial" w:hAnsi="Arial"/>
                  <w:sz w:val="18"/>
                  <w:szCs w:val="18"/>
                  <w:color w:val="0000EE"/>
                </w:rPr>
                <w:t>Controls and Procedures</w:t>
              </w:r>
            </w:hyperlink>
          </w:p>
        </w:tc>
        <w:tc>
          <w:tcPr>
            <w:tcW w:w="280" w:type="dxa"/>
            <w:vAlign w:val="bottom"/>
            <w:gridSpan w:val="3"/>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c>
          <w:tcPr>
            <w:tcW w:w="6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color w:val="0000EE"/>
                <w:w w:val="77"/>
              </w:rPr>
            </w:pPr>
            <w:hyperlink w:anchor="page103">
              <w:r>
                <w:rPr>
                  <w:rFonts w:ascii="Arial" w:cs="Arial" w:eastAsia="Arial" w:hAnsi="Arial"/>
                  <w:sz w:val="18"/>
                  <w:szCs w:val="18"/>
                  <w:color w:val="0000EE"/>
                  <w:w w:val="77"/>
                </w:rPr>
                <w:t>Item 9.B</w:t>
              </w:r>
            </w:hyperlink>
          </w:p>
        </w:tc>
        <w:tc>
          <w:tcPr>
            <w:tcW w:w="80" w:type="dxa"/>
            <w:vAlign w:val="bottom"/>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900" w:type="dxa"/>
            <w:vAlign w:val="bottom"/>
            <w:gridSpan w:val="4"/>
          </w:tcPr>
          <w:p>
            <w:pPr>
              <w:jc w:val="right"/>
              <w:ind w:right="62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0"/>
        </w:trPr>
        <w:tc>
          <w:tcPr>
            <w:tcW w:w="520" w:type="dxa"/>
            <w:vAlign w:val="bottom"/>
            <w:tcBorders>
              <w:right w:val="single" w:sz="8" w:color="0000EE"/>
            </w:tcBorders>
            <w:gridSpan w:val="2"/>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Part III</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73"/>
              </w:rPr>
            </w:pPr>
            <w:hyperlink w:anchor="page103">
              <w:r>
                <w:rPr>
                  <w:rFonts w:ascii="Arial" w:cs="Arial" w:eastAsia="Arial" w:hAnsi="Arial"/>
                  <w:sz w:val="18"/>
                  <w:szCs w:val="18"/>
                  <w:color w:val="0000EE"/>
                  <w:w w:val="73"/>
                </w:rPr>
                <w:t>Item 10.</w:t>
              </w:r>
            </w:hyperlink>
          </w:p>
        </w:tc>
        <w:tc>
          <w:tcPr>
            <w:tcW w:w="120" w:type="dxa"/>
            <w:vAlign w:val="bottom"/>
            <w:gridSpan w:val="2"/>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900" w:type="dxa"/>
            <w:vAlign w:val="bottom"/>
            <w:gridSpan w:val="4"/>
          </w:tcPr>
          <w:p>
            <w:pPr>
              <w:jc w:val="right"/>
              <w:ind w:right="62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73"/>
              </w:rPr>
            </w:pPr>
            <w:hyperlink w:anchor="page103">
              <w:r>
                <w:rPr>
                  <w:rFonts w:ascii="Arial" w:cs="Arial" w:eastAsia="Arial" w:hAnsi="Arial"/>
                  <w:sz w:val="18"/>
                  <w:szCs w:val="18"/>
                  <w:color w:val="0000EE"/>
                  <w:w w:val="73"/>
                </w:rPr>
                <w:t>Item 11.</w:t>
              </w:r>
            </w:hyperlink>
          </w:p>
        </w:tc>
        <w:tc>
          <w:tcPr>
            <w:tcW w:w="120" w:type="dxa"/>
            <w:vAlign w:val="bottom"/>
            <w:gridSpan w:val="2"/>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900" w:type="dxa"/>
            <w:vAlign w:val="bottom"/>
            <w:gridSpan w:val="4"/>
          </w:tcPr>
          <w:p>
            <w:pPr>
              <w:jc w:val="right"/>
              <w:ind w:right="62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Item 12.</w:t>
              </w:r>
            </w:hyperlink>
          </w:p>
        </w:tc>
        <w:tc>
          <w:tcPr>
            <w:tcW w:w="80" w:type="dxa"/>
            <w:vAlign w:val="bottom"/>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 and Related Shareholder Matters</w:t>
              </w:r>
            </w:hyperlink>
          </w:p>
        </w:tc>
        <w:tc>
          <w:tcPr>
            <w:tcW w:w="900" w:type="dxa"/>
            <w:vAlign w:val="bottom"/>
            <w:gridSpan w:val="4"/>
          </w:tcPr>
          <w:p>
            <w:pPr>
              <w:jc w:val="right"/>
              <w:ind w:right="62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Item 13.</w:t>
              </w:r>
            </w:hyperlink>
          </w:p>
        </w:tc>
        <w:tc>
          <w:tcPr>
            <w:tcW w:w="80" w:type="dxa"/>
            <w:vAlign w:val="bottom"/>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03">
              <w:r>
                <w:rPr>
                  <w:rFonts w:ascii="Arial" w:cs="Arial" w:eastAsia="Arial" w:hAnsi="Arial"/>
                  <w:sz w:val="18"/>
                  <w:szCs w:val="18"/>
                  <w:color w:val="0000EE"/>
                </w:rPr>
                <w:t>Certain Relationships and Related Transactions, and Director Independence</w:t>
              </w:r>
            </w:hyperlink>
          </w:p>
        </w:tc>
        <w:tc>
          <w:tcPr>
            <w:tcW w:w="900" w:type="dxa"/>
            <w:vAlign w:val="bottom"/>
            <w:gridSpan w:val="4"/>
          </w:tcPr>
          <w:p>
            <w:pPr>
              <w:jc w:val="right"/>
              <w:ind w:right="62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0"/>
        </w:trPr>
        <w:tc>
          <w:tcPr>
            <w:tcW w:w="4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73"/>
              </w:rPr>
            </w:pPr>
            <w:hyperlink w:anchor="page103">
              <w:r>
                <w:rPr>
                  <w:rFonts w:ascii="Arial" w:cs="Arial" w:eastAsia="Arial" w:hAnsi="Arial"/>
                  <w:sz w:val="18"/>
                  <w:szCs w:val="18"/>
                  <w:color w:val="0000EE"/>
                  <w:w w:val="73"/>
                </w:rPr>
                <w:t>Item 14.</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03">
              <w:r>
                <w:rPr>
                  <w:rFonts w:ascii="Arial" w:cs="Arial" w:eastAsia="Arial" w:hAnsi="Arial"/>
                  <w:sz w:val="18"/>
                  <w:szCs w:val="18"/>
                  <w:color w:val="0000EE"/>
                </w:rPr>
                <w:t>Principal Accounting Fees and Services</w:t>
              </w:r>
            </w:hyperlink>
          </w:p>
        </w:tc>
        <w:tc>
          <w:tcPr>
            <w:tcW w:w="900" w:type="dxa"/>
            <w:vAlign w:val="bottom"/>
            <w:gridSpan w:val="4"/>
          </w:tcPr>
          <w:p>
            <w:pPr>
              <w:jc w:val="right"/>
              <w:ind w:right="62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0"/>
        </w:trPr>
        <w:tc>
          <w:tcPr>
            <w:tcW w:w="520" w:type="dxa"/>
            <w:vAlign w:val="bottom"/>
            <w:tcBorders>
              <w:right w:val="single" w:sz="8" w:color="0000EE"/>
            </w:tcBorders>
            <w:gridSpan w:val="2"/>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04">
              <w:r>
                <w:rPr>
                  <w:rFonts w:ascii="Arial" w:cs="Arial" w:eastAsia="Arial" w:hAnsi="Arial"/>
                  <w:sz w:val="18"/>
                  <w:szCs w:val="18"/>
                  <w:color w:val="0000EE"/>
                  <w:w w:val="87"/>
                </w:rPr>
                <w:t>Part IV</w:t>
              </w:r>
            </w:hyperlink>
          </w:p>
        </w:tc>
        <w:tc>
          <w:tcPr>
            <w:tcW w:w="64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73"/>
              </w:rPr>
            </w:pPr>
            <w:hyperlink w:anchor="page104">
              <w:r>
                <w:rPr>
                  <w:rFonts w:ascii="Arial" w:cs="Arial" w:eastAsia="Arial" w:hAnsi="Arial"/>
                  <w:sz w:val="18"/>
                  <w:szCs w:val="18"/>
                  <w:color w:val="0000EE"/>
                  <w:w w:val="73"/>
                </w:rPr>
                <w:t>Item 15.</w:t>
              </w:r>
            </w:hyperlink>
          </w:p>
        </w:tc>
        <w:tc>
          <w:tcPr>
            <w:tcW w:w="120" w:type="dxa"/>
            <w:vAlign w:val="bottom"/>
            <w:gridSpan w:val="2"/>
          </w:tcPr>
          <w:p>
            <w:pPr>
              <w:spacing w:after="0"/>
              <w:rPr>
                <w:sz w:val="24"/>
                <w:szCs w:val="24"/>
                <w:color w:val="auto"/>
              </w:rPr>
            </w:pPr>
          </w:p>
        </w:tc>
        <w:tc>
          <w:tcPr>
            <w:tcW w:w="9400" w:type="dxa"/>
            <w:vAlign w:val="bottom"/>
            <w:gridSpan w:val="19"/>
          </w:tcPr>
          <w:p>
            <w:pPr>
              <w:ind w:left="60"/>
              <w:spacing w:after="0"/>
              <w:rPr>
                <w:rFonts w:ascii="Arial" w:cs="Arial" w:eastAsia="Arial" w:hAnsi="Arial"/>
                <w:sz w:val="18"/>
                <w:szCs w:val="18"/>
                <w:color w:val="0000EE"/>
              </w:rPr>
            </w:pPr>
            <w:hyperlink w:anchor="page104">
              <w:r>
                <w:rPr>
                  <w:rFonts w:ascii="Arial" w:cs="Arial" w:eastAsia="Arial" w:hAnsi="Arial"/>
                  <w:sz w:val="18"/>
                  <w:szCs w:val="18"/>
                  <w:color w:val="0000EE"/>
                </w:rPr>
                <w:t>Exhibits, Financial Statement Schedules</w:t>
              </w:r>
            </w:hyperlink>
          </w:p>
        </w:tc>
        <w:tc>
          <w:tcPr>
            <w:tcW w:w="900" w:type="dxa"/>
            <w:vAlign w:val="bottom"/>
            <w:gridSpan w:val="4"/>
          </w:tcPr>
          <w:p>
            <w:pPr>
              <w:jc w:val="right"/>
              <w:ind w:right="62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r>
      <w:tr>
        <w:trPr>
          <w:trHeight w:val="696"/>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Borders>
              <w:top w:val="single" w:sz="8" w:color="0000EE"/>
            </w:tcBorders>
            <w:gridSpan w:val="9"/>
          </w:tcPr>
          <w:p>
            <w:pPr>
              <w:spacing w:after="0"/>
              <w:rPr>
                <w:sz w:val="24"/>
                <w:szCs w:val="24"/>
                <w:color w:val="auto"/>
              </w:rPr>
            </w:pPr>
          </w:p>
        </w:tc>
        <w:tc>
          <w:tcPr>
            <w:tcW w:w="2560" w:type="dxa"/>
            <w:vAlign w:val="bottom"/>
            <w:gridSpan w:val="4"/>
          </w:tcPr>
          <w:p>
            <w:pPr>
              <w:jc w:val="right"/>
              <w:ind w:right="90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44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440" w:type="dxa"/>
            <w:vAlign w:val="bottom"/>
            <w:tcBorders>
              <w:left w:val="single" w:sz="8" w:color="808080"/>
            </w:tcBorders>
            <w:shd w:val="clear" w:color="auto" w:fill="808080"/>
          </w:tcPr>
          <w:p>
            <w:pPr>
              <w:spacing w:after="0"/>
              <w:rPr>
                <w:sz w:val="5"/>
                <w:szCs w:val="5"/>
                <w:color w:val="auto"/>
              </w:rPr>
            </w:pPr>
          </w:p>
        </w:tc>
        <w:tc>
          <w:tcPr>
            <w:tcW w:w="80" w:type="dxa"/>
            <w:vAlign w:val="bottom"/>
            <w:tcBorders>
              <w:left w:val="single" w:sz="8" w:color="808080"/>
            </w:tcBorders>
            <w:shd w:val="clear" w:color="auto" w:fill="808080"/>
          </w:tcPr>
          <w:p>
            <w:pPr>
              <w:spacing w:after="0"/>
              <w:rPr>
                <w:sz w:val="5"/>
                <w:szCs w:val="5"/>
                <w:color w:val="auto"/>
              </w:rPr>
            </w:pPr>
          </w:p>
        </w:tc>
        <w:tc>
          <w:tcPr>
            <w:tcW w:w="40" w:type="dxa"/>
            <w:vAlign w:val="bottom"/>
            <w:tcBorders>
              <w:left w:val="single" w:sz="8" w:color="808080"/>
            </w:tcBorders>
            <w:shd w:val="clear" w:color="auto" w:fill="808080"/>
          </w:tcPr>
          <w:p>
            <w:pPr>
              <w:spacing w:after="0"/>
              <w:rPr>
                <w:sz w:val="5"/>
                <w:szCs w:val="5"/>
                <w:color w:val="auto"/>
              </w:rPr>
            </w:pPr>
          </w:p>
        </w:tc>
        <w:tc>
          <w:tcPr>
            <w:tcW w:w="80" w:type="dxa"/>
            <w:vAlign w:val="bottom"/>
            <w:tcBorders>
              <w:lef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Borders>
              <w:left w:val="single" w:sz="8" w:color="808080"/>
            </w:tcBorders>
            <w:shd w:val="clear" w:color="auto" w:fill="808080"/>
          </w:tcPr>
          <w:p>
            <w:pPr>
              <w:spacing w:after="0"/>
              <w:rPr>
                <w:sz w:val="5"/>
                <w:szCs w:val="5"/>
                <w:color w:val="auto"/>
              </w:rPr>
            </w:pPr>
          </w:p>
        </w:tc>
        <w:tc>
          <w:tcPr>
            <w:tcW w:w="100" w:type="dxa"/>
            <w:vAlign w:val="bottom"/>
            <w:tcBorders>
              <w:lef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Forward-Looking Statements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report contains certain "forward-looking statements" within the meaning of Section 27A of the Securities Act of 1933, as amended and Section 21E of the Securities Exchange Act of 1934, as amended, such as statements relating to the financial condition, prospective results of operations, future performance or expectations, plans, objectives, prospects, loan loss allowance adequacy, simulation of changes in interest rates, capital spending, finance sources and revenue sources of Northeast Bancorp ("we," "our," "us," "Northeast" or the "Company"). These statements relate to expectations concerning matters that are not historical facts. Accordingly, statements that are based on management's projections, estimates, assumptions, and judgments constitute forward-looking statements. These forward 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Such forward-looking statements reflect our current views and expectations based largely on information currently available to our management, and on our current expectations, assumptions, plans, estimates, judgments, and projections about our business and our industry, and they involve inherent risks and uncertainties.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the factors referenced in this report under Item 1A. "Risk Factors changes in interest rates and real estate values; competitive pressures from other financial institutions; the effects of a deterioration in general economic conditions on a national basis or in the local markets in which the Company operates, including changes that adversely affect borrowers' ability to service and repay our loans; changes in loan defaults and charge-off rates; changes in the value of securities and other assets, adequacy of loan loss reserves, or deposit levels necessitating increased borrowing to fund loans and investments; changes in government regulation; the risk that we may not be successful in the implementation of our business strategy; the risk that intangibles recorded in the Company's financial statements will become impaired; and changes in assumptions used in making such forward-looking statements. These forward-looking statements speak only as of the date of this report and the Company does not undertake any obligation to update or revise any of these forward-looking statements to reflect events or circumstances occurring after the date of this report.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Northeast Bancorp, incorporated under Maine law in 1987, is a bank holding company, registered with the Board of Governors of the Federal Reserve System (the "Federal Reserve") under the Bank Holding Company Act of 1956, as amended. The Company's primary subsidiary and principal asset is its wholly-owned banking subsidiary, Northeast Bank (the "Bank" or "Northeast Bank"), a Maine state-chartered bank originally organized in 1872.</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December 29, 2010, the merger of the Company and FHB Formation LLC, a Delaware limited liability company ("FHB"), was consummated. In connection with the transaction,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capital. On June 28, 2013, the Federal Reserve approved the amendment of the commitment to hold commercial real estate loans to within 300% of total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2017, the Company, on a consolidated basis, had total assets of $1.1 billion, total deposits of $889.9 million, and shareholders' equity of $122.8 million. We gather retail deposits through the Community Banking Division's ten full-service branches in Maine and through its online deposit program, ableBanking; originate loans through the Community Banking Division; purchase and originate commercial loans on a nationwide basis through the Bank’s Loan Acquisition and Servicing Group ("LASG"); and originate Small Business Administration and United States Department of Agriculture (“SBA”) loans on a nationwide basis through the Bank’s national SBA group ("SBA Division").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Company's goal is to prudently grow its franchise, while maintaining sound operations and risk management, by means of the following strategies: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Continuing to grow the LASG’s national originated and purchased loan business. </w:t>
      </w:r>
      <w:r>
        <w:rPr>
          <w:rFonts w:ascii="Arial" w:cs="Arial" w:eastAsia="Arial" w:hAnsi="Arial"/>
          <w:sz w:val="18"/>
          <w:szCs w:val="18"/>
          <w:color w:val="auto"/>
        </w:rPr>
        <w:t>We purchase commercial real estate loans nationally, at prices that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have produced yields significantly higher than those available on our originated loan portfolio. We also originate loans nationally, taking advantage of our core expertise in underwriting and servicing national credits.</w:t>
      </w:r>
    </w:p>
    <w:p>
      <w:pPr>
        <w:spacing w:after="0" w:line="2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22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20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Area and Competition</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LASG and SBA Division activities are nationwide. The LASG competes primarily with community banks, regional banks and private equity funds operating nationwide in its bid to acquire commercial loans. We believe that we often have a competitive advantage in bidding against private equity funds on performing loans because those funds generally have higher funding costs and, therefore, higher expectations for return on investment than we do. Furthermore, private equity funds typically do not compete for small balance commercial loans and typically pursue larger, bulk transactions. Due to improving credit quality over the past several years and the low interest rate environment, the supply of loans available for purchase has declined, competition has increased, and spreads have tightened. Despite these trends, we believe that the LASG continues to have a competitive advantage in bidding against other banks because we have a specialized group with experience in purchasing commercial real estate loans. Additionally, most banks we compete against are community banks looking to acquire loans in their market; these banks usually have specific criteria for their acquisition activities and do not pursue pools with collateral or geographic diversity.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SBA Division competes primarily with community banks, regional banks, national/global banks, and non-bank licensed lenders on a nationwide basis. Capitalizing on our LASG origination loan infrastructure, the SBA Division is in a position to review and act quickly on a variety of lending opportunities. Risk management, approvals, underwriting and other due diligence for these loans is similar to that for the LASG loans. We believe that the SBA Division has an advantage in originating commercial loans because of its ability to utilize in-house staff to quickly and accurately screen loan opportunities, which accelerates the underwriting process.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Community Banking Division’s market area includes the six New England states, with the majority of its activities centered in the western and central regions of the State of Maine. We encounter significant competition in the Community Banking Division market area in originating loans, attracting deposits, and selling other customer products and services. Our competitors include savings banks, commercial banks, credit unions, mutual funds, insurance companies, brokerage and investment banking companies, finance companies, and other financial intermediaries. Many of our primary competitors there have substantially greater resources, larger established customer bases, higher lending limits, extensive branch networks, numerous ATMs and greater advertising and marketing budgets. They may also offer services that we do not currently provide. ableBanking has nationwide scope in its deposit gathering activities and competes with banks and credit unions, as well as other, larger, online direct banks having a national reach.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conduct our loan-related activities through three primary channels: the LASG, the SBA Division, and the Community Banking Division. The LASG purchases primarily performing commercial real estate loans, on a nationwide basis, typically at a discount from their outstanding principal balances, producing yields higher than those normally achieved on the Company's originated loan portfolio. The LASG also originates commercial real estate and commercial and industrial loans on a nationwide basis. The SBA Division originates loans to small businesses, primarily through the SBA 7(a) program, which provides the partial guarantee of the SBA. The Community Banking Division originates loans directly to consumers and businesses located in its market area. At June 30, 2017, our total loan portfolio (excluding loans held for sale) was $779.2 million, of which $576.9 million, or 74.0%, was purchased or originated by the LASG, $53.0 million, or 6.8%, was originated by the SBA Division, and $149.3 million, or 19.2%, was originated by the Community Banking Division.</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certain information concerning our portfolio loan purchases and originations for the periods indicated (including loans held for sale):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5"/>
          </w:tcPr>
          <w:p>
            <w:pPr>
              <w:jc w:val="right"/>
              <w:ind w:right="1080"/>
              <w:spacing w:after="0"/>
              <w:rPr>
                <w:sz w:val="20"/>
                <w:szCs w:val="20"/>
                <w:color w:val="auto"/>
              </w:rPr>
            </w:pPr>
            <w:r>
              <w:rPr>
                <w:rFonts w:ascii="Arial" w:cs="Arial" w:eastAsia="Arial" w:hAnsi="Arial"/>
                <w:sz w:val="18"/>
                <w:szCs w:val="18"/>
                <w:color w:val="auto"/>
              </w:rPr>
              <w:t>Year Ended June 30,</w:t>
            </w: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jc w:val="right"/>
              <w:ind w:right="1020"/>
              <w:spacing w:after="0"/>
              <w:rPr>
                <w:sz w:val="20"/>
                <w:szCs w:val="20"/>
                <w:color w:val="auto"/>
              </w:rPr>
            </w:pPr>
            <w:r>
              <w:rPr>
                <w:rFonts w:ascii="Arial" w:cs="Arial" w:eastAsia="Arial" w:hAnsi="Arial"/>
                <w:sz w:val="18"/>
                <w:szCs w:val="18"/>
                <w:color w:val="auto"/>
              </w:rPr>
              <w:t>(Dollars in thousands)</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Loans, including loans held for sale, beginning of year</w:t>
            </w:r>
          </w:p>
        </w:tc>
        <w:tc>
          <w:tcPr>
            <w:tcW w:w="12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699,955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621,172</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Additions: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LASG Purchases and Originations: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Originations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237,691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110,578</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Purchases</w:t>
            </w: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112,807</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99,999</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Subtotal</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350,498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210,577</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SBA Division Originations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54,469</w:t>
            </w: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Community Bank Originations: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mortgages held for sale</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90,011</w:t>
            </w: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Residential mortgage held to maturity</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3,828</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15,029</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6,973</w:t>
            </w: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Consumer</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84,247</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116,791</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Total originations and purchases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516,741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381,837</w:t>
            </w: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Reductions:</w:t>
            </w:r>
          </w:p>
        </w:tc>
        <w:tc>
          <w:tcPr>
            <w:tcW w:w="8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Sales of residential loans held for sale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(74,662)</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(89,901)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portfolio loans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(72,052)</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(39,081)</w:t>
            </w: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Charge-offs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Pay-downs and amortization, net</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(285,701)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(172,807)</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Total reductions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(432,802)</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(303,054)</w:t>
            </w: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including loans held for sale, end of year</w:t>
            </w: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783,894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699,955</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Annual percentage increase in loans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3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12.68%</w:t>
            </w: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individually underwrite all loans that we originate and purchase. Our loan underwriting policies are reviewed and approved annually by our Board of Directors. Each loan, regardless of whether it is originated or purchased, must meet underwriting criteria set forth in our lending policies and the requirements of applicable federal and state regulations. All loans are subject to approval procedures and amount limitations, and the Board approves loan relationships exceeding certain prescribed dollar limits. Our policies are reviewed and approved at least annually by our Board of Directors. We supplement our own supervision of the loan underwriting and approval process with periodic loan audits by internal personnel and outside professionals experienced in loan review. As of June 30, 2017, the Bank’s legal lending limit was $28.5 million.</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typically retain servicing rights for all loans that we originate or purchase, except for residential loans that we originate and sell servicing released in the secondary market.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LASG Purchases and Originations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Loans originated or purchased by the LASG were $576.9 million as of June 30, 2017, which consisted of $415.3 million of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loans, $156.0 million of commercial and industrial loans, and $5.6 million of one- to four-family residential loans. The following table summarizes the LASG loan portfolio as of June 30, 2017:</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Purchased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210"/>
        </w:trPr>
        <w:tc>
          <w:tcPr>
            <w:tcW w:w="4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Non-owner occupied commercial real estate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134,970</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90,154</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225,124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106,754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83,446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190,200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156,009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1-4 family residential</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5,570</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246,388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576,903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Since the inception of the LASG through June 30, 2017, we have purchased loans with an aggregate investment of $599 million, of which $112.8 million was purchased during fiscal 2017. We have also originated LASG loans totaling $584 million, of which $237.7 million was originated in fiscal 2017. As of June 30, 2017, the unpaid principal balance of loans purchased or originated by the LASG ranged from $1 thousand to $12.0 million and have an average balance of $746 thousand. The real estate loans were secured principally by retail, industrial, hospitality, multi-family and office properties in 39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LASG loan portfolio stratified by book value as of June 30, 2017, excluding deferred fees and costs: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Range</w:t>
            </w:r>
          </w:p>
        </w:tc>
        <w:tc>
          <w:tcPr>
            <w:tcW w:w="2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9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Percent of Total</w:t>
            </w:r>
          </w:p>
        </w:tc>
        <w:tc>
          <w:tcPr>
            <w:tcW w:w="200" w:type="dxa"/>
            <w:vAlign w:val="bottom"/>
          </w:tcPr>
          <w:p>
            <w:pPr>
              <w:spacing w:after="0"/>
              <w:rPr>
                <w:sz w:val="20"/>
                <w:szCs w:val="20"/>
                <w:color w:val="auto"/>
              </w:rPr>
            </w:pPr>
          </w:p>
        </w:tc>
      </w:tr>
      <w:tr>
        <w:trPr>
          <w:trHeight w:val="210"/>
        </w:trPr>
        <w:tc>
          <w:tcPr>
            <w:tcW w:w="2540" w:type="dxa"/>
            <w:vAlign w:val="bottom"/>
          </w:tcPr>
          <w:p>
            <w:pPr>
              <w:spacing w:after="0"/>
              <w:rPr>
                <w:sz w:val="18"/>
                <w:szCs w:val="18"/>
                <w:color w:val="auto"/>
              </w:rPr>
            </w:pPr>
          </w:p>
        </w:tc>
        <w:tc>
          <w:tcPr>
            <w:tcW w:w="2880" w:type="dxa"/>
            <w:vAlign w:val="bottom"/>
            <w:gridSpan w:val="3"/>
          </w:tcPr>
          <w:p>
            <w:pPr>
              <w:jc w:val="right"/>
              <w:ind w:right="70"/>
              <w:spacing w:after="0"/>
              <w:rPr>
                <w:sz w:val="20"/>
                <w:szCs w:val="20"/>
                <w:color w:val="auto"/>
              </w:rPr>
            </w:pPr>
            <w:r>
              <w:rPr>
                <w:rFonts w:ascii="Arial" w:cs="Arial" w:eastAsia="Arial" w:hAnsi="Arial"/>
                <w:sz w:val="18"/>
                <w:szCs w:val="18"/>
                <w:color w:val="auto"/>
              </w:rPr>
              <w:t>(Dollars in thousands)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$0 - $500</w:t>
            </w:r>
          </w:p>
        </w:tc>
        <w:tc>
          <w:tcPr>
            <w:tcW w:w="288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76,385</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$500 - $1,000</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81,906</w:t>
            </w: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14.23%</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$1,000 - $2,000</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144,831</w:t>
            </w:r>
          </w:p>
        </w:tc>
        <w:tc>
          <w:tcPr>
            <w:tcW w:w="2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25.17%</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$2,000 - $3,000</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95,318</w:t>
            </w: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16.57%</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$3,000 - $4,000</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47,728</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Greater than $4,000</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129,245</w:t>
            </w:r>
          </w:p>
        </w:tc>
        <w:tc>
          <w:tcPr>
            <w:tcW w:w="20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22.47%</w:t>
            </w:r>
          </w:p>
        </w:tc>
      </w:tr>
      <w:tr>
        <w:trPr>
          <w:trHeight w:val="20"/>
        </w:trPr>
        <w:tc>
          <w:tcPr>
            <w:tcW w:w="25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575,413</w:t>
            </w:r>
          </w:p>
        </w:tc>
        <w:tc>
          <w:tcPr>
            <w:tcW w:w="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r>
      <w:tr>
        <w:trPr>
          <w:trHeight w:val="20"/>
        </w:trPr>
        <w:tc>
          <w:tcPr>
            <w:tcW w:w="25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LASG loan portfolio by location and type of collateral as of June 30, 2017, excluding deferred fees and costs: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Percent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Percent of</w:t>
            </w:r>
          </w:p>
        </w:tc>
        <w:tc>
          <w:tcPr>
            <w:tcW w:w="0" w:type="dxa"/>
            <w:vAlign w:val="bottom"/>
          </w:tcPr>
          <w:p>
            <w:pPr>
              <w:spacing w:after="0"/>
              <w:rPr>
                <w:sz w:val="1"/>
                <w:szCs w:val="1"/>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Collateral Type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Amount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Amount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(Dollars in thousands)</w:t>
            </w: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Multifamily</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65,454</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CA</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Office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63,986</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11.12%</w:t>
            </w:r>
          </w:p>
        </w:tc>
        <w:tc>
          <w:tcPr>
            <w:tcW w:w="1240" w:type="dxa"/>
            <w:vAlign w:val="bottom"/>
          </w:tcPr>
          <w:p>
            <w:pPr>
              <w:spacing w:after="0"/>
              <w:rPr>
                <w:sz w:val="20"/>
                <w:szCs w:val="20"/>
                <w:color w:val="auto"/>
              </w:rPr>
            </w:pPr>
            <w:r>
              <w:rPr>
                <w:rFonts w:ascii="Arial" w:cs="Arial" w:eastAsia="Arial" w:hAnsi="Arial"/>
                <w:sz w:val="18"/>
                <w:szCs w:val="18"/>
                <w:color w:val="auto"/>
              </w:rPr>
              <w:t>NY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134,384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Hospitality</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43,389</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NJ</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119,299</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20.73%</w:t>
            </w:r>
          </w:p>
        </w:tc>
        <w:tc>
          <w:tcPr>
            <w:tcW w:w="1240" w:type="dxa"/>
            <w:vAlign w:val="bottom"/>
          </w:tcPr>
          <w:p>
            <w:pPr>
              <w:spacing w:after="0"/>
              <w:rPr>
                <w:sz w:val="20"/>
                <w:szCs w:val="20"/>
                <w:color w:val="auto"/>
              </w:rPr>
            </w:pPr>
            <w:r>
              <w:rPr>
                <w:rFonts w:ascii="Arial" w:cs="Arial" w:eastAsia="Arial" w:hAnsi="Arial"/>
                <w:sz w:val="18"/>
                <w:szCs w:val="18"/>
                <w:color w:val="auto"/>
              </w:rPr>
              <w:t>IL</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31,695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69,545</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12.09%</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AZ</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 real estate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26,336</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4.58%</w:t>
            </w:r>
          </w:p>
        </w:tc>
        <w:tc>
          <w:tcPr>
            <w:tcW w:w="1240" w:type="dxa"/>
            <w:vAlign w:val="bottom"/>
          </w:tcPr>
          <w:p>
            <w:pPr>
              <w:spacing w:after="0"/>
              <w:rPr>
                <w:sz w:val="20"/>
                <w:szCs w:val="20"/>
                <w:color w:val="auto"/>
              </w:rPr>
            </w:pPr>
            <w:r>
              <w:rPr>
                <w:rFonts w:ascii="Arial" w:cs="Arial" w:eastAsia="Arial" w:hAnsi="Arial"/>
                <w:sz w:val="18"/>
                <w:szCs w:val="18"/>
                <w:color w:val="auto"/>
              </w:rPr>
              <w:t>TX</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20,196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187,404</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32.56%</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9"/>
              </w:rPr>
              <w:t>Non-real estate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84,626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575,413</w:t>
            </w:r>
          </w:p>
        </w:tc>
        <w:tc>
          <w:tcPr>
            <w:tcW w:w="22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240" w:type="dxa"/>
            <w:vAlign w:val="bottom"/>
          </w:tcPr>
          <w:p>
            <w:pPr>
              <w:spacing w:after="0"/>
              <w:rPr>
                <w:sz w:val="20"/>
                <w:szCs w:val="20"/>
                <w:color w:val="auto"/>
              </w:rPr>
            </w:pPr>
            <w:r>
              <w:rPr>
                <w:rFonts w:ascii="Arial" w:cs="Arial" w:eastAsia="Arial" w:hAnsi="Arial"/>
                <w:sz w:val="18"/>
                <w:szCs w:val="18"/>
                <w:color w:val="auto"/>
              </w:rPr>
              <w:t>All other states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142,405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575,413</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i w:val="1"/>
          <w:iCs w:val="1"/>
          <w:color w:val="auto"/>
        </w:rPr>
        <w:t xml:space="preserve">Loan Purchase Strategies. </w:t>
      </w:r>
      <w:r>
        <w:rPr>
          <w:rFonts w:ascii="Arial" w:cs="Arial" w:eastAsia="Arial" w:hAnsi="Arial"/>
          <w:sz w:val="18"/>
          <w:szCs w:val="18"/>
          <w:color w:val="auto"/>
        </w:rPr>
        <w:t>The LASG's loan purchasing strategy involves the acquisition of commercial loans, typically secured by real estate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assets located throughout the United States.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acquire commercial loans typically at a discount to their unpaid principal balances. While we acquire loans on a nationwide basis, we seek to avoid significant concentration in any geographic region or in any one collateral type. We do not seek acquisition opportunities for which the primary collateral is land, construction, or one- to four-family residential property, although in a very limited number of cases, loans secured by such collateral may be included in a pool of otherwise desirable loans. Purchased loans are sourced on a nationwide basis from banks, insurance companies, investment funds and government agencies, either directly or indirectly through advisors.</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focus on servicing released, whole loan or lead participation transactions so that we can control the management of the portfolio through our experienced asset management professionals. Purchased loans can be acquired as a single relationship or combined with other borrowers in a larger pool. Loans are bid to a minimal acceptable yield to maturity based on the overall risk of the loan, including expected repayment terms and the underlying collateral value. Updated loan-to-value ratios and loan terms both influence the amount of discount the Bank requires in determining whether a loan meets the Bank's guidelines. We often achieve actual results in excess of our minimal acceptable yield to maturity when a loan is prepaid.</w:t>
      </w:r>
    </w:p>
    <w:p>
      <w:pPr>
        <w:spacing w:after="0" w:line="1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June 30, 2017, purchased loans had an unpaid principal balance of $279.9 million and a book value of $246.4 million, representing a total discount of 12.0%.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purchased loan portfolio as of June 30, 2017 by original purchase price percentage: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Initial Investment as a %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560"/>
              <w:spacing w:after="0"/>
              <w:rPr>
                <w:sz w:val="20"/>
                <w:szCs w:val="20"/>
                <w:color w:val="auto"/>
              </w:rPr>
            </w:pPr>
            <w:r>
              <w:rPr>
                <w:rFonts w:ascii="Arial" w:cs="Arial" w:eastAsia="Arial" w:hAnsi="Arial"/>
                <w:sz w:val="18"/>
                <w:szCs w:val="18"/>
                <w:color w:val="auto"/>
              </w:rPr>
              <w:t>Amount</w:t>
            </w:r>
          </w:p>
        </w:tc>
        <w:tc>
          <w:tcPr>
            <w:tcW w:w="2100" w:type="dxa"/>
            <w:vAlign w:val="bottom"/>
            <w:gridSpan w:val="2"/>
          </w:tcPr>
          <w:p>
            <w:pPr>
              <w:jc w:val="right"/>
              <w:ind w:right="580"/>
              <w:spacing w:after="0"/>
              <w:rPr>
                <w:sz w:val="20"/>
                <w:szCs w:val="20"/>
                <w:color w:val="auto"/>
              </w:rPr>
            </w:pPr>
            <w:r>
              <w:rPr>
                <w:rFonts w:ascii="Arial" w:cs="Arial" w:eastAsia="Arial" w:hAnsi="Arial"/>
                <w:sz w:val="18"/>
                <w:szCs w:val="18"/>
                <w:color w:val="auto"/>
              </w:rPr>
              <w:t>Percent of Total</w:t>
            </w:r>
          </w:p>
        </w:tc>
      </w:tr>
      <w:tr>
        <w:trPr>
          <w:trHeight w:val="210"/>
        </w:trPr>
        <w:tc>
          <w:tcPr>
            <w:tcW w:w="4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(Dollars in thousands)</w:t>
            </w:r>
          </w:p>
        </w:tc>
        <w:tc>
          <w:tcPr>
            <w:tcW w:w="1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0% - 60%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60% - 70%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6,803</w:t>
            </w:r>
          </w:p>
        </w:tc>
        <w:tc>
          <w:tcPr>
            <w:tcW w:w="18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70% - 80%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22,943</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80% - 90%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74,566</w:t>
            </w:r>
          </w:p>
        </w:tc>
        <w:tc>
          <w:tcPr>
            <w:tcW w:w="18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30.26%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&gt;90%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134,919</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54.77%</w:t>
            </w:r>
          </w:p>
        </w:tc>
      </w:tr>
      <w:tr>
        <w:trPr>
          <w:trHeight w:val="20"/>
        </w:trPr>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246,388</w:t>
            </w:r>
          </w:p>
        </w:tc>
        <w:tc>
          <w:tcPr>
            <w:tcW w:w="18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Secondary Market for Commercial Loans. </w:t>
      </w:r>
      <w:r>
        <w:rPr>
          <w:rFonts w:ascii="Arial" w:cs="Arial" w:eastAsia="Arial" w:hAnsi="Arial"/>
          <w:sz w:val="17"/>
          <w:szCs w:val="17"/>
          <w:color w:val="auto"/>
        </w:rPr>
        <w:t>Commercial whole loans are typically sold either directly by sellers or through loan sale advisors. Because a</w:t>
      </w:r>
      <w:r>
        <w:rPr>
          <w:rFonts w:ascii="Arial" w:cs="Arial" w:eastAsia="Arial" w:hAnsi="Arial"/>
          <w:sz w:val="17"/>
          <w:szCs w:val="17"/>
          <w:i w:val="1"/>
          <w:iCs w:val="1"/>
          <w:color w:val="auto"/>
        </w:rPr>
        <w:t xml:space="preserve"> </w:t>
      </w:r>
      <w:r>
        <w:rPr>
          <w:rFonts w:ascii="Arial" w:cs="Arial" w:eastAsia="Arial" w:hAnsi="Arial"/>
          <w:sz w:val="17"/>
          <w:szCs w:val="17"/>
          <w:color w:val="auto"/>
        </w:rPr>
        <w:t>central database for commercial whole loan transactions does not exist, we attempt to compile our own statistics by both polling major loan sale advisors to obtain their aggregate trading volume and tracking the deal flow that we see directly via a proprietary database. This data reflects only a portion of the total market, as commercial whole loans that are sold in private direct sales or through other loan sale advisors are not included in our surveys. In recent years, the ratio of performing loans to total loans in the market has increased, in part, because sellers have worked through their most troubled, non-performing loans or are looking to minimize the discount they would receive in a secondary market transaction. While the 2008-2010 economic crisis led to a high level of trading volume, we also expect the market to remain active in times of economic prosperity, as sellers tend to have additional reserve capacity to sell their unwanted assets. Furthermore, we believe that the continued consolidation of the banking industry will create secondary market activity as acquirers often sell non-strategic borrowing relationships or assets that create excess loan concentrations.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Underwriting of Purchased Loans. </w:t>
      </w:r>
      <w:r>
        <w:rPr>
          <w:rFonts w:ascii="Arial" w:cs="Arial" w:eastAsia="Arial" w:hAnsi="Arial"/>
          <w:sz w:val="18"/>
          <w:szCs w:val="18"/>
          <w:color w:val="auto"/>
        </w:rPr>
        <w:t>We review many loan purchase opportunities and commence underwriting on a relatively small percentage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loans are underwritten by a team of in-house, seasoned analysts before being considered for approval. Prior to commencing underwriting, loans are analyzed for performance characteristics, loan terms, collateral quality, and price expectations. We also consider whether the loans would make our total purchased loan portfolio more or less diverse with respect to geography, loan type and collateral type. The opportunity is underwritten once it has been identified as fitting our investment parameters. While the extent of underwriting may vary based on investment size, procedures generally include the following:</w:t>
      </w:r>
    </w:p>
    <w:p>
      <w:pPr>
        <w:spacing w:after="0" w:line="19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loan analyst reviews and analyzes the seller credit file and our own internal and third party research in order to assess credit risk;</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the assistance of local counsel, where appropriate, an in-house attorney makes a determination regarding the quality of loan documentation and enforceability of loan terms;</w:t>
      </w:r>
    </w:p>
    <w:p>
      <w:pPr>
        <w:spacing w:after="0" w:line="170"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in-house real estate specialist performs real estate collateral evaluations, which includes conducting original market research for trends and sale and lease comparables, and develops a valuation based on current data reflecting what we believe are recent trends;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environmental assessment is performed on real estate collateral where appropriate;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left="660" w:right="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property inspection is generally performed on all real estate collateral securing a loan, focusing on several characteristics, including, among other things, the physical quality of the property, current occupancy, general quality and occupancy within the neighborhood, market position and nearby property listings;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underwriting package containing the analysis and results is reviewed and submitted for approval by the LASG Credit Committee.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Collateral Valuation. </w:t>
      </w:r>
      <w:r>
        <w:rPr>
          <w:rFonts w:ascii="Arial" w:cs="Arial" w:eastAsia="Arial" w:hAnsi="Arial"/>
          <w:sz w:val="18"/>
          <w:szCs w:val="18"/>
          <w:color w:val="auto"/>
        </w:rPr>
        <w:t>The estimated value of the real property collateralizing the loan is determined by the LASG's in-house real estate group,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among other factors, the type of property, its condition, location and its highest and best use in its marketplace. An inspection is conducted for the real property securing all loans bid upon. For loans that exceed a certain dollar threshold as prescribed in our credit policy, members of the LASG typically conduct an in-person site inspection.</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generally view cash flow from operations as the primary source of repayment on purchased loans. The LASG analyzes the current and likely future cash flows generated by the collateral to repay the loan. Also considered are minimum debt service coverage ratios, consisting of the ratio of net operating income to total principal and interest payments. Consideration of the debt service coverage ratio is critical to the pricing and rating of purchased and originated loans, and is analyzed carefully. For purchased loans, care is taken to ensure that, unless significantly offset by other factors in the credit, the purchase price results in an adjusted debt service coverage ratio that is within the Bank’s lending limits. Moreover, if the debt service coverage ratio based on the contractual payments, regardless of the Bank’s exposure, is significantly below 1.0x, then steps are taken to document alternative sources of repayment or develop a realistic plan to ensure continued performance of the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Loan Pricing. </w:t>
      </w:r>
      <w:r>
        <w:rPr>
          <w:rFonts w:ascii="Arial" w:cs="Arial" w:eastAsia="Arial" w:hAnsi="Arial"/>
          <w:sz w:val="18"/>
          <w:szCs w:val="18"/>
          <w:color w:val="auto"/>
        </w:rPr>
        <w:t>In determining the amount that we are willing to bid to acquire individual loans or loan pools, the LASG considers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Collateral securing the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resources of the borrower or guarantors,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Recourse nature of the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Age and performance of the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Length of time during which the loan has performed in accordance with its repayment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Yield expected to be earned;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Servicing restrictions, if any.</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to the factors listed above and despite the fact that purchased loans are typically performing loans, the LASG also estimates the amount that we may realize through collection efforts or foreclosure and sale of the collateral, net of expenses, and the length of time and costs required to complete the collection or foreclosure process in the event a loan becomes non-performing or is non-performing at the time of purchase.</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Loan Originations. </w:t>
      </w:r>
      <w:r>
        <w:rPr>
          <w:rFonts w:ascii="Arial" w:cs="Arial" w:eastAsia="Arial" w:hAnsi="Arial"/>
          <w:sz w:val="18"/>
          <w:szCs w:val="18"/>
          <w:color w:val="auto"/>
        </w:rPr>
        <w:t>In addition to purchasing loans, the LASG also originates commercial loans on a nationwide basis. Capitalizing on our purchased loan</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the LASG is in a position to review and act quickly on a variety of lending opportunities. Risk management, approvals, underwriting and other due diligence for these loans is similar to that for purchased loans, other than the appraisal and documentation process, which mirrors the Community Banking Division’s practice of employing local attorneys and real estate appraisers to assist in the process. We believe that the LASG has an advantage in originating commercial loans because of its ability to utilize in-house staff to quickly and accurately screen loan opportunities and accelerate the underwriting process.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Loan Servicing. </w:t>
      </w:r>
      <w:r>
        <w:rPr>
          <w:rFonts w:ascii="Arial" w:cs="Arial" w:eastAsia="Arial" w:hAnsi="Arial"/>
          <w:sz w:val="18"/>
          <w:szCs w:val="18"/>
          <w:color w:val="auto"/>
        </w:rPr>
        <w:t>We conduct all loan servicing for purchased and originated loans with an in-house team of experienced asset managers who actively manage</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portfolio. Asset managers initiate and maintain regular borrower contact, and ensure that the loan credit analysis is accurate. Collateral valuations, property inspections, and other collateral characteristics are updated periodically as a result of our ongoing in-house real estate analysis. All asset management activity and analysis is contained within a central database.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Division</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SBA Division, launched in November 2014, originates loans to small businesses nationwide, most often through the SBA's 7(a) program,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partial government guarantee. Our loans are typically secured by liens on business assets and mortgages on commercial properties, and also benefit from SBA guarantees. We seek to build a loan portfolio that is diverse with respect to geography, loan type and collateral type.</w:t>
      </w:r>
    </w:p>
    <w:p>
      <w:pPr>
        <w:sectPr>
          <w:pgSz w:w="11900" w:h="16838" w:orient="portrait"/>
          <w:cols w:equalWidth="0" w:num="1">
            <w:col w:w="11420"/>
          </w:cols>
          <w:pgMar w:left="240" w:top="118"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SBA Division loan portfolio as of June 30,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Non-owner occupied 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Owner occupied commercial real estate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1-4 family 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9755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SBA Division</w:t>
      </w:r>
    </w:p>
    <w:p>
      <w:pPr>
        <w:spacing w:after="0" w:line="23" w:lineRule="exact"/>
        <w:rPr>
          <w:sz w:val="20"/>
          <w:szCs w:val="20"/>
          <w:color w:val="auto"/>
        </w:rPr>
      </w:pPr>
    </w:p>
    <w:p>
      <w:pPr>
        <w:jc w:val="center"/>
        <w:ind w:right="2360"/>
        <w:spacing w:after="0"/>
        <w:rPr>
          <w:sz w:val="20"/>
          <w:szCs w:val="20"/>
          <w:color w:val="auto"/>
        </w:rPr>
      </w:pP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1020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6" w:lineRule="exact"/>
        <w:rPr>
          <w:sz w:val="20"/>
          <w:szCs w:val="20"/>
          <w:color w:val="auto"/>
        </w:rPr>
      </w:pPr>
    </w:p>
    <w:p>
      <w:pPr>
        <w:ind w:left="1120" w:hanging="1111"/>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23,720</w:t>
      </w:r>
    </w:p>
    <w:p>
      <w:pPr>
        <w:spacing w:after="0" w:line="32"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6"/>
          <w:szCs w:val="16"/>
          <w:color w:val="auto"/>
        </w:rPr>
        <w:t>21,820</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5"/>
          <w:szCs w:val="15"/>
          <w:color w:val="auto"/>
        </w:rPr>
        <w:t>7,296</w:t>
      </w:r>
    </w:p>
    <w:p>
      <w:pPr>
        <w:spacing w:after="0" w:line="43" w:lineRule="exact"/>
        <w:rPr>
          <w:rFonts w:ascii="Arial" w:cs="Arial" w:eastAsia="Arial" w:hAnsi="Arial"/>
          <w:sz w:val="16"/>
          <w:szCs w:val="16"/>
          <w:color w:val="auto"/>
        </w:rPr>
      </w:pPr>
    </w:p>
    <w:p>
      <w:pPr>
        <w:ind w:left="1340"/>
        <w:spacing w:after="0"/>
        <w:rPr>
          <w:rFonts w:ascii="Arial" w:cs="Arial" w:eastAsia="Arial" w:hAnsi="Arial"/>
          <w:sz w:val="16"/>
          <w:szCs w:val="16"/>
          <w:color w:val="auto"/>
        </w:rPr>
      </w:pPr>
      <w:r>
        <w:rPr>
          <w:rFonts w:ascii="Arial" w:cs="Arial" w:eastAsia="Arial" w:hAnsi="Arial"/>
          <w:sz w:val="16"/>
          <w:szCs w:val="16"/>
          <w:color w:val="auto"/>
        </w:rPr>
        <w:t>129</w:t>
      </w:r>
    </w:p>
    <w:p>
      <w:pPr>
        <w:spacing w:after="0" w:line="32" w:lineRule="exact"/>
        <w:rPr>
          <w:sz w:val="20"/>
          <w:szCs w:val="20"/>
          <w:color w:val="auto"/>
        </w:rPr>
      </w:pPr>
    </w:p>
    <w:p>
      <w:pPr>
        <w:ind w:left="1120" w:hanging="1111"/>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52,965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1020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6720" w:space="720"/>
            <w:col w:w="3980"/>
          </w:cols>
          <w:pgMar w:left="240" w:top="118" w:right="239" w:bottom="1440" w:gutter="0" w:footer="0" w:header="0"/>
          <w:type w:val="continuous"/>
        </w:sectPr>
      </w:pPr>
    </w:p>
    <w:p>
      <w:pPr>
        <w:spacing w:after="0" w:line="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Company's SBA loan portfolio includes owner and non-owner occupied loans as defined under regulatory call report instructions. The regulatory call report instructions primarily consider the primary source of repayment on the loan for this determination. However, these loans meet the SBA requirements to be considered owner occupied as the owner or controlling entity are actively involved in the daily operations of the underlying core business.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the loans held in the SBA Division loan portfolio, as of June 30, 2017, $191 thousand in the loans held for sale portfolio were attributable to the SBA Division, consisting of the guaranteed portion of the SBA Division loans that we expect to sell in the secondary market.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Secondary Market for SBA Guarantees. </w:t>
      </w:r>
      <w:r>
        <w:rPr>
          <w:rFonts w:ascii="Arial" w:cs="Arial" w:eastAsia="Arial" w:hAnsi="Arial"/>
          <w:sz w:val="18"/>
          <w:szCs w:val="18"/>
          <w:color w:val="auto"/>
        </w:rPr>
        <w:t>We typically sell the SBA-guaranteed portion of our variable-rate originations (generally 75%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at a premium in the secondary market. We generally retain a 25% unguaranteed interest and the accompanying servicing rights to the entire loan. We hold most fixed-rate SBA loan originations in portfolio.</w:t>
      </w:r>
    </w:p>
    <w:p>
      <w:pPr>
        <w:spacing w:after="0" w:line="18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i w:val="1"/>
          <w:iCs w:val="1"/>
          <w:color w:val="auto"/>
        </w:rPr>
        <w:t xml:space="preserve">Underwriting of SBA Division Loans. </w:t>
      </w:r>
      <w:r>
        <w:rPr>
          <w:rFonts w:ascii="Arial" w:cs="Arial" w:eastAsia="Arial" w:hAnsi="Arial"/>
          <w:sz w:val="17"/>
          <w:szCs w:val="17"/>
          <w:color w:val="auto"/>
        </w:rPr>
        <w:t>Our loan policies and procedures establish guidelines governing our SBA lending program. Generally, these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the types of loans that we seek, target markets, underwriting and collateral requirements, terms, interest rate and yield considerations and compliance with laws and regulations. All loans or credit lines are subject to approval procedures and amount limitations. Our policies are reviewed and approved at least annually by our Board of Directors to ensure that we are following SBA underwriting guidelines.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Loan Servicing. </w:t>
      </w:r>
      <w:r>
        <w:rPr>
          <w:rFonts w:ascii="Arial" w:cs="Arial" w:eastAsia="Arial" w:hAnsi="Arial"/>
          <w:sz w:val="18"/>
          <w:szCs w:val="18"/>
          <w:color w:val="auto"/>
        </w:rPr>
        <w:t>We conduct all loan servicing for SBA Division loans with an in-house team of experienced asset managers who actively manage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Asset managers initiate and maintain regular borrower contact, and ensure that the loan credit analysis is accurate. Collateral valuations, property inspections, and other collateral characteristics are updated periodically as a result of our ongoing in-house real estate analysis. All asset management activity and analysis is contained within a central database.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Banking Division Originations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Loan Portfolio. </w:t>
      </w:r>
      <w:r>
        <w:rPr>
          <w:rFonts w:ascii="Arial" w:cs="Arial" w:eastAsia="Arial" w:hAnsi="Arial"/>
          <w:sz w:val="18"/>
          <w:szCs w:val="18"/>
          <w:color w:val="auto"/>
        </w:rPr>
        <w:t>The Community Banking Division’s loan portfolio consists primarily of loans to businesses and consumers in the Community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Division's market area.</w:t>
      </w:r>
    </w:p>
    <w:p>
      <w:pPr>
        <w:spacing w:after="0" w:line="170" w:lineRule="exact"/>
        <w:rPr>
          <w:sz w:val="20"/>
          <w:szCs w:val="20"/>
          <w:color w:val="auto"/>
        </w:rPr>
      </w:pPr>
    </w:p>
    <w:p>
      <w:pPr>
        <w:ind w:left="340" w:hanging="332"/>
        <w:spacing w:after="0" w:line="273" w:lineRule="auto"/>
        <w:tabs>
          <w:tab w:leader="none" w:pos="34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Residential Mortgage Loans. </w:t>
      </w:r>
      <w:r>
        <w:rPr>
          <w:rFonts w:ascii="Arial" w:cs="Arial" w:eastAsia="Arial" w:hAnsi="Arial"/>
          <w:sz w:val="17"/>
          <w:szCs w:val="17"/>
          <w:color w:val="auto"/>
        </w:rPr>
        <w:t>We originate residential mortgage loans secured by one- to four-family properties throughout Maine, southern New</w:t>
      </w:r>
      <w:r>
        <w:rPr>
          <w:rFonts w:ascii="Arial" w:cs="Arial" w:eastAsia="Arial" w:hAnsi="Arial"/>
          <w:sz w:val="17"/>
          <w:szCs w:val="17"/>
          <w:i w:val="1"/>
          <w:iCs w:val="1"/>
          <w:color w:val="auto"/>
        </w:rPr>
        <w:t xml:space="preserve"> </w:t>
      </w:r>
      <w:r>
        <w:rPr>
          <w:rFonts w:ascii="Arial" w:cs="Arial" w:eastAsia="Arial" w:hAnsi="Arial"/>
          <w:sz w:val="17"/>
          <w:szCs w:val="17"/>
          <w:color w:val="auto"/>
        </w:rPr>
        <w:t>Hampshire, and Massachusetts. Such loans may be originated for sale in the secondary market or to be held on the Bank's balance sheet. We also offer home equity loans and home equity lines of credit, which are secured by first or second mortgages on one- to four-family owner-occupied properties and which are held on our balance sheet. At June 30, 2017, portfolio residential loans totaled $95.5 million, or 12.3% of total loans. Of the residential loans we held for investment at June 30, 2017, approximately 55.4% were adjustable rate. Included in residential loans are home equity lines of credit and other second mortgage loans aggregating approximately $14.0 million.</w:t>
      </w:r>
    </w:p>
    <w:p>
      <w:pPr>
        <w:spacing w:after="0" w:line="178" w:lineRule="exact"/>
        <w:rPr>
          <w:rFonts w:ascii="Arial" w:cs="Arial" w:eastAsia="Arial" w:hAnsi="Arial"/>
          <w:sz w:val="17"/>
          <w:szCs w:val="17"/>
          <w:i w:val="1"/>
          <w:iCs w:val="1"/>
          <w:color w:val="auto"/>
        </w:rPr>
      </w:pPr>
    </w:p>
    <w:p>
      <w:pPr>
        <w:ind w:left="340" w:right="20" w:hanging="332"/>
        <w:spacing w:after="0" w:line="302"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Commercial Real Estate Loans. </w:t>
      </w:r>
      <w:r>
        <w:rPr>
          <w:rFonts w:ascii="Arial" w:cs="Arial" w:eastAsia="Arial" w:hAnsi="Arial"/>
          <w:sz w:val="16"/>
          <w:szCs w:val="16"/>
          <w:color w:val="auto"/>
        </w:rPr>
        <w:t>We originate multi-family and other commercial real estate loans secured by property located primarily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Community Banking Division's market area. At June 30, 2017, commercial real estate loans outstanding were $37.1 million, or 4.8% of total loans. Although the largest commercial real estate loan originated by the Community Banking Division had a principal balance of $1.8 million at June 30, 2017, the majority of the commercial real estate loans originated by the Community Banking Division had principal balances less than $500 thousand.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340" w:right="260" w:hanging="332"/>
        <w:spacing w:after="0" w:line="302"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Commercial and industrial Loans. </w:t>
      </w:r>
      <w:r>
        <w:rPr>
          <w:rFonts w:ascii="Arial" w:cs="Arial" w:eastAsia="Arial" w:hAnsi="Arial"/>
          <w:sz w:val="16"/>
          <w:szCs w:val="16"/>
          <w:color w:val="auto"/>
        </w:rPr>
        <w:t>We originate commercial and industrial loans, including term loans, lines of credit and equipment and receivables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to businesses located primarily in the Community Banking Division's market area. At June 30, 2017, commercial and industrial loans outstanding were $12.4 million, or 1.6% of total loans. At June 30, 2017, there were 105 commercial and industrial loans outstanding with an average principal balance of $118 thousand. The largest of these commercial and industrial loans had a principal balance of $1.9 million at June 30, 2017.</w:t>
      </w:r>
    </w:p>
    <w:p>
      <w:pPr>
        <w:spacing w:after="0" w:line="154" w:lineRule="exact"/>
        <w:rPr>
          <w:rFonts w:ascii="Arial" w:cs="Arial" w:eastAsia="Arial" w:hAnsi="Arial"/>
          <w:sz w:val="16"/>
          <w:szCs w:val="16"/>
          <w:i w:val="1"/>
          <w:iCs w:val="1"/>
          <w:color w:val="auto"/>
        </w:rPr>
      </w:pPr>
    </w:p>
    <w:p>
      <w:pPr>
        <w:ind w:left="340" w:right="260" w:hanging="332"/>
        <w:spacing w:after="0" w:line="277"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Loans. </w:t>
      </w:r>
      <w:r>
        <w:rPr>
          <w:rFonts w:ascii="Arial" w:cs="Arial" w:eastAsia="Arial" w:hAnsi="Arial"/>
          <w:sz w:val="18"/>
          <w:szCs w:val="18"/>
          <w:color w:val="auto"/>
        </w:rPr>
        <w:t>We originate, on a direct basis, automobile, boat and recreational vehicle loans. At June 30, 2017, consumer loans outstanding were</w:t>
      </w:r>
      <w:r>
        <w:rPr>
          <w:rFonts w:ascii="Arial" w:cs="Arial" w:eastAsia="Arial" w:hAnsi="Arial"/>
          <w:sz w:val="18"/>
          <w:szCs w:val="18"/>
          <w:i w:val="1"/>
          <w:iCs w:val="1"/>
          <w:color w:val="auto"/>
        </w:rPr>
        <w:t xml:space="preserve"> </w:t>
      </w:r>
      <w:r>
        <w:rPr>
          <w:rFonts w:ascii="Arial" w:cs="Arial" w:eastAsia="Arial" w:hAnsi="Arial"/>
          <w:sz w:val="18"/>
          <w:szCs w:val="18"/>
          <w:color w:val="auto"/>
        </w:rPr>
        <w:t>$4.4 million, or 0.6% of total loans.</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Underwriting of Loans. </w:t>
      </w:r>
      <w:r>
        <w:rPr>
          <w:rFonts w:ascii="Arial" w:cs="Arial" w:eastAsia="Arial" w:hAnsi="Arial"/>
          <w:sz w:val="18"/>
          <w:szCs w:val="18"/>
          <w:color w:val="auto"/>
        </w:rPr>
        <w:t>Most residential loans, including those held for investment, are originated in accordance with the standards of the Federal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Association, the Federal Home Loan Mortgage Corporation, the Federal Housing Authority, or other third party correspondent lenders. Our underwriting process for all other loans originated by the Community Banking Division is as follows:</w:t>
      </w:r>
    </w:p>
    <w:p>
      <w:pPr>
        <w:spacing w:after="0" w:line="181" w:lineRule="exact"/>
        <w:rPr>
          <w:sz w:val="20"/>
          <w:szCs w:val="20"/>
          <w:color w:val="auto"/>
        </w:rPr>
      </w:pPr>
    </w:p>
    <w:p>
      <w:pPr>
        <w:ind w:left="340" w:right="4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Most of our Community Bank originated loans are sourced through relationships between loan officers and third party referral sources or current or previous customers.</w:t>
      </w:r>
    </w:p>
    <w:p>
      <w:pPr>
        <w:spacing w:after="0" w:line="170" w:lineRule="exact"/>
        <w:rPr>
          <w:rFonts w:ascii="Arial" w:cs="Arial" w:eastAsia="Arial" w:hAnsi="Arial"/>
          <w:sz w:val="18"/>
          <w:szCs w:val="18"/>
          <w:color w:val="auto"/>
        </w:rPr>
      </w:pPr>
    </w:p>
    <w:p>
      <w:pPr>
        <w:ind w:left="340" w:right="440" w:hanging="332"/>
        <w:spacing w:after="0" w:line="31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After a loan officer has taken basic information from the borrower, the request is submitted to the Community Banking Division's loan production department. The loan production department obtains comprehensive information from the borrower and third parties, and conducts verification and analysis of the borrower information, which is assembled into a single underwriting package that is submitted for final approval.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Activities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securities portfolio and short-term investments provide and maintain liquidity, assist in managing the interest rate sensitivity of our balance sheet, and serve as collateral for certain of our obligations. Individual investment decisions are made based on the credit quality of the investment, liquidity requirements, potential returns, cash flow targets, and consistency with our asset/liability management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Deposits have traditionally been the primary source of the Bank's funds for lending and other investment purposes. In addition to deposits, the Bank obtains funds from the amortization and prepayment of loans and mortgage-backed securities, the sale, call or maturity of investment securities, advances from the Federal Home Loan Bank of Boston (the "FHLBB"), other term borrowings and cash flows generated by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offer a full line of deposit products to customers in western and south-central Maine through our ten-branch network. Our deposit products consist of demand deposit, NOW, money market, savings and certificate of deposit accounts. Our customers access their funds through ATMs, MasterCard® Debit Cards, Automated Clearing House funds (electronic transfers) and checks. We also offer telephone banking, online banking and bill payment, mobile banking and remote deposit capture services. Interest rates on our deposits are based upon factors that include prevailing loan demand, deposit maturities, alternative costs of funds, interest rates offered by competing financial institutions and other financial service firms, and general economic conditions. At June 30, 2017, we had core deposits of $889.9 million, representing 100% of total deposits. We define core deposits as non-maturity deposits and non-brokered insured time deposits.</w:t>
      </w:r>
    </w:p>
    <w:p>
      <w:pPr>
        <w:spacing w:after="0" w:line="18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online deposit program, ableBanking, provides an additional channel through which to obtain core deposits to support our growth. ableBanking, which was launched in late fiscal 2012 as a division of Northeast Bank, had $178.2 million in money market and time deposits as of June 30, 2017. We also use deposit listing services to gather deposits from time to time, in support of our liquidity and asset/liability management objectives. At June 30, 2017, listing service deposits totaled $197.4 million, bearing a weighted average remaining term of 0.83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While we currently consider core deposits (defined as non-maturity deposits and non-brokered insured time deposits) as our primary source of funding to support asset growth, advances from the FHLBB and other sources of wholesale funding remain an important part of our liquidity contingency planning. Northeast Bank may borrow up to 50% of its total assets from the FHLBB, and borrowings are typically collateralized by mortgage loans and securities pledged to the FHLBB. At June 30, 2017, we had $67.9 million of available borrowing capacity based on collateral. Northeast Bank can also borrow from the Federal Reserve Bank of Boston, with any such borrowing collateralized by consumer loans pledged to the Federal Reserve.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foreseeable future, we expect to rely less on borrowings than other banks of similar size, because of our regulatory commitment to fund 100% of our loans with core deposits, although the availability of FHLBB and Federal Reserve Bank of Boston advances and other sources of wholesale funding remain an important part of our liquidity contingency planning.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2017, the Company employed 177 full-time and 18 part-time employees. The Company's employees are not represented by any collective bargaining unit. The Company believes that its relations with its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 Bank had five wholly-owned non-bank subsidiaries:</w:t>
      </w:r>
    </w:p>
    <w:p>
      <w:pPr>
        <w:spacing w:after="0" w:line="225" w:lineRule="exact"/>
        <w:rPr>
          <w:sz w:val="20"/>
          <w:szCs w:val="20"/>
          <w:color w:val="auto"/>
        </w:rPr>
      </w:pPr>
    </w:p>
    <w:p>
      <w:pPr>
        <w:ind w:left="660" w:right="1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Northeast Bank Insurance Group, Inc. ("NBIG"). The insurance agency assets of NBIG were sold on September 1, 2011. The entity currently holds the real estate formerly used in its insurance agency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Elm Realty, LLC, which was established to hold commercial real estate acquired as a result of loan workouts.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500 Pine Realty, LLC, which was established to hold residential real estate acquired as a result of loan workouts.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 Dogwood Realty, LLC, which was established to hold commercial real estate acquired as a result of loan workouts.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Portland, Inc., which was established to employ a business development officer to solicit SBA loans in New Jersey.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discussion addresses elements of the regulatory framework applicable to bank holding companies and their subsidiaries. This regulatory framework is intended primarily to protect the safety and soundness of depository institutions, the federal deposit insurance system, and depositors, rather than the shareholders of a bank holding company such as the Company. This summary is not a comprehensive analysis of all applicable laws, and is qualified by reference to the applicable statutes and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Company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a bank holding company, the Company is subject to regulation, supervision and examination by the Federal Reserve, which has the authority, among other things, to order bank holding companies to cease and desist from unsafe or unsound banking practices; to assess civil money penalties; and to order termination of non-banking activities or termination of ownership and control of a non-banking subsidiary by a bank holding company.</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Source of Strength. </w:t>
      </w:r>
      <w:r>
        <w:rPr>
          <w:rFonts w:ascii="Arial" w:cs="Arial" w:eastAsia="Arial" w:hAnsi="Arial"/>
          <w:sz w:val="18"/>
          <w:szCs w:val="18"/>
          <w:color w:val="auto"/>
        </w:rPr>
        <w:t>Under the Bank Holding Company Act of 1956 (the “BHCA”), as amended by the Dodd-Frank Wall Street Reform and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Act (the “Dodd-Frank Act”), the Company is required to serve as a source of financial strength for the Bank in the event of the financial distress of the Bank. This provision codifies the longstanding policy of the Federal Reserve. In addition, any capital loans by a bank holding company to any of its bank subsidiaries are subordinate to the payment of deposits and to certain other indebtedness. In the event of a bank holding company’s bankruptcy, any commitment by the bank holding company to a federal bank regulatory agency to maintain the capital of a bank subsidiary will be assumed by the bankruptcy trustee and entitled to a priority of payment.</w:t>
      </w:r>
    </w:p>
    <w:p>
      <w:pPr>
        <w:spacing w:after="0" w:line="19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Acquisitions and Activities</w:t>
      </w:r>
      <w:r>
        <w:rPr>
          <w:rFonts w:ascii="Arial" w:cs="Arial" w:eastAsia="Arial" w:hAnsi="Arial"/>
          <w:sz w:val="18"/>
          <w:szCs w:val="18"/>
          <w:color w:val="auto"/>
        </w:rPr>
        <w:t>. The BHCA prohibits a bank holding company, without prior approval of the Federal Reserve, from acquiring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assets of a bank; acquiring control of a bank; merging or consolidating with another bank holding company; or acquiring direct or indirect ownership or control of any voting shares of another bank or bank holding company if, after such acquisition, the acquiring bank holding company would control more than 5% of any class of the voting shares of such other bank or bank holding company.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BHCA also prohibits a bank holding company from engaging directly or indirectly in activities other than those of banking, managing or controlling banks or furnishing services to its subsidiary banks. However, a bank holding company may engage in and may own shares of companies engaged in certain activities that the Federal Reserve has determined to be closely related to banking or managing and controlling banks as to be a proper incident thereto.</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Limitations on Acquisitions of Company Common Stock. </w:t>
      </w:r>
      <w:r>
        <w:rPr>
          <w:rFonts w:ascii="Arial" w:cs="Arial" w:eastAsia="Arial" w:hAnsi="Arial"/>
          <w:sz w:val="16"/>
          <w:szCs w:val="16"/>
          <w:color w:val="auto"/>
        </w:rPr>
        <w:t>The Change in Bank Control Act prohibits a person or group of persons from acquiring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a bank holding company unless the Federal Reserve has been notified and has not objected to the transaction. Under a rebuttable presumption established by the Federal Reserve, the acquisition of 10% or more of a class of voting securities of a bank holding company with a class of securities registered under Section 12 of the Securities Exchange Act of 1934, as amended, would constitute the acquisition of control of a bank holding company.</w:t>
      </w:r>
    </w:p>
    <w:p>
      <w:pPr>
        <w:spacing w:after="0" w:line="15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addition, the BHCA prohibits any company from acquiring control of a bank or bank holding company without first having obtained the approval of the Federal Reserve. Among other circumstances, under the BHCA, a company has control of a bank or bank holding company if the company owns, controls or holds with power to vote 25% or more of a class of voting securities of the bank or bank holding company; controls in any manner the election of a majority of directors or trustees of the bank or bank holding company; or the Federal Reserve has determined, after notice and opportunity for hearing, that the company has the power to exercise a controlling influence over the management or policies of the bank or bank holding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Bank</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a Maine-chartered bank, the Bank is subject to supervision, regulation and examination by the Maine Bureau of Financial Institutions (the “Bureau”) and the Federal Deposit Insurance Corporation (the “FDIC”). The Federal Reserve may directly examine the subsidiaries of the Company, including the Bank. The enforcement powers available to federal and state banking regulators include, among other things, the ability to issue cease and desist or removal orders, to terminate insurance of deposits, to assess civil money penalties, to issue directives to increase capital, to place the bank into receivership, and to initiate injunctive actions against banking organizations and institution-affiliated parties.</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Deposit Insurance. </w:t>
      </w:r>
      <w:r>
        <w:rPr>
          <w:rFonts w:ascii="Arial" w:cs="Arial" w:eastAsia="Arial" w:hAnsi="Arial"/>
          <w:sz w:val="17"/>
          <w:szCs w:val="17"/>
          <w:color w:val="auto"/>
        </w:rPr>
        <w:t>The deposit obligations of the Bank are insured up to applicable limits by the FDIC’s Deposit Insurance Fund (“DIF”) and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insurance assessments to maintain the DIF. The Dodd-Frank Act permanently increased the FDIC deposit insurance limit to $250,000 per depositor for deposits maintained in the same right and capacity at a particular insured depository institution. On March 15, 2016, the FDIC’s Board of Directors approved a final rule to increase the DIF’s reserve ratio to the statutorily required minimum ratio of 1.35% of estimated insured deposits. Small banks, which are generally those banks with under $10 billion in assets, will receive credits to offset the portion of their assessments that help to raise the reserve ratio from 1.15 percent to 1.35 percent. After the reserve ratio reaches 1.38 percent, the FDIC will automatically apply a small bank’s credits to reduce its regular assessment up to the entire amount of the assessment.</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Deposit insurance assessments are based on assets. To determine its deposit insurance assessment, the Bank computes the base amount of its average consolidated assets less its average tangible equity (defined as the amount of Tier 1 capital) and the applicable assessment rate. On April 26, 2016, the FDIC’s Board of Directors adopted a final rule that changed the manner in which deposit insurance assessment rates are calculated for established small banks, generally those banks with less than $10 billion of assets that have been insured for at least five years. Under the final rule, beginning the first assessment period after June 30, 2016, assessments for established small banks with a CAMELS rating of 1 or 2 will range from 1.5 to 16 basis points, after adjustments, while assessment rates for established small institutions with a CAMELS composite rating of 4 or 5 may range from 11 to 30 basis points, after adjustments. Assessments for established banks with a CAMELS rating of 3 will range from 3 to 30 basis points.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FDIC has the power to adjust deposit insurance assessment rates at any time. In addition, under the Federal Deposit Insurance Act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 For the year ended June 30, 2017, the FDIC insurance expense for the Bank was $303 thousand.</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Acquisitions and Branching</w:t>
      </w:r>
      <w:r>
        <w:rPr>
          <w:rFonts w:ascii="Arial" w:cs="Arial" w:eastAsia="Arial" w:hAnsi="Arial"/>
          <w:sz w:val="18"/>
          <w:szCs w:val="18"/>
          <w:color w:val="auto"/>
        </w:rPr>
        <w:t>. Prior approval from the Bureau and the FDIC is required in order for the Bank to acquire another bank or establish a new branch</w:t>
      </w:r>
      <w:r>
        <w:rPr>
          <w:rFonts w:ascii="Arial" w:cs="Arial" w:eastAsia="Arial" w:hAnsi="Arial"/>
          <w:sz w:val="18"/>
          <w:szCs w:val="18"/>
          <w:i w:val="1"/>
          <w:iCs w:val="1"/>
          <w:color w:val="auto"/>
        </w:rPr>
        <w:t xml:space="preserve"> </w:t>
      </w:r>
      <w:r>
        <w:rPr>
          <w:rFonts w:ascii="Arial" w:cs="Arial" w:eastAsia="Arial" w:hAnsi="Arial"/>
          <w:sz w:val="18"/>
          <w:szCs w:val="18"/>
          <w:color w:val="auto"/>
        </w:rPr>
        <w:t>office. Well capitalized and well managed banks may acquire other banks in any state, subject to certain deposit concentration limits and other conditions, pursuant to the Riegle-Neal Interstate Banking and Branching Efficiency Act of 1994, as amended by the Dodd-Frank Act. In addition, the Dodd-Frank Act authorizes a state-chartered bank, such as the Bank, to establish new branches on an interstate basis to the same extent a bank chartered by the host state may establish branches.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Activities and Investments of Insured State-Chartered Banks</w:t>
      </w:r>
      <w:r>
        <w:rPr>
          <w:rFonts w:ascii="Arial" w:cs="Arial" w:eastAsia="Arial" w:hAnsi="Arial"/>
          <w:sz w:val="18"/>
          <w:szCs w:val="18"/>
          <w:color w:val="auto"/>
        </w:rPr>
        <w:t>. Section 24 of the FDIA generally limits the types of equity investment an FDIC-insured state-chartered bank, such as the Bank, may make and the kinds of activities in which such a bank may engage, as a principal, to those that are permissible for national banks. Further, the Gramm-Leach-Bliley Act of 1999 (“GLBA”) permits national banks and state banks, to the extent permitted under state law, to engage—via financial subsidiaries—in certain activities that are permissible for subsidiaries of a financial holding company. In order to form a financial subsidiary, a state-chartered bank must be well capitalized, and such banks would be subject to certain capital deduction, risk management and affiliate transaction rules, among other things.</w:t>
      </w:r>
    </w:p>
    <w:p>
      <w:pPr>
        <w:spacing w:after="0" w:line="193"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i w:val="1"/>
          <w:iCs w:val="1"/>
          <w:color w:val="auto"/>
        </w:rPr>
        <w:t>Lending Restrictions</w:t>
      </w:r>
      <w:r>
        <w:rPr>
          <w:rFonts w:ascii="Arial" w:cs="Arial" w:eastAsia="Arial" w:hAnsi="Arial"/>
          <w:sz w:val="17"/>
          <w:szCs w:val="17"/>
          <w:color w:val="auto"/>
        </w:rPr>
        <w:t>. Federal law limits a bank’s authority to extend credit to its directors, executive officers and 10% shareholders, as well as to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 The Dodd-Frank Act explicitly provides that an extension of credit to an insider includes credit exposure arising from a derivatives transaction, repurchase agreement, reverse repurchase agreement, securities lending transaction or securities borrowing transaction. Additionally, the Dodd-Frank Act requires that asset sale transactions with insiders must be on market terms, and if the transaction represents more than 10% of the capital and surplus of the Bank, approved by a majority of the disinterested directors of the Bank.</w:t>
      </w:r>
    </w:p>
    <w:p>
      <w:pPr>
        <w:spacing w:after="0" w:line="18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Brokered Deposits</w:t>
      </w:r>
      <w:r>
        <w:rPr>
          <w:rFonts w:ascii="Arial" w:cs="Arial" w:eastAsia="Arial" w:hAnsi="Arial"/>
          <w:sz w:val="16"/>
          <w:szCs w:val="16"/>
          <w:color w:val="auto"/>
        </w:rPr>
        <w:t>. Section 29 of the FDIA and FDIC regulations generally limit the ability of an insured depository institution to accept, renew or roll over</w:t>
      </w:r>
      <w:r>
        <w:rPr>
          <w:rFonts w:ascii="Arial" w:cs="Arial" w:eastAsia="Arial" w:hAnsi="Arial"/>
          <w:sz w:val="16"/>
          <w:szCs w:val="16"/>
          <w:i w:val="1"/>
          <w:iCs w:val="1"/>
          <w:color w:val="auto"/>
        </w:rPr>
        <w:t xml:space="preserve"> </w:t>
      </w:r>
      <w:r>
        <w:rPr>
          <w:rFonts w:ascii="Arial" w:cs="Arial" w:eastAsia="Arial" w:hAnsi="Arial"/>
          <w:sz w:val="16"/>
          <w:szCs w:val="16"/>
          <w:color w:val="auto"/>
        </w:rPr>
        <w:t>any brokered deposit unless the institution’s capital category is “well capitalized” or, with the FDIC’s approval, “adequately capitalized.” Depository institutions that have brokered deposits in excess of 10% of total assets will be subject to increased FDIC deposit insurance assessments. However, for institutions that are well capitalized and have a CAMELS composite rating of 1 or 2, reciprocal deposits are deducted from brokered deposits.</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Community Reinvestment Act</w:t>
      </w:r>
      <w:r>
        <w:rPr>
          <w:rFonts w:ascii="Arial" w:cs="Arial" w:eastAsia="Arial" w:hAnsi="Arial"/>
          <w:sz w:val="17"/>
          <w:szCs w:val="17"/>
          <w:color w:val="auto"/>
        </w:rPr>
        <w:t>. The Community Reinvestment Act (“CRA”) requires the FDIC to evaluate the Bank’s performance in helping to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needs of the entire communities it serves, including low and moderate-income neighborhoods, consistent with its safe and sound banking operations, and to take this record into consideration when evaluating certain applications. The FDIC’s CRA regulations are generally based upon objective criteria of the performance of institutions under three key assessment tests: (i) a lending test, to evaluate the institution’s record of making loans in its service areas; (ii) an investment test, to evaluate the institution’s record of investing in community development projects, affordable housing, and programs benefiting low or moderate income individuals and businesses; and (iii) a service test, to evaluate the institution’s delivery of services through its branches, ATMs, and other offices. The Bank’s most recent performance evaluation from the FDIC was a “satisfactory” rating.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Adequacy and Safety and Soundness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Regulatory Capital Requirements. </w:t>
      </w:r>
      <w:r>
        <w:rPr>
          <w:rFonts w:ascii="Arial" w:cs="Arial" w:eastAsia="Arial" w:hAnsi="Arial"/>
          <w:sz w:val="18"/>
          <w:szCs w:val="18"/>
          <w:color w:val="auto"/>
        </w:rPr>
        <w:t>The Federal Reserve and the FDIC have issued substantially similar risk-based and leverage capital rules applicable to U.S.</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organizations such as the Company and the Bank. These rules are intended to reflect the relationship between the banking organization’s capital and the degree of risk associated with its operations based on transactions recorded on-balance sheet as well as off-balance sheet. The Federal Reserve and the FDIC may from time to time require that a banking organization maintain capital above the minimum levels discussed below, due to the banking organization’s financial condition or actual or anticipated growth.</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capital adequacy rules define qualifying capital instruments and specify minimum amounts of capital as a percentage of assets that banking organizations are required to maintain. Common equity Tier 1 capital for banks and bank holding companies consists of common shareholders’ equity and related surplus. Tier 1 capital for banks and bank holding companies generally consists of the sum of common shareholders’ equity, non-cumulative perpetual preferred stock, and related surplus and, in certain cases and subject to limitations, minority interest in consolidated subsidiaries, less goodwill, other non-qualifying intangible assets and certain other deductions. Tier 2 capital generally consists of hybrid capital instruments, perpetual debt and mandatory convertible debt securities, cumulative perpetual preferred stock, term subordinated debt and intermediate-term preferred stock, and, subject to limitations, allowances for loan losses. The sum of Tier 1 and Tier 2 capital less certain required deductions represents qualifying total capital. Prior to the effectiveness of certain provisions of the Dodd-Frank Act, bank holding companies were permitted to include trust preferred securities and cumulative perpetual preferred stock in Tier 1 capital, subject to limitations. However, the Federal Reserve’s capital rule applicable to bank holding companies permanently grandfathers nonqualifying capital instruments, including trust preferred securities, issued before May 19, 2010 by depository institution holding companies with less than $15 billion in total assets as of December 31, 2009, subject to a limit of 25% of Tier 1 capital. In addition, under rules that became effective January 1, 2016, accumulated other comprehensive income (positive or negative) must be reflected in Tier 1 capital; however, the Company was permitted to make a one-time, permanent election to continue to exclude accumulated other comprehensive income from capital. The Company has made this election.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Federal Reserve’s capital rules applicable to the Company and the FDIC’s capital rules applicable to the Bank, the Company and the Bank are each required to maintain a minimum common equity Tier 1 capital to risk-weighted assets ratio of 4.5%, a minimum total Tier 1 capital to risk-weighted assets ratio of 6.0%, a minimum total capital to risk-weighted assets ratio of 8% and a minimum leverage ratio of 4%. Additionally, subject to a transition schedule, these rules require an institution to establish a capital conservation buffer of common equity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9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Under the FDIC’s rules, an FDIC supervised institution, such as the Bank, is considered “well capitalized” if it (i) has a total risk-based capital ratio of 10.0% or greater; (ii) a Tier 1 risk-based capital ratio of 8.0% or greater; (iii) a common Tier 1 equity ratio of at least 6.5% or greater, (iv) a leverage capital ratio of 5.0% or greater; and (iv) is not subject to any written agreement, order, capital directive, or prompt corrective action directive to meet and maintain a specific capital level for any capital measure.</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Generally, a bank, upon being notified that it is not adequately capitalized (i.e., that it is “undercapitalized”), becomes subject to the prompt corrective action provisions of Section 38 of the FDIA that, for example, (i) restrict payment of capital distributions and management fees, (ii) require that the Federal Reserve monitor the condition of the institution and its efforts to restore its capital, (iii) require submission of a capital restoration plan, (iv) restrict the growth of the institution’s assets and (v) require prior regulatory approval of certain expansion proposals. A bank that is required to submit a capital restoration plan must concurrently submit a performance guarantee by each company that controls the bank. A bank that is “critically undercapitalized” (i.e., has a ratio of tangible equity to total assets that is equal to or less than 2.0%) will be subject to further restrictions, and generally will be placed in conservatorship or receivership within 90 days.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Bank is currently considered “well capitalized” under all regulatory definitions. Current capital rules do not establish standards for determining whether a bank holding company is well capitalized. However, for purposes of processing regulatory applications and notices, the Federal Reserve Board’s Regulation Y provides that a bank holding company is considered “well capitalized” if (i) on a consolidated basis, the bank holding company maintains a total risk-based capital ratio of 10% or greater; (ii) on a consolidated basis, the bank holding company maintains a tier 1 risk-based capital ratio of 6% or greater; and (iii) the bank holding company is not subject to any written agreement, order, capital directive, or prompt corrective action directive issued by the Board to meet and maintain a specific capital level for any capital measure.</w:t>
      </w:r>
    </w:p>
    <w:p>
      <w:pPr>
        <w:spacing w:after="0" w:line="19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 xml:space="preserve">Safety and Soundness Standard. </w:t>
      </w:r>
      <w:r>
        <w:rPr>
          <w:rFonts w:ascii="Arial" w:cs="Arial" w:eastAsia="Arial" w:hAnsi="Arial"/>
          <w:sz w:val="17"/>
          <w:szCs w:val="17"/>
          <w:color w:val="auto"/>
        </w:rPr>
        <w:t>The FDIA requires the federal bank regulatory agencies to prescribe standards, by regulations or guidelines,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internal controls, information systems and internal audit systems, loan documentation, credit underwriting, interest rate risk exposure, asset growth, asset quality, earnings, stock valuation and compensation, fees and benefits, and such other operational and managerial standards as the agencies deem appropriate. Guidelines adopted by the federal bank regulatory agencies establish general standards relating to internal controls and information systems, internal audit 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the federal banking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FDIA. See </w:t>
      </w:r>
      <w:r>
        <w:rPr>
          <w:rFonts w:ascii="Arial" w:cs="Arial" w:eastAsia="Arial" w:hAnsi="Arial"/>
          <w:sz w:val="17"/>
          <w:szCs w:val="17"/>
          <w:i w:val="1"/>
          <w:iCs w:val="1"/>
          <w:color w:val="auto"/>
        </w:rPr>
        <w:t>“—Regulatory Capital Requirements”</w:t>
      </w:r>
      <w:r>
        <w:rPr>
          <w:rFonts w:ascii="Arial" w:cs="Arial" w:eastAsia="Arial" w:hAnsi="Arial"/>
          <w:sz w:val="17"/>
          <w:szCs w:val="17"/>
          <w:color w:val="auto"/>
        </w:rPr>
        <w:t xml:space="preserve"> above. If an institution fails to comply with such an order, the agency may seek to enforce such order in judicial proceedings and to impose civil money penalties.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is a legal entity separate and distinct from the Bank. The revenue of the Company (on a parent company only basis) is derived primarily from interest and dividends from the Bank. The right of the Company, and consequently the right of shareholders of the Company, to participate in any distribution of the assets or earnings of the Bank through the payment of such dividends or otherwise is necessarily subject to the prior claims of creditors of the Bank (including depositors), except to the extent that certain claims of the Company in a creditor capacity may be recognized.</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Restrictions on Bank Holding Company Dividends</w:t>
      </w:r>
      <w:r>
        <w:rPr>
          <w:rFonts w:ascii="Arial" w:cs="Arial" w:eastAsia="Arial" w:hAnsi="Arial"/>
          <w:sz w:val="16"/>
          <w:szCs w:val="16"/>
          <w:color w:val="auto"/>
        </w:rPr>
        <w:t>. It is the policy of the Federal Reserve that a bank holding company should eliminate, defer or</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reduce dividends if the organization’s net income available to shareholders for the past four quarters is not sufficient to fully fund the dividends, the prospective rate of earnings retention is not consistent with the organization’s capital needs, asset quality and overall financial condition, or the bank holding company will not meet or is in danger of not meeting its minimum regulatory capital adequacy ratios. The Federal Reserve has the authority to prohibit a bank holding company, such as the Company, from paying dividends if it deems such payment to be an unsafe or unsound practice.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Restrictions on Bank Dividends</w:t>
      </w:r>
      <w:r>
        <w:rPr>
          <w:rFonts w:ascii="Arial" w:cs="Arial" w:eastAsia="Arial" w:hAnsi="Arial"/>
          <w:sz w:val="18"/>
          <w:szCs w:val="18"/>
          <w:color w:val="auto"/>
        </w:rPr>
        <w:t>. The FDIC has the authority to use its enforcement powers to prohibit a bank from paying dividends if, in its opinion,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dividends would constitute an unsafe or unsound practice. Federal law also prohibits the payment of dividends by a bank that will result in the bank failing to meet its applicable capital requirements on a pro forma basis. Maine law requires the approval of the Bureau for any dividend that would reduce a bank’s capital below prescribed limits.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Transactions by Bank Holding Companies with their Affiliates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There are various statutory restrictions on the extent to which bank holding companies and their non-bank subsidiaries may borrow, obtain credit from or otherwise engage in “covered transactions” with their insured depository institution subsidiaries. In general, an “affiliate” of an insured depository institution includes the depository institution’s parent holding company and any subsidiary of the parent holding company. However, an “affiliate” does not generally include an operating subsidiary of an insured depository institution. The Dodd-Frank Act amended the definition of affiliate to include any investment fund for which the depository institution or one of its affiliates is an investment adviser. An insured depository institution (and its subsidiaries) may not lend money to, or engage in other covered transactions with, its non-depository institution affiliates if the aggregate amount of covered transactions outstanding involving the bank, plus the proposed transaction, exceeds the following limits: (a) in the case of any one such affiliate, the aggregate amount of covered transactions of the insured depository institution and its subsidiaries cannot exceed 10% of the capital stock and surplus of the insured depository institution; and (b) in the case of all affiliates, the aggregate amount of covered transactions of the insured depository institution and its subsidiaries cannot exceed 20% of the capital stock and surplus of the insured depository institution. For this purpose, “covered transactions” are defined by statute to include a loan or extension of credit to an affiliate, a purchase of or investment in securities issued by an affiliate, a purchase of assets from an affiliate, the acceptance of securities issued by an affiliate as collateral for a loan or extension of credit to any person or company, the issuance of a guarantee, acceptance or letter of credit on behalf of an affiliate, securities borrowing or lending transactions with an affiliate that creates a credit exposure to such affiliate, or a derivatives transaction with an affiliate that creates a credit exposure to such affiliate. Certain covered transactions are also subject to collateral security requirements. Covered transactions as well as other types of transactions between a bank and a bank holding company must be on market terms, which means that the transaction must be conducted on terms and under circumstances that are substantially the same, or at least as favorable to the bank, as those prevailing at the time for comparable transactions with or involving nonaffiliates or, in the absence of comparable transactions, that in good faith would be offered to or would apply to nonaffiliates. Moreover, Section 106 of the Bank Holding Company Act Amendments of 1970 provides that, to further competition, a bank holding company and its subsidiaries are prohibited from engaging in certain tying arrangements in connection with any extension of credit, lease or sale of property of any kind, or furnishing of any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and the Bank are subject to a number of federal and state laws designed to protect consumers and prohibit unfair or deceptive business practices. These laws include the Equal Credit Opportunity Act, the Fair Housing Act, Home Ownership Protection Act, the Fair Credit Reporting Act, as amended by the Fair and Accurate Credit Transactions Act of 2003 (“FACT Act”), GLBA, the Truth in Lending Act, CRA, the Home Mortgage Disclosure Act, the Real Estate Settlement Procedures Act, the National Flood Insurance Act, Electronic Funds Transfer Act, Truth in Savings Act, Secure and Fair Enforcement Act, Expedited Funds Availability Act, and various state law counterparts. These laws and regulations mandate certain disclosure requirements and regulate the manner in which financial institutions must interact with customers when taking deposits, making loans, collecting loans and providing other services. Further, the Dodd-Frank Act established the CFPB, which has the responsibility for making rules and regulations under the federal consumer protection laws relating to financial products and services. The CFPB also has a broad mandate to prohibit unfair or deceptive acts and practices and is specifically empowered to require certain disclosures to consumers and draft model disclosure forms. Failure to comply with consumer protection laws and regulations can subject financial institutions to enforcement actions, fines and other penalties. The FDIC examines the Bank for compliance with CFPB rules and enforces CFPB rules with respect to the Bank.</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Mortgage Reform. </w:t>
      </w:r>
      <w:r>
        <w:rPr>
          <w:rFonts w:ascii="Arial" w:cs="Arial" w:eastAsia="Arial" w:hAnsi="Arial"/>
          <w:sz w:val="18"/>
          <w:szCs w:val="18"/>
          <w:color w:val="auto"/>
        </w:rPr>
        <w:t>The Dodd-Frank Act prescribes certain standards that mortgage lenders must consider before making a residential mortgage loan,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verifying a borrower’s ability to repay such mortgage loan. The Dodd-Frank Act also allows borrowers to assert violations of certain provisions of the Truth-in-Lending Act as a defense to foreclosure proceedings. Under the Dodd-Frank Act, prepayment penalties are prohibited for certain mortgage transactions and creditors are prohibited from financing insurance policies in connection with a residential mortgage loan or home equity line of credit. The Dodd-Frank Act requires mortgage lenders to make additional disclosures prior to the extension of credit, in each billing statement and for negative amortization loans and hybrid adjustable rate mortgages. Additionally, the Dodd-Frank Act prohibits mortgage originators from receiving compensation based on the terms of residential mortgage loans and generally limits the ability of a mortgage originator to be compensated by others if compensation is received from a consumer.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Privacy and Customer Information Security. </w:t>
      </w:r>
      <w:r>
        <w:rPr>
          <w:rFonts w:ascii="Arial" w:cs="Arial" w:eastAsia="Arial" w:hAnsi="Arial"/>
          <w:sz w:val="17"/>
          <w:szCs w:val="17"/>
          <w:color w:val="auto"/>
        </w:rPr>
        <w:t>GLBA requires financial institutions to implement policies and procedures regarding the disclosure of nonpublic</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information about consumers to nonaffiliated third parties. In general, the Bank must provide its customers with an annual disclosure that explains its policies and procedures regarding the disclosure of such nonpublic personal information and, except as otherwise required or permitted by law, the Bank is prohibited from disclosing such information except as provided in such policies and procedures. However, as a result of amendments made by the Fixing America’s Surface Transportation Act, a financial institution is not required to send an annual privacy notice if the institution only discloses nonpublic personal information in accordance with certain exceptions from GLBA that do not require an opt-out to be provided and if the institution has not changed its policies and practices since the most recent privacy disclosure provided to consumers. GLBA also requires that the Bank develop, implement and maintain a comprehensive written information security program designed to ensure the security and confidentiality of customer information (as defined under GLBA), to protect against anticipated threats or hazards to the security or integrity of such information; and to protect against unauthorized access to or use of such information that could result in substantial harm or inconvenience to any customer. The Bank is also required to send a notice to customers whose “sensitive information” has been compromised if unauthorized use of this information has occurred or is “reasonably possible.” Most states, including Maine, have enacted legislation concerning breaches of data security and the duties of the Bank in response to a data breach. Congress continues to consider federal legislation that would require consumer notice of data security breaches. Pursuant to the FACT Act, the Bank must also develop and implement a written identity theft prevention program to detect, prevent, and mitigate identity theft in connection with the opening of certain accounts or certain existing accounts. Additionally, the FACT Act amends the Fair Credit Reporting Act to generally prohibit a person from using information received from an affiliate to make a solicitation for marketing purposes to a consumer, unless the consumer is given notice and a reasonable opportunity and a reasonable and simple method to opt out of the making of such solicitations.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The Bank Secrecy Act</w:t>
      </w:r>
      <w:r>
        <w:rPr>
          <w:rFonts w:ascii="Arial" w:cs="Arial" w:eastAsia="Arial" w:hAnsi="Arial"/>
          <w:sz w:val="16"/>
          <w:szCs w:val="16"/>
          <w:color w:val="auto"/>
        </w:rPr>
        <w:t>. Under the Bank Secrecy Act (“BSA”), a financial institution is required to have systems in place to detect certain transactions,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size and nature of the transaction. Financial institutions are generally required to report to the United States Treasury any cash transactions involving more than $10,000. In addition, financial institutions are required to file suspicious activity reports for transactions that involve more than $5,000 and which the financial institution knows, suspects or has reason to suspect involves illegal funds, is designed to evade the requirements of the BSA or has no lawful purpose. The Uniting and Strengthening America by Providing Appropriate Tools Required to Intercept and Obstruct Terrorism Act of 2001 (the “USA PATRIOT Act”), which amended the BSA, is designed to deny terrorists and others the ability to obtain anonymous access to the U.S. financial system. The USA PATRIOT Act has significant implications for financial institutions and businesses of other types involved in the transfer of money. The USA PATRIOT Act, together with the implementing regulations of various federal regulatory agencies, has caused financial institutions, such as the Bank, to adopt and implement additional policies or amend existing policies and procedures with respect to, among other things, anti-money laundering compliance, suspicious activity, currency transaction reporting, customer identity verification and customer risk analysis. In evaluating an application under Section 3 of the BHCA to acquire a bank or an application under the Bank Merger Act to merge banks or affect a purchase of assets and assumption of deposits and other liabilities, the applicable federal banking regulator must consider the anti-money laundering compliance record of both the applicant and the target.</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OFAC</w:t>
      </w:r>
      <w:r>
        <w:rPr>
          <w:rFonts w:ascii="Arial" w:cs="Arial" w:eastAsia="Arial" w:hAnsi="Arial"/>
          <w:sz w:val="16"/>
          <w:szCs w:val="16"/>
          <w:color w:val="auto"/>
        </w:rPr>
        <w:t>. The United States has imposed economic sanctions that affect transactions with designated foreign countries, nationals and others. These sanctions,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administered by the U.S. Treasury Department’s Office of Foreign Assets Control (“OFAC”),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(ii) a blocking of assets in which the government or specially designated nationals of the sanctioned country have an interest, by prohibiting transfers of property subject to U.S. jurisdiction (including property in the possession or control of U.S. persons); and (iii) restrictions on transactions with or involving certain persons or entities. Blocked assets (for example, property and bank deposits) cannot be paid out, withdrawn, set off or transferred in any manner without a license from OFAC.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Investing in our common stock involves a high degree of risk. You should carefully consider the following risks and uncertainties, together with all other information in this report, including our consolidated financial statements and related notes, before investing in our common stock. Additional risks and uncertainties not presently known to us or that we currently deem immaterial may also affect our business. If any of these known or unknown risks or uncertainties actually occurs, our business, financial condition and results of operations could be impaired. In that event, the market price for our common stock could decline and you may lose your investment. Certain statements below are forward-looking statements. See "A Note About Forward-Looking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regulatory conditions that could constrain our ability to grow our business.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conjunction with the regulatory approvals received for the merger with FHB Formation LLC, we committed to maintain a Tier 1 leverage ratio of at least 10%, maintain a total capital ratio of at least 15%, fund 100% of our loans with core deposits, limit purchased loans to 40% of total loans and hold non-owner occupied commercial real estate loans to within 300% of total capital. Core deposits, for purposes of this commitment, are defined as non-brokered non-maturity deposits and non-brokered insured time deposits. At June 30, 2017, the ratio of our purchased loans to total loans was 31.4%. Our continued ability to purchase loans will be dependent on our ability to maintain the growth of our originated loan portfolio. To the extent that our ability to originate loans is constrained by market forces or for any other reason, our ability to execute our loan acquisition strategy would be similarly constrained.</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significant portion of loans held in our loan portfolio were originated by third parties, and such loans may not have been subject to the same level of due diligence that the Bank would have conducted had it originated the loans.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June 30, 2017, 31.4% of the loans held in our loan portfolio were originated by third parties, and therefore may not have been subject to the same level of due diligence that the Bank would have conducted had it originated the loans. Although the LASG conducts a comprehensive review of all loans that it purchases, loans originated by third parties may lack current financial information and may have incomplete legal documentation and outdated appraisals. As a result, the LASG may not have information with respect to an acquired loan which, if known at the time of acquisition, would have caused it to reduce its bid price or not bid for the loan at all. This may adversely affect our yield on loans or cause us to increase our provision for loan losses.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experience with loans held in our loan portfolio that were originated by third parties is limited.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June 30, 2017, the 31.4% of the loans held in our loan portfolio that were originated by third parties had been held by us for approximately 1.8 years, calculated on a weighted average basis. Consequently, we have had only a relatively short period of time to evaluate the performance of those loans and the price at which we purchased them. Further experience with these loans may provide us with information that could cause us to increase our provision for loan losses.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loan portfolio includes commercial real estate and commercial and industrial loans, which are generally riskier than other types of loans.</w:t>
      </w: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June 30, 2017, our commercial real estate mortgage and commercial and industrial loan portfolios comprised 86.5% of total loans. Commercial loans generally carry larger loan balances and involve a higher risk of nonpayment or late payment than residential mortgage loans. These loans, and purchased loans in particular, may lack standardized terms and may include a balloon payment feature. The ability of a borrower to make or refinance a balloon payment may be affected by a number of factors, including the financial condition of the borrower, prevailing economic conditions and prevailing interest rates. Repayment of these loans is generally more dependent on the economy and the successful operation of a business. Because of the risks associated with commercial loans, we may experience higher rates of default than if the portfolio were more heavily weighted toward residential mortgage loans. Higher rates of default could have an adverse effect on our financial condition and results of operations.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allowance for loan losses is not sufficient to absorb actual losses or if we are required to increase our allowance, our financial condition and results of operations could be adversely affected.</w:t>
      </w:r>
    </w:p>
    <w:p>
      <w:pPr>
        <w:spacing w:after="0" w:line="17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are exposed to the risk that our borrowers may default on their obligations. A borrower's default on its obligations under one or more loans of the Bank may result in lost principal and interest income and increased operating expenses as a result of the allocation of management time and resources to the collection and work-out of the loan. In certain situations, where collection efforts are unsuccessful or acceptable work-out arrangements cannot be reached, the Bank may have to write off the loan in whole or in part. In such situations, the Bank may acquire real estate or other assets, if any, that secure the loan through foreclosure or other similar available remedies, and often the amount owed under the defaulted loan exceeds the value of the assets acquired.</w:t>
      </w:r>
    </w:p>
    <w:p>
      <w:pPr>
        <w:spacing w:after="0" w:line="15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periodically make a determination of an allowance for loan losses based on available information, including, but not limited to, our historical loss experience, the quality of the loan portfolio, certain economic conditions, the value of the underlying collateral, expected cash flows from purchased loans, and the level of non-accruing and criticized loans. We rely on our loan quality reviews, our experience and our evaluation of economic conditions, among other factors, in determining the amount of provision required for the allowance for loan losses. Provisions to this allowance result in an expense for the period. If, as a result of general economic conditions, previously incorrect assumptions, or an increase in defaulted loans, we determine that additional increases in the allowance for loan losses are necessary, we will incur additional expenses.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Determining the allowance for loan losses inherently involves a high degree of subjectivity and requires us to make significant estimates of current credit risks and future trends, all of which may undergo material changes. At any time, there are likely to be loans in our portfolio that will result in losses but that have not been identified as nonperforming or potential problem credits. We cannot be sure that we will be able to identify deteriorating credits before they become nonperforming assets or that we will be able to limit losses on those loans that are identified. We have in the past been, and in the future may be, required to increase our allowance for loan losses for any of several reasons. State and federal regulators, in reviewing our loan portfolio as part of a regulatory examination, may request that we increase our allowance for loan losses. Changes in economic conditions affecting borrowers, new information regarding existing loans, identification of additional problem loans and other factors, both within and outside of our control, may require an increase in our allowance for loan losses. In addition, if charge-offs in future periods exceed those estimated in our determination of our allowance for loan losses, we will need additional increases in our allowance for loan losses. Any increases in our allowance for loan losses will result in a decrease in our net income and, possibly, our capital, and could have an adverse effect on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liability associated with our lending activities could result in losses.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the course of business, we may acquire, through foreclosure, properties securing loans we have originated or purchased that are in default. Particularly in commercial real estate lending, there is a risk that hazardous substances could be discovered on these properties. In this event, we might be required to remove these substances from the affected properties at our sole cost and expense or we may be held liable to a government entity or to third parties for property damage, personal injury, investigation and cleanup costs incurred by these parties in connection with environmental contamination or may be required to investigate or clean up hazardous or toxic substances or chemical releases at a property. The costs associated with investigation or remediation activities could substantially exceed the value of affected properties. We may not have adequate remedies against the prior owner or other responsible parties and could find it difficult or impossible to sell the affected properties. If we become subject to significant environmental liabilities, our business, financial condition and results of operations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performance of our securities portfolio in difficult market conditions could have adverse effects on our results of operations.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diversified securities portfolio, which includes obligations of U.S. government agencies and government-sponsored enterprises, including mortgage-backed securities. Under applicable accounting standards, we are required to review our securities portfolio periodically for the presence of other-than-temporary impairment, taking into consideration current market conditions, the extent and nature of changes in fair value, issuer rating changes and trends, volatility of earnings, current analysts’ evaluations, our ability and intent to hold securities until a recovery of fair value, as well as other factors. Adverse developments with respect to one or more of the foregoing factors may require us to deem particular securities to be other-than-temporarily impaired, with the credit related portion of the reduction in the value recognized as a charge to the results of operations in the period in which the impairment occurs. Market volatility may make it difficult to value certain securities. Subsequent valuations, in light of factors prevailing at that time, may result in significant changes in the values of these securities in future periods. Any of these factors could require us to recognize further impairments in the value of our securities portfolio, which may have an adverse effect on our results of operations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deposits or a change in deposit mix could increase our cost of funding.</w:t>
      </w:r>
    </w:p>
    <w:p>
      <w:pPr>
        <w:spacing w:after="0" w:line="22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Deposits are a low cost and stable source of funding. We compete with banks and other financial institutions for deposits. Funding costs may increase if we lose deposits and are forced to replace them with more expensive sources of funding, if clients shift their deposits into higher cost products or if we need to raise interest rates to avoid losing deposits. Higher funding costs reduce our net interest margin, net interest income and net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liquidity risk.</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Liquidity is the ability to meet cash flow needs on a timely basis by converting assets into cash or cash equivalents and by increasing liabilities at a reasonable cost. Liquidity sources include the amount of unencumbered or “free” investment portfolio securities that the Bank owns, borrowings, cash flow from loan and investment principal payments and pre-payments and residential mortgage loan sales. Our liquidity is used principally to originate or purchase loans, to repay deposit liabilities and other liabilities when they come due, and to fund operating costs. The Company also requires funds for dividends to shareholders, repurchases of shares, and for general corporate purposes. Customer demand for non-maturity deposits can be difficult to predict. Changes in market interest rates, increased competition within our markets, and other factors may make deposit gathering more difficult. Disruptions in the capital markets or interest rate changes may make the terms of wholesale funding sources—which include Federal Home Loan Bank advances, the Federal Reserve's Borrower-in-Custody program, securities sold under repurchase agreements, federal funds purchased and brokered certificates of deposit—less favorable and may make it difficult to sell securities when needed to provide additional liquidity. As a result, there is a risk that the cost of funding will increase or that we will not have sufficient funds to meet our obligations when they come due.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attract and retain qualified key employees, which could adversely affect our business prospects, including our competitive position and results of operations.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success is dependent upon our ability to attract and retain highly skilled individuals. There is significant competition for those individuals with the experience and skills required to conduct many of our business activities. We may not be able to hire or retain the key personnel that we depend upon for success. The unexpected loss of services of one or more of these or other key personnel could have a material adverse impact on our business because of their skills, knowledge of the markets in which we operate, years of industry experience and the difficulty of promptly finding qualified replacement personnel.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continuing and growing security risks to our information base, including the information we maintain relating to our customers.</w:t>
      </w:r>
    </w:p>
    <w:p>
      <w:pPr>
        <w:spacing w:after="0" w:line="23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the ordinary course of business, we rely on electronic communications and information systems to conduct our business and to store sensitive data, including financial information regarding customers. Our electronic communications and information systems infrastructure could be susceptible to cyberattacks, hacking, identity theft or terrorist activity. We have implemented and regularly review and update extensive systems of internal controls and procedures as well as corporate governance policies and procedures intended to protect our business operations, including the security and privacy of all confidential customer information. In addition, we rely on the services of a variety of vendors to meet our data processing and communication needs. No matter how well designed or implemented our controls are, we cannot provide an absolute guarantee to protect our business operations from every type of problem in every situation. A failure or circumvention of these controls could have a material adverse effect on our business operations and financial condition.</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regularly assess and test our security systems and disaster preparedness, including back-up systems, but the risks are substantially escalating. As a result, cybersecurity and the continued enhancement of our controls and processes to protect our systems, data and networks from attacks, unauthorized access or significant damage remain a priority. Accordingly, we may be required to expend additional resources to enhance our protective measures or to investigate and remediate any information security vulnerabilities or exposures. Any breach of our system security could result in disruption of our operations, unauthorized access to confidential customer information, significant regulatory costs, litigation exposure and other possible damages, loss or liability. Such costs or losses could exceed the amount of available insurance coverage, if any, and would adversely affect our earnings. Also, any failure to prevent a security breach or to quickly and effectively deal with such a breach could negatively impact customer confidence, damaging our reputation and undermining our ability to attract and keep customers.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implement future information technology system enhancements, which could adversely affect our business operations and profitability.</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invest significant resources in information technology system enhancements in order to provide functionality and security at an appropriate level. We may not be able to successfully implement and integrate future system enhancements, which could adversely impact the ability to provide timely and accurate financial information in compliance with legal and regulatory requirements, which could result in sanctions from regulatory authorities. Such sanctions could include fines and suspension of trading in our stock, among others. In addition, future system enhancements could have higher than expected costs and/or result in operating inefficiencies, which could increase the costs associated with the implementation as well as ongoing operations.</w:t>
      </w:r>
    </w:p>
    <w:p>
      <w:pPr>
        <w:spacing w:after="0" w:line="158" w:lineRule="exact"/>
        <w:rPr>
          <w:sz w:val="20"/>
          <w:szCs w:val="20"/>
          <w:color w:val="auto"/>
        </w:rPr>
      </w:pPr>
    </w:p>
    <w:p>
      <w:pPr>
        <w:ind w:firstLine="45"/>
        <w:spacing w:after="0" w:line="259" w:lineRule="auto"/>
        <w:rPr>
          <w:sz w:val="20"/>
          <w:szCs w:val="20"/>
          <w:color w:val="auto"/>
        </w:rPr>
      </w:pPr>
      <w:r>
        <w:rPr>
          <w:rFonts w:ascii="Arial" w:cs="Arial" w:eastAsia="Arial" w:hAnsi="Arial"/>
          <w:sz w:val="18"/>
          <w:szCs w:val="18"/>
          <w:color w:val="auto"/>
        </w:rPr>
        <w:t>Failure to properly utilize system enhancements that are implemented in the future could result in impairment charges that adversely impact our financial condition and results of operations and could result in significant costs to remediate or replace the defective components. In addition, we may incur significant training, licensing, maintenance, consulting and amortization expenses during and after systems implementations, and any such costs may continue for an extended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other companies to provide key components of our business infrastructure.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Third party vendors provide key components of our business infrastructure such as internet connections, network access and core application processing. While we have selected these third party vendors carefully, we do not control their actions. Any problems caused by these third parties, including as a result of their not providing us their services for any reason or their performing their services poorly, could adversely affect our ability to deliver products and services to our customers or otherwise conduct our business efficiently and effectively. Replacing these third party vendors could also entail significant delay and expense.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significantly harm our business, including our competitive position and business prospects.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dependent on our reputation within our market area, as a trusted and responsible financial company, for all aspects of our relationships with customers, employees, vendors, third-party service providers, and others, with whom we conduct business or potential future business. Our ability to attract and retain customers and employees could be adversely affected if our reputation is damaged. Our actual or perceived failure to address various issues, including our ability to (a) identify and address potential conflicts of interest, ethical issues, money-laundering, or privacy issues; (b) meet legal and regulatory requirements applicable to the Bank and to the Company; (c) maintain the privacy of customer and accompanying personal information; (d) maintain adequate record keeping; (e) engage in proper sales and trading practices; and (f) identify the legal, reputational, credit, liquidity and market risks inherent in our products, could give rise to reputational risk that could cause harm to us and our business prospects. Failure to appropriately address any of these issues could also give rise to additional regulatory restrictions and legal risks, which could, among other consequences, increase the size and number of litigation claims and damages asserted or subject us to enforcement actions, fines and penalties and cause us to incur related costs and expenses. Furthermore, any damage to our reputation could affect our ability to retain and develop the business relationships necessary to conduct business, which in turn could negatively impact our financial condition, results of operations, and the market price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may fail or be circumvented.</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controls over financial reporting are necessary to help ensure reliable financial reporting and prevent fraud. Management is responsible for maintaining an effective system of internal control and assessing system effectiveness. Any system of controls, however well designed and operated, is based in part on certain assumptions and can provide only reasonable, not absolute, assurances that the objectives of the system are met. Any failure or circumvention of the system of internal control could have an adverse effect on our business, profitability, and financial condition, and could further result in regulatory actions and loss of investor confidence.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if any, may require us to raise additional capital, but that capital may not be available when we need it.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bank holding company, we are required by regulatory authorities to maintain adequate levels of capital to support our operations. In addition, in conjunction with the regulatory approvals received for the merger with FHB Formation LLC, we committed to maintain a Tier 1 leverage ratio of at least 10% and a total capital ratio of at least 15%. We may need to raise additional capital in the future to provide us with sufficient capital resources and liquidity to support our operations or our growth. Our ability to raise additional capital will depend, in part, on conditions in the capital markets at that time, which are outside of our control, and our financial performance. Accordingly, we may be unable to raise additional capital, if and when needed, on acceptable terms, or at all. If we cannot raise additional capital when needed, our ability to further expand our operations through internal growth and acquisitions could be materially impaired. In addition, if we decide to raise additional equity capital, investors' interests could be diluted. Our failure to meet any applicable regulatory guideline related to our lending activities or any capital requirement otherwise imposed upon us or to satisfy any other regulatory requirement could subject us to certain activity restrictions or to a variety of enforcement remedies available to the regulatory authorities, including limitations on our ability to pay dividends or pursue acquisitions, the issuance by regulatory authorities of a capital directive to increase capital and the termination of deposit insurance by the FDIC.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soundness of other financial institutions could adversely affect us.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counterparties, and we routinely execute transactions with counterparties in the financial industry, including brokers and dealers, other commercial banks, investment banks, mutual and hedge funds, and other financial institutions. As a result, defaults by, or even rumors or questions about, one or more financial services institutions, or the financial services industry generally, could lead to market-wide liquidity problems and losses or defaults by us or by other institutions and organizations. Many of these transactions expose us to credit risk in the event of default of our counterparty or client. In addition, our credit risk may be exacerbated when the collateral held by us cannot be liquidated or is liquidated at prices not sufficient to recover the full amount of the financial instrument exposure due to us. There is no assurance that any such losses would not materially and adversely affect our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Weakness or deterioration in economic conditions, both in our market area and more generally, could adversely affect our financial condition and results of operations.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financial performance generally, and in particular the ability of borrowers to pay interest on and repay principal of outstanding loans and the value of collateral securing those loans, is highly dependent upon the business environment in the markets where we operate and in the United States as a whole. Our Community Banking Division primarily serves individuals and businesses located in western and south-central Maine. As a result, a significant portion of our earnings are closely tied to the economy of Maine. In addition, our loan portfolio includes commercial loans acquired or originated by the LASG and the SBA Division that are secured by assets located nationwide. Deterioration in the economic conditions of the Community Banking Division's market area in western and south-central Maine, and deterioration of the economy nationally could result in the following consequences:</w:t>
      </w:r>
    </w:p>
    <w:p>
      <w:pPr>
        <w:spacing w:after="0" w:line="16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 delinquencies may increase;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 assets and foreclosures may increase;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our products and services may decline;</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Collateral for our loans may decline in value, in turn reducing a customer's borrowing power and reducing the value of collateral securing a loan;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claims and litigation.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From time to time, customers, vendors or other parties may make claims and take legal action against us. We maintain reserves for certain claims when deemed appropriate based upon our assessment that a loss is probable, estimable, and consistent with applicable accounting guidance. At any given time we have a variety of legal actions asserted against us in various stages of litigation. Resolution of a legal action can often take years. We are also involved, from time to time, in other reviews, investigations and proceedings (both formal and informal) by governmental and self-regulatory agencies regarding our business, including, among other things, accounting and operational matters, certain of which may result in adverse judgments, settlements, fines, penalties, injunctions or other relief. The number and risk of these investigations and proceedings has increased in recent years with regard to many firms in the financial services industry due to legal changes to the consumer protection laws provided for by the Dodd-Frank Act. There have also been a number of highly publicized legal claims against financial institutions involving fraud or misconduct by employees, and we run the risk that employee misconduct could occur. It is not always possible to deter or prevent employee misconduct, and the precautions we take to prevent and detect this activity may not be effective in all cases.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financial services industry is intense and could result in us losing business or experiencing reduced margins.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compete with community, regional, national and global banks, non-bank licensed lenders and private equity funds in purchasing or originating loans, attracting deposits, and selling other customer products and services. Many of our primary competitors there have substantially greater resources, larger established customer bases, higher lending limits, extensive branch networks, numerous ATMs and greater advertising and marketing budgets. They may also offer services that we do not currently provide. Additionally, due to their size, many competitors may be able to achieve economies of scale and, as a result, may offer a broader range of products and services as well as better pricing for those products and services than we can. Technology has lowered barriers to entry and made it possible for non-banks to offer products and services traditionally provided by banks, such as automated transfer and automatic payment systems. Our long-term success depends on the ability of the Bank to compete successfully with other financial institutions in the Bank’s service areas.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could adversely affect our net interest income and profitability.</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majority of our assets and liabilities are monetary in nature. As a result, our earnings and growth are significantly affected by interest rates, which are subject to the influence of economic conditions generally, both domestic and foreign, to events in the capital markets and also to the monetary and fiscal policies of the United States and its agencies, particularly the Federal Reserve. The nature and timing of any changes in such policies or general economic conditions and their effect on us cannot be controlled and are extremely difficult to predict. Changes in interest rates can affect our net interest income as well as the value of our assets and liabilities. Net interest income is the difference between (i) interest income on interest-earning assets, such as loans and securities, and (ii) interest expense on interest-bearing liabilities, such as deposits and borrowings. Changes in market interest rates, changes in the relationships between short-term and long-term market interest rates, or the yield curve, or changes in the relationships between different interest rate indices can affect the interest rates charged on interest-earning assets differently than the interest rates paid on interest-bearing liabilities. This difference could result in an increase in interest expense relative to interest income, and therefore reduce our net interest income. Further, declines in market interest rates may trigger loan prepayments, which in many cases are within our customers' discretion, and which in turn may serve to reduce our net interest income if we are unable to lend those funds to other borrowers or invest the funds at the same or higher interest rates.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laws and regulations, or changes in them, could limit or restrict our activities and could have an adverse impact in our operations.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regulation and supervision by the Federal Reserve, and our banking subsidiary, Northeast Bank, is subject to regulation and supervision by the FDIC and the Maine Bureau of Financial Institutions. Federal and state laws and regulations govern numerous matters, including changes in the ownership or control of banks and bank holding companies, maintenance of adequate capital and the financial condition of a financial institution, permissible types, amounts and terms of extensions of credit and investments, permissible non-banking activities, the level of reserves against deposits and restrictions on dividend payments. The Federal Reserve, the FDIC and the Maine Bureau of Financial Institutions have the power to issue cease and desist orders to prevent or remedy unsafe or unsound practices or violations of law by banks subject to their regulation, and the Federal Reserve possesses similar powers with respect to bank holding companies. These and other restrictions limit the manner in which we and the Bank may conduct business and obtain financing.</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Because our business is highly regulated, the laws, rules, regulations, and supervisory guidance and policies applicable to us are subject to regular modification and change. Such changes may, among other things, increase the cost of doing business, limit permissible activities, or affect the competitive balance between banks and other financial institutions. Failure to comply with laws, regulations, or policies could result in enforcement and other legal actions by federal and state authorities, including criminal and civil penalties, the loss of FDIC insurance, revocation of a banking charter, other sanctions by regulatory agencies, civil money penalties, and/or reputation damage, which could have a material adverse effect on our business, financial condition, and results of operations. See "Supervision and Regulation" in Item 1, "Business."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capital and liquidity standards that require banks and bank holding companies to maintain more and higher quality capital and greater liquidity than has historically been the case.</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became subject to new capital requirements in 2015. These new standards, which now apply and will be fully phased-in over the next several years, force bank holding companies and their bank subsidiaries to maintain substantially higher levels of capital as a percentage of their assets, with a greater emphasis on common equity as opposed to other components of capital. The need to maintain more and higher quality capital, as well as greater liquidity, and generally increased regulatory scrutiny with respect to capital levels, may at some point limit our business activities, including lending, and our ability to expand. It could also result in our being required to take steps to increase our regulatory capital and may dilute shareholder value or limit our ability to pay dividends or otherwise return capital to our investors through stock repurchases. Pursuant to the Dodd-Frank Act, we were permitted to make a one-time, permanent election to continue to exclude accumulated other comprehensive income from capital. We made this election.</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numerous laws designed to protect consumers, including the Community Reinvestment Act and fair lending laws, and failure to comply with these laws could lead to a wide variety of sanctions.</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Community Reinvestment Act, the Equal Credit Opportunity Act, the Fair Housing Act and other fair lending laws and regulations impose community investment and nondiscriminatory lending requirements on financial institutions. The Consumer Financial Protection Bureau, the Department of Justice and other federal agencies are responsible for enforcing these laws and regulations. A successful regulatory challenge to an institution’s performance under the Community Reinvestment Act, the Equal Credit Opportunity Act, the Fair Housing Act or other fair lending laws and regulations could result in a wide variety of sanctions, including damages and civil money penalties, injunctive relief, restrictions on mergers and acquisitions, restrictions on expansion and restrictions on entering new business lines. Private parties may also have the ability to challenge an institution’s performance under fair lending laws in private class action litigation. Such actions could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fines, penalties and other negative consequences from regulatory violations, possibly even inadvertent or unintentional violations.</w:t>
      </w:r>
    </w:p>
    <w:p>
      <w:pPr>
        <w:spacing w:after="0" w:line="24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maintain systems and procedures designed to ensure that we comply with applicable laws and regulations. However, some legal/regulatory frameworks provide for the imposition of fines or penalties for noncompliance even though the noncompliance was inadvertent or unintentional and even though there was in place at the time systems and procedures designed to ensure compliance. For example, we are subject to regulations issued by the Office of Foreign Assets Control, or "OFAC," that prohibit financial institutions from participating in the transfer of property belonging to the governments of certain foreign countries and designated nationals of those countries and certain other persons or entities whose interest in property is blocked by OFAC-administered sanctions. OFAC may impose penalties for inadvertent or unintentional violations even if reasonable processes are in place to prevent the violations. There may be other negative consequences resulting from a finding of noncompliance, including restrictions on certain activities. Such a finding may also damage our reputation as described below and could restrict the ability of institutional investment managers to invest in our securities.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FDIC's assessment rates could adversely affect our financial condition and results of operations.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FDIC insures deposits at FDIC-insured depository institutions, such as the Bank, up to applicable limits. As a result of recent economic conditions and the enactment of the Dodd-Frank Act, the FDIC has increased deposit insurance assessment rates. If these increases are insufficient for the deposit insurance fund of the FDIC to meet its funding requirements, there may need to be further special assessments or increases in deposit insurance premiums. We are generally unable to control the amount of premiums that we are required to pay for FDIC insurance. If there is an increase in bank or financial institution failures, we may be required to pay even higher FDIC premiums than the recently increased levels. Any future additional assessments, increases or required prepayments in FDIC insurance premiums may materially adversely affect results of operations, including by reducing our profitability or limiting our ability to pursue certain business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can materially impact our financial statements.</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Our accounting policies and methods are fundamental to how we record and report our financial condition and results of operations. From time to time, the Financial Accounting Standards Board or regulatory authorities change the financial accounting and reporting standards that govern the preparation of our financial statements. These changes can be hard to predict and can materially impact how we record and report our financial condition and results of operations. In some cases, we could be required to apply a new or revised standard retroactively, resulting in our restating prior period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has affected and may continue to affect the value of our common stock.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price of our common stock can fluctuate widely in response to a variety of factors. In addition, the trading volume in our common stock may fluctuate and cause significant price variations to occur. We cannot assure you that the market price of our common stock will not fluctuate or decline significantly. Some of the factors that could cause fluctuations or declines in the price of our common stock include, but are not limited to, actual or anticipated variations in reported operating results, recommendations by securities analysts, the level of trading activity in our common stock, new services or delivery systems offered by competitors, business combinations involving our competitors, operating and stock price performance of companies that investors deem to be comparable to the Bank, news reports relating to trends or developments in the credit, mortgage and housing markets as well as the financial services industry, and changes in government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trading volume may not provide adequate liquidity for investors.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voting common stock is listed on the NASDAQ Global Market. The average daily trading volume for Northeast voting common stock is less than the corresponding trading volume for larger financial institutions. Due to this relatively low trading volume, significant sales of Northeast voting common stock, or the expectation of these sales, may place significant downward pressure on the market price of Northeast voting common stock. No assurance can be given that a more active trading market in our common stock will develop in the foreseeable future or can be maintained. There can also be no assurance that the offering will result in a material increase in the "float" for our common stock, which we define as the aggregate market value of our voting common stock held by shareholders who are not affiliates of Northeast, because our affiliates may purchase shares of voting common stock in the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limited market for and restrictions on the transferability of our non-voting common stock.</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non-voting common stock is not and will not be listed on any exchange. Additionally, the non-voting common stock can only be transferred in certain limited circumstances set forth in our articles of incorporation. Accordingly, holders of our non-voting common stock may be required to bear the economic consequences of holding such non-voting common stock for an indefinite period of time.</w:t>
      </w:r>
    </w:p>
    <w:p>
      <w:pPr>
        <w:spacing w:after="0" w:line="18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If we defer payments of interest on our outstanding junior subordinated debt securities or if certain defaults relating to those debt securities or our outstanding subordinated notes occur, we will be prohibited from declaring or paying dividends or distributions on, and from making liquidation payments with respect to, our common stock.</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June 30, 2017, we had outstanding $16.5 million in aggregate principal amount of junior subordinated debt securities issued in connection with the sale of trust preferred securities by affiliates of ours that are statutory business trusts. We have also guaranteed those trust preferred securities. The indenture under which the junior subordinated debt securities were issued, together with the guarantee, prohibits us, subject to limited exceptions, from declaring or paying any dividends or distributions on, or redeeming, repurchasing, acquiring or making any liquidation payments with respect to, any of our capital stock at any time when (i) there shall have occurred and be continuing an event of default under the indenture; (ii) we are in default with respect to payment of any obligations under the guarantee; or (iii) we have elected to defer payment of interest on the junior subordinated debt securities. In that regard, we are entitled, at our option but subject to certain conditions, to defer payments of interest on the junior subordinated debt securities from time to time for up to five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Events of default under the indenture generally consist of our failure to pay interest on the junior subordinated debt securities under certain circumstances, our failure to pay any principal of or premium on such junior subordinated debt securities when due, our failure to comply with certain covenants under the indenture, and certain events of bankruptcy, insolvency or liquidation relating to us.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a result of these provisions, if we were to elect to defer payments of interest on the junior subordinated debt securities, or if any of the other events described in clause (i) or (ii) of the first paragraph of this risk factor were to occur, we would be prohibited from declaring or paying any dividends on our capital stock, from redeeming, repurchasing or otherwise acquiring any of our capital stock, and from making any payments to holders of our capital stock in the event of our liquidation, which would likely have a material adverse effect on the market value of our common stock.</w:t>
      </w:r>
    </w:p>
    <w:p>
      <w:pPr>
        <w:spacing w:after="0" w:line="17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As of June 30, 2017, we had outstanding $15.05 million in aggregate principal amount of 6.75% fixed-to-floating subordinated notes due in 2026. If we were to be in default with respect to payment of any obligation under the notes, we would be prohibited from declaring or paying any dividends. We would also be prohibited from paying any distributions on, redeeming, purchasing, acquiring, or making a liquidation payment with respect to any of the Company’s capital stock, which would likely have a material adverse effect on the market value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subsidiaries for dividends, distributions and other payments.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separate and distinct legal entity from the Bank, and depend on dividends, distributions and other payments from the Bank to fund dividend payments on our common stock and to fund all payments on our other obligations. We and the Bank are subject to laws that authorize regulatory authorities to block or reduce the flow of funds from the Bank to us. The FDIC has the authority to use its enforcement powers to prohibit a bank from paying dividends if, in its opinion, the payment of dividends would constitute an unsafe or unsound practice. Regulatory action of that kind could impede access to the funds that we need in order to make payments on its obligations or dividend payments. In addition, if the Bank does not maintain sufficient capital levels or its earnings are not sufficient to make dividend payments to us, we may not be able to make dividend payments to our common and preferred shareholders. Further, our right to participate in a distribution of assets upon a subsidiary's liquidation or reorganization is subject to the prior claims of the Bank's creditors. Additionally, our ability to pay dividends would be restricted if we do not maintain a capital conservation buffer. A reduction or elimination of dividends could adversely affect the market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pay dividends and, if we pay dividends, we cannot guarantee the amount and frequency of such dividends.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continued payment of dividends on shares of our common stock will depend upon our debt and equity structure, earnings and financial condition, need for capital in connection with possible future acquisitions, growth and other factors, including economic conditions, regulatory restrictions, and tax considerations. We cannot guarantee that we will pay dividends or, if we pay dividends, the amount and frequency of these dividends.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shares of common or preferred stock in the future, which could dilute a shareholder's ownership of common stock.</w:t>
      </w:r>
    </w:p>
    <w:p>
      <w:pPr>
        <w:spacing w:after="0" w:line="2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articles of incorporation authorize our Board of Directors, generally without shareholder approval, to, among other things, issue additional shares of common or preferred stock. The issuance of any additional shares of common or preferred stock could be dilutive to a shareholder's ownership of our common stock. To the extent that we issue options or warrants to purchase common stock in the future and the options or warrants are exercised, our shareholders may experience further dilution. Holders of shares of our common stock have no preemptive rights that entitle holders to purchase their pro rata share of any offering of shares of any class or series and, therefore, shareholders may not be permitted to invest in future issuances of Northeast common or preferred stock. We are required by federal and state regulatory authorities to maintain adequate levels of capital to support our operations. Accordingly, regulatory requirements and/or deterioration in our asset quality may require us to sell common stock to raise capital under circumstances and at prices that result in substantial dilution.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issue debt and equity securities that are senior to our common stock as to distributions and in liquidation, which could negatively affect the value of our common stock.</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future, we may increase our capital resources by entering into debt or debt-like financing or issuing debt or equity securities, which could include issuances of senior notes, subordinated notes, preferred stock or common stock. In the event of our liquidation, our lenders and holders of its debt or preferred securities would receive a distribution of our available assets before distributions to the holders of Northeast common stock. Our decision to incur debt and issue securities in future offerings will depend on market conditions and other factors beyond our control. We cannot predict or estimate the amount, timing or nature of our future offerings and debt financings. Future offerings could reduce the value of shares of our common stock and dilute a shareholder's interest in Northeast.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not insured by any 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a deposit account or other obligation of any bank and is not insured by the FDIC or any other 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could negatively impact our shareholders.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Federal law imposes restrictions, including regulatory approval requirements, on persons seeking to acquire control over Northeast. Provisions of Maine law and provisions of our articles of incorporation and by-laws could make it more difficult for a third party to acquire control of us or have the effect of discouraging a third party from attempting to acquire control of us. We have a classified Board of Directors, meaning that approximately one-third of our directors are elected annually. Additionally, our articles of organization authorize our Board of Directors to issue preferred stock without shareholder approval and such preferred stock could be issued as a defensive measure in response to a takeover proposal. Other provisions that could make it more difficult for a third party to acquire us even if an acquisition might be in the best interest of our shareholders include supermajority voting requirements to remove a director from office without cause; restrictions on shareholders calling a special meeting; a requirement that only directors may fill a Board vacancy; and provisions regarding the timing and content of shareholder proposals and nominations.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June 30, 2017, the Company conducted its business from its headquarters in Lewiston, Maine, an office in Boston, Massachusetts, and an office in Portland, Maine. The Company also conducts business from its ten full-service bank branches and two loan production offices located in western and south-central Maine and southern New Hampshire. The Company believes that all of its facilities are well maintained and suitable for the purpose for which they are used.</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addition to its Lewiston, Maine, Boston, Massachusetts and Portland, Maine offices, the Company leases three of its other locations. For information regarding the Company's lease commitments, please refer to "Lease Obligations" under Note 15 of the Notes to the Consolidated Financial Statements in Item 8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From time to time, the Company and its subsidiary are subject to certain legal proceedings and claims in the ordinary course of business. Management presently believes that the ultimate outcome of these proceedings, individually and in the aggregate, will not be material to the Company or its consolidated financial position. The Company establishes reserves for specific legal matters when it determines that the likelihood of an unfavorable outcome is probable and the loss is reasonably estimable. Legal proceedings are subject to inherent uncertainties, and unfavorable rulings could occur that could cause the Company to establish litigation reserves or could have, individually or in the aggregate, a material adverse effect on its business, financial condition, or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Company's voting common stock currently trades on the NASDAQ under the symbol "NBN." There is no established public trading market for the Company's non-voting common stock. As of the close of business on September 6, 2017, there were approximately 454 registered shareholders of record.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high and low closing sale prices of the Company's voting common stock, as reported on NASDAQ, and quarterly dividends paid on the Company's voting and non-voting common stock during the periods indicated:</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Fiscal year ended June 30, 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Dividend Paid</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 1 – Sep 30</w:t>
            </w: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Oct 1 – Dec 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Apr 1 – Jun 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20.75</w:t>
            </w:r>
          </w:p>
        </w:tc>
        <w:tc>
          <w:tcPr>
            <w:tcW w:w="3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14.99</w:t>
            </w: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Fiscal year ended June 30, 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Dividend Paid</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 1 – Sep 30</w:t>
            </w: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Oct 1 – Dec 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Apr 1 – Jun 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3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bl>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Holders of the Company's voting and non-voting common stock are entitled to receive dividends when and if declared by the Board of Directors out of funds legally available. The amount and timing of future dividends payable on the Company's voting and non-voting common stock will depend on, among other things, the financial condition of the Company, regulatory considerations, and other factors. The Company is a legal entity separate from the Bank, but its revenues are derived primarily from the Bank. Accordingly, the ability of the Company to pay cash dividends on its stock in the future generally will be dependent upon the earnings of the Bank and the Bank's ability to pay dividends to the Company. The payment of dividends by the Bank will depend on a number of factors, including capital requirements, regulatory limitations, the Bank's results of operations and financial condition, tax considerations, and general economic conditions. National banking laws regulate and restrict the ability of the Bank to pay dividends to the Company. See "Item 1. Business— Supervision and Regulation."</w:t>
      </w:r>
    </w:p>
    <w:p>
      <w:pPr>
        <w:spacing w:after="0" w:line="19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October 21, 2016, the Board of Directors voted to amend the existing stock repurchase program to authorize the Company to purchase an additional 500,000 shares of its common stock, representing 5.7% of the Company’s outstanding common shares. Under the existing program, implemented in April 2014, the Company has purchased 1,970,000 shares through October 25, 2016 and no shares remained available for repurchase under the program on that date, prior to the 500,000 share increase in the repurchase plan. The amended stock repurchase program will expire on October 21,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common stock purchases during the fourth quarter of fiscal year ended June 30, 2017.</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Below is a line graph comparing the yearly percentage change in the cumulative total shareholder return on the Company’s voting common stock, based on the market price of the Company’s voting common stock, with the total return on companies within the NASDAQ Composite Index and companies within the SNL $1B-$5B Bank Index. The calculation of cumulative return assumes a $100 investment in the Company’s common stock, the NASDAQ Composite Index, and the SNL $1B-$5B Bank Index on June 30, 2012. It also assumes that all dividends are reinvested during the relevant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107315</wp:posOffset>
            </wp:positionV>
            <wp:extent cx="5471160" cy="3807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71160"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6/30/2012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6/30/2013</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6/30/2014</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6/30/2015</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6/30/2016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6/30/2017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Northeast Bancorp</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113.68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112.85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117.33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132.67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3"/>
              </w:rPr>
              <w:t>NASDAQ Composite Index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117.02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150.19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169.91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3"/>
              </w:rPr>
              <w:t>SNL Bank $1B - $5B Index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128.55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146.95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160.20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161.60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following table sets forth our selected financial and operating data on a historical basis. The data set forth below does not purport to be complete. It should be read in conjunction with, and is qualified in its entirety by, the more detailed information, including the Company’s Consolidated Financial Statements and related notes, appearing elsewhere herein.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Twelve Months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4"/>
              </w:rPr>
              <w:t>Twelve</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1"/>
              </w:rPr>
              <w:t>Twelve</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4"/>
              </w:rPr>
              <w:t>Twelve</w:t>
            </w:r>
          </w:p>
        </w:tc>
        <w:tc>
          <w:tcPr>
            <w:tcW w:w="11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w w:val="92"/>
              </w:rPr>
              <w:t>Twelve Months</w:t>
            </w:r>
          </w:p>
        </w:tc>
        <w:tc>
          <w:tcPr>
            <w:tcW w:w="16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370"/>
              <w:spacing w:after="0"/>
              <w:rPr>
                <w:sz w:val="20"/>
                <w:szCs w:val="20"/>
                <w:color w:val="auto"/>
              </w:rPr>
            </w:pPr>
            <w:r>
              <w:rPr>
                <w:rFonts w:ascii="Arial" w:cs="Arial" w:eastAsia="Arial" w:hAnsi="Arial"/>
                <w:sz w:val="18"/>
                <w:szCs w:val="18"/>
                <w:color w:val="auto"/>
                <w:w w:val="91"/>
              </w:rPr>
              <w:t>Months</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370"/>
              <w:spacing w:after="0"/>
              <w:rPr>
                <w:sz w:val="20"/>
                <w:szCs w:val="20"/>
                <w:color w:val="auto"/>
              </w:rPr>
            </w:pPr>
            <w:r>
              <w:rPr>
                <w:rFonts w:ascii="Arial" w:cs="Arial" w:eastAsia="Arial" w:hAnsi="Arial"/>
                <w:sz w:val="18"/>
                <w:szCs w:val="18"/>
                <w:color w:val="auto"/>
                <w:w w:val="94"/>
              </w:rPr>
              <w:t>Months</w:t>
            </w:r>
          </w:p>
        </w:tc>
        <w:tc>
          <w:tcPr>
            <w:tcW w:w="180" w:type="dxa"/>
            <w:vAlign w:val="bottom"/>
          </w:tcPr>
          <w:p>
            <w:pPr>
              <w:spacing w:after="0"/>
              <w:rPr>
                <w:sz w:val="10"/>
                <w:szCs w:val="10"/>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1"/>
              </w:rPr>
              <w:t>Months</w:t>
            </w:r>
          </w:p>
        </w:tc>
        <w:tc>
          <w:tcPr>
            <w:tcW w:w="1140" w:type="dxa"/>
            <w:vAlign w:val="bottom"/>
            <w:gridSpan w:val="2"/>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Ended</w:t>
            </w:r>
          </w:p>
        </w:tc>
        <w:tc>
          <w:tcPr>
            <w:tcW w:w="180" w:type="dxa"/>
            <w:vAlign w:val="bottom"/>
          </w:tcPr>
          <w:p>
            <w:pPr>
              <w:spacing w:after="0"/>
              <w:rPr>
                <w:sz w:val="18"/>
                <w:szCs w:val="18"/>
                <w:color w:val="auto"/>
              </w:rPr>
            </w:pPr>
          </w:p>
        </w:tc>
        <w:tc>
          <w:tcPr>
            <w:tcW w:w="1200" w:type="dxa"/>
            <w:vAlign w:val="bottom"/>
            <w:gridSpan w:val="2"/>
          </w:tcPr>
          <w:p>
            <w:pPr>
              <w:jc w:val="center"/>
              <w:ind w:right="37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8"/>
                <w:szCs w:val="18"/>
                <w:color w:val="auto"/>
              </w:rPr>
            </w:pPr>
          </w:p>
        </w:tc>
        <w:tc>
          <w:tcPr>
            <w:tcW w:w="1220" w:type="dxa"/>
            <w:vAlign w:val="bottom"/>
            <w:gridSpan w:val="2"/>
          </w:tcPr>
          <w:p>
            <w:pPr>
              <w:jc w:val="center"/>
              <w:ind w:right="35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June 30, 2017</w:t>
            </w:r>
          </w:p>
        </w:tc>
        <w:tc>
          <w:tcPr>
            <w:tcW w:w="28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June 30, 2016</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June 30, 2015</w:t>
            </w:r>
          </w:p>
        </w:tc>
        <w:tc>
          <w:tcPr>
            <w:tcW w:w="28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June 30, 2014</w:t>
            </w:r>
          </w:p>
        </w:tc>
        <w:tc>
          <w:tcPr>
            <w:tcW w:w="26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June 30, 2013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(Dollars in</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w w:val="88"/>
              </w:rPr>
              <w:t>thousands, except</w:t>
            </w:r>
          </w:p>
        </w:tc>
        <w:tc>
          <w:tcPr>
            <w:tcW w:w="280" w:type="dxa"/>
            <w:vAlign w:val="bottom"/>
          </w:tcPr>
          <w:p>
            <w:pPr>
              <w:jc w:val="right"/>
              <w:spacing w:after="0"/>
              <w:rPr>
                <w:sz w:val="20"/>
                <w:szCs w:val="20"/>
                <w:color w:val="auto"/>
              </w:rPr>
            </w:pPr>
            <w:r>
              <w:rPr>
                <w:rFonts w:ascii="Arial" w:cs="Arial" w:eastAsia="Arial" w:hAnsi="Arial"/>
                <w:sz w:val="18"/>
                <w:szCs w:val="18"/>
                <w:color w:val="auto"/>
                <w:w w:val="76"/>
              </w:rPr>
              <w:t>per</w:t>
            </w:r>
          </w:p>
        </w:tc>
        <w:tc>
          <w:tcPr>
            <w:tcW w:w="1120" w:type="dxa"/>
            <w:vAlign w:val="bottom"/>
            <w:gridSpan w:val="2"/>
          </w:tcPr>
          <w:p>
            <w:pPr>
              <w:jc w:val="right"/>
              <w:ind w:right="270"/>
              <w:spacing w:after="0"/>
              <w:rPr>
                <w:sz w:val="20"/>
                <w:szCs w:val="20"/>
                <w:color w:val="auto"/>
              </w:rPr>
            </w:pPr>
            <w:r>
              <w:rPr>
                <w:rFonts w:ascii="Arial" w:cs="Arial" w:eastAsia="Arial" w:hAnsi="Arial"/>
                <w:sz w:val="18"/>
                <w:szCs w:val="18"/>
                <w:color w:val="auto"/>
                <w:w w:val="81"/>
              </w:rPr>
              <w:t>share data)</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Selected operations data: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47,235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44,588</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38,371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7,855</w:t>
            </w:r>
          </w:p>
        </w:tc>
        <w:tc>
          <w:tcPr>
            <w:tcW w:w="18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7,220</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6,653</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47,825</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37,368</w:t>
            </w: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31,718</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29,947</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1,618</w:t>
            </w:r>
          </w:p>
        </w:tc>
        <w:tc>
          <w:tcPr>
            <w:tcW w:w="18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717</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7,773</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7,089</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Net securities gains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32,604</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31,777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20,138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11,136</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4,279</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3,995</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7,141</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12,339</w:t>
            </w:r>
          </w:p>
        </w:tc>
        <w:tc>
          <w:tcPr>
            <w:tcW w:w="2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7,619</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7,141</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2,692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Consolidated per share data:</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0.80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0.72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0.72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0.80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0.72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0.72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Cash dividends</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Arial" w:cs="Arial" w:eastAsia="Arial" w:hAnsi="Arial"/>
                <w:sz w:val="18"/>
                <w:szCs w:val="18"/>
                <w:color w:val="auto"/>
              </w:rPr>
              <w:t>Book value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11.77</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Selected balance sheet data: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1,076,874</w:t>
            </w:r>
          </w:p>
        </w:tc>
        <w:tc>
          <w:tcPr>
            <w:tcW w:w="2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986,153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850,718</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761,931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670,639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779,195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692,436</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612,137</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516,416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889,850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800,432</w:t>
            </w:r>
          </w:p>
        </w:tc>
        <w:tc>
          <w:tcPr>
            <w:tcW w:w="18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674,759</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574,329</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484,623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Borrowings and capital lease obligations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54,534</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52,568</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66,005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122,797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116,591</w:t>
            </w:r>
          </w:p>
        </w:tc>
        <w:tc>
          <w:tcPr>
            <w:tcW w:w="18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112,727</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112,066</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113,802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ratios: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assets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0.85%</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0.89%</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Return on average equity</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Efficiency ratio</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71.71%</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73.34%</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Average equity to average total assets</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11.52%</w:t>
            </w: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12.71%</w:t>
            </w:r>
          </w:p>
        </w:tc>
        <w:tc>
          <w:tcPr>
            <w:tcW w:w="1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dividend payout ratio</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Tier 1 leverage capital ratio</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14.49%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15.90%</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 ratio</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20.39%</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Northeast Bancorp is a Maine corporation and a bank holding company registered with the Federal Reserve under the Bank Holding Company Act of 1956. The Company also is a registered Maine financial institution holding company, and is subject to regulation by both the Maine Bureau of Financial Institutions and the Federal Reserve. The Company's principal asset is the capital stock of Northeast Bank, a Maine state-chartered universal bank, which is regulated by the FDIC and the Bureau. The Company's results of operations are primarily dependent on the results of the operations of the Bank.</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Management's Discussion and Analysis of Financial Condition and Results of Operations, which follows, presents a review of the consolidated operating results of the Company for the fiscal year ended June 30, 2017 ("fiscal 2017") and the fiscal year ended June 30, 2016 ("fiscal 2016"). This discussion and analysis is intended to assist you in understanding the results of our operations and financial condition. You should read this discussion together with your review of the Company's Consolidated Financial Statements and related notes and other statistical information included in this report. Certain amounts in the periods prior to fiscal 2017 have been reclassified to conform to the fiscal 2017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December 29, 2010, the merger (the "Merger") of the Company and FHB Formation LLC, a Delaware limited liability company ("FHB"), was consummated. In connection with the transaction, as part of the regulatory approval process the Company made certain commitments to the Federal Reserve, the most significant of which are, (i) maintain a Tier 1 leverage ratio of at least 10%, (ii) maintain a total capital ratio of at least 15%, (iii) limit purchased loans to 40% of total loans, (iv) fund 100% of the Company's loans with core deposits (defined as non-maturity deposits and non-brokered insured time deposits), and (v) hold commercial real estate loans (including owner-occupied commercial real estate) to within 300% of total capital.</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June 28, 2013, the Federal Reserve approved the amendment of the commitment to hold commercial real estate loans to within 300% of total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The Company's compliance ratios at June 30, 2017 are as follows:</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4"/>
                <w:szCs w:val="24"/>
                <w:color w:val="auto"/>
              </w:rPr>
            </w:pPr>
          </w:p>
        </w:tc>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Ratio</w:t>
            </w:r>
          </w:p>
        </w:tc>
        <w:tc>
          <w:tcPr>
            <w:tcW w:w="180" w:type="dxa"/>
            <w:vAlign w:val="bottom"/>
          </w:tcPr>
          <w:p>
            <w:pPr>
              <w:spacing w:after="0"/>
              <w:rPr>
                <w:sz w:val="24"/>
                <w:szCs w:val="24"/>
                <w:color w:val="auto"/>
              </w:rPr>
            </w:pPr>
          </w:p>
        </w:tc>
      </w:tr>
      <w:tr>
        <w:trPr>
          <w:trHeight w:val="21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Tier 1 leverage ratio</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12.81%</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(ii)</w:t>
            </w:r>
          </w:p>
        </w:tc>
        <w:tc>
          <w:tcPr>
            <w:tcW w:w="8160" w:type="dxa"/>
            <w:vAlign w:val="bottom"/>
          </w:tcPr>
          <w:p>
            <w:pPr>
              <w:ind w:left="40"/>
              <w:spacing w:after="0"/>
              <w:rPr>
                <w:sz w:val="20"/>
                <w:szCs w:val="20"/>
                <w:color w:val="auto"/>
              </w:rPr>
            </w:pPr>
            <w:r>
              <w:rPr>
                <w:rFonts w:ascii="Arial" w:cs="Arial" w:eastAsia="Arial" w:hAnsi="Arial"/>
                <w:sz w:val="18"/>
                <w:szCs w:val="18"/>
                <w:color w:val="auto"/>
              </w:rPr>
              <w:t>Total capital ratio</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19.48%</w:t>
            </w: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purchased loans to total loans</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31.43%</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(iv)</w:t>
            </w:r>
          </w:p>
        </w:tc>
        <w:tc>
          <w:tcPr>
            <w:tcW w:w="8160" w:type="dxa"/>
            <w:vAlign w:val="bottom"/>
          </w:tcPr>
          <w:p>
            <w:pPr>
              <w:ind w:left="40"/>
              <w:spacing w:after="0"/>
              <w:rPr>
                <w:sz w:val="20"/>
                <w:szCs w:val="20"/>
                <w:color w:val="auto"/>
              </w:rPr>
            </w:pPr>
            <w:r>
              <w:rPr>
                <w:rFonts w:ascii="Arial" w:cs="Arial" w:eastAsia="Arial" w:hAnsi="Arial"/>
                <w:sz w:val="18"/>
                <w:szCs w:val="18"/>
                <w:color w:val="auto"/>
              </w:rPr>
              <w:t>Ratio of loans to core deposits (1)</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87.68%</w:t>
            </w: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  Ratio of non-owner occupied commercial real estate loans to total capital (2)</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181.23%</w:t>
            </w:r>
          </w:p>
        </w:tc>
      </w:tr>
    </w:tbl>
    <w:p>
      <w:pPr>
        <w:spacing w:after="0" w:line="256"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non-brokered insured time deposits</w:t>
      </w:r>
    </w:p>
    <w:p>
      <w:pPr>
        <w:spacing w:after="0" w:line="23" w:lineRule="exact"/>
        <w:rPr>
          <w:rFonts w:ascii="Arial" w:cs="Arial" w:eastAsia="Arial" w:hAnsi="Arial"/>
          <w:sz w:val="18"/>
          <w:szCs w:val="18"/>
          <w:color w:val="auto"/>
        </w:rPr>
      </w:pPr>
    </w:p>
    <w:p>
      <w:pPr>
        <w:ind w:left="500" w:right="720" w:hanging="492"/>
        <w:spacing w:after="0" w:line="261"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Financial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and strategic highlights for fiscal 2017 include the following:</w:t>
      </w:r>
    </w:p>
    <w:p>
      <w:pPr>
        <w:spacing w:after="0" w:line="225" w:lineRule="exact"/>
        <w:rPr>
          <w:sz w:val="20"/>
          <w:szCs w:val="20"/>
          <w:color w:val="auto"/>
        </w:rPr>
      </w:pPr>
    </w:p>
    <w:p>
      <w:pPr>
        <w:ind w:left="660" w:right="1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Earned net income of $12.3 million, or $1.38 per diluted common share, compared to $7.6 million, or $0.80 per diluted common share, for the year ended June 30, 2016.</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Generated loans of $516.7 million, growing the portfolio on a net basis by $134.8 million, or 19.5%, when excluding the payoff of $48.0 million of broker-dealer loans.</w:t>
      </w:r>
    </w:p>
    <w:p>
      <w:pPr>
        <w:spacing w:after="0" w:line="170"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LASG purchased loans totaling $112.8 million and originated loans totaling $237.7 million, earning average portfolio yields of 12.2% and 6.2%, respectively. The purchased loan yield of 12.2% includes regularly scheduled interest and accretion, and accelerated accretion and fees recognized on loan payoffs. The Company also monitors the "total return" on its purchased loan portfolio, a measure that includes gains on sales of purchased real estate owned, as well as interest, scheduled accretion and accelerated accretion and fees. On this basis, the purchased loan portfolio earned a total return of 12.3% for fiscal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LASG portfolio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color w:val="auto"/>
                <w:w w:val="93"/>
              </w:rPr>
              <w:t>Year Ended June 30,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2016</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ind w:left="40"/>
              <w:spacing w:after="0" w:line="195" w:lineRule="exact"/>
              <w:rPr>
                <w:sz w:val="20"/>
                <w:szCs w:val="20"/>
                <w:color w:val="auto"/>
              </w:rPr>
            </w:pPr>
            <w:r>
              <w:rPr>
                <w:rFonts w:ascii="Arial" w:cs="Arial" w:eastAsia="Arial" w:hAnsi="Arial"/>
                <w:sz w:val="18"/>
                <w:szCs w:val="18"/>
                <w:color w:val="auto"/>
              </w:rPr>
              <w:t>Secured</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86"/>
              </w:rPr>
              <w:t>Secured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w w:val="92"/>
              </w:rPr>
              <w:t>Purchased</w:t>
            </w:r>
          </w:p>
        </w:tc>
        <w:tc>
          <w:tcPr>
            <w:tcW w:w="116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Loans to</w:t>
            </w:r>
          </w:p>
        </w:tc>
        <w:tc>
          <w:tcPr>
            <w:tcW w:w="1160" w:type="dxa"/>
            <w:vAlign w:val="bottom"/>
            <w:gridSpan w:val="3"/>
            <w:vMerge w:val="restart"/>
          </w:tcPr>
          <w:p>
            <w:pPr>
              <w:ind w:left="80"/>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18"/>
                <w:szCs w:val="18"/>
                <w:color w:val="auto"/>
              </w:rPr>
            </w:pPr>
          </w:p>
        </w:tc>
        <w:tc>
          <w:tcPr>
            <w:tcW w:w="112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w w:val="92"/>
              </w:rPr>
              <w:t>Purchased</w:t>
            </w:r>
          </w:p>
        </w:tc>
        <w:tc>
          <w:tcPr>
            <w:tcW w:w="116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8"/>
                <w:szCs w:val="18"/>
                <w:color w:val="auto"/>
              </w:rPr>
            </w:pPr>
          </w:p>
        </w:tc>
        <w:tc>
          <w:tcPr>
            <w:tcW w:w="980" w:type="dxa"/>
            <w:vAlign w:val="bottom"/>
          </w:tcPr>
          <w:p>
            <w:pPr>
              <w:jc w:val="center"/>
              <w:ind w:right="230"/>
              <w:spacing w:after="0"/>
              <w:rPr>
                <w:sz w:val="20"/>
                <w:szCs w:val="20"/>
                <w:color w:val="auto"/>
              </w:rPr>
            </w:pPr>
            <w:r>
              <w:rPr>
                <w:rFonts w:ascii="Arial" w:cs="Arial" w:eastAsia="Arial" w:hAnsi="Arial"/>
                <w:sz w:val="18"/>
                <w:szCs w:val="18"/>
                <w:color w:val="auto"/>
                <w:w w:val="89"/>
              </w:rPr>
              <w:t>Loans to</w:t>
            </w:r>
          </w:p>
        </w:tc>
        <w:tc>
          <w:tcPr>
            <w:tcW w:w="1120" w:type="dxa"/>
            <w:vAlign w:val="bottom"/>
            <w:gridSpan w:val="3"/>
            <w:vMerge w:val="restart"/>
          </w:tcPr>
          <w:p>
            <w:pPr>
              <w:ind w:left="80"/>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Broker-</w:t>
            </w:r>
          </w:p>
        </w:tc>
        <w:tc>
          <w:tcPr>
            <w:tcW w:w="11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center"/>
              <w:ind w:right="170"/>
              <w:spacing w:after="0"/>
              <w:rPr>
                <w:sz w:val="20"/>
                <w:szCs w:val="20"/>
                <w:color w:val="auto"/>
              </w:rPr>
            </w:pPr>
            <w:r>
              <w:rPr>
                <w:rFonts w:ascii="Arial" w:cs="Arial" w:eastAsia="Arial" w:hAnsi="Arial"/>
                <w:sz w:val="18"/>
                <w:szCs w:val="18"/>
                <w:color w:val="auto"/>
                <w:w w:val="94"/>
              </w:rPr>
              <w:t>Broker-</w:t>
            </w: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Dealers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7"/>
              </w:rPr>
              <w:t>Dealers</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vMerge w:val="continue"/>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 during the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w w:val="98"/>
              </w:rPr>
              <w:t>Unpaid principal balance</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126,713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237,691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364,404</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108,716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110,578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112,807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237,691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350,498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99,999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110,578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 returns during the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Yield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(1) (2)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2"/>
              </w:rPr>
              <w:t>Total loans as of period end: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Unpaid principal balance</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279,854</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330,515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610,369</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271,268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174,918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48,000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Net investment basis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246,388</w:t>
            </w:r>
          </w:p>
        </w:tc>
        <w:tc>
          <w:tcPr>
            <w:tcW w:w="26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330,515</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576,903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239,709</w:t>
            </w:r>
          </w:p>
        </w:tc>
        <w:tc>
          <w:tcPr>
            <w:tcW w:w="2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174,918</w:t>
            </w:r>
          </w:p>
        </w:tc>
        <w:tc>
          <w:tcPr>
            <w:tcW w:w="18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48,000</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462,627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 The yield and total return on LASG originated loans includes $385 thousand of fees related to one loan in the quarter ended June 30, 2016.</w:t>
      </w:r>
    </w:p>
    <w:p>
      <w:pPr>
        <w:spacing w:after="0" w:line="35" w:lineRule="exact"/>
        <w:rPr>
          <w:sz w:val="20"/>
          <w:szCs w:val="20"/>
          <w:color w:val="auto"/>
        </w:rPr>
      </w:pPr>
    </w:p>
    <w:p>
      <w:pPr>
        <w:jc w:val="both"/>
        <w:ind w:left="660" w:right="60"/>
        <w:spacing w:after="0" w:line="255" w:lineRule="auto"/>
        <w:rPr>
          <w:sz w:val="20"/>
          <w:szCs w:val="20"/>
          <w:color w:val="auto"/>
        </w:rPr>
      </w:pPr>
      <w:r>
        <w:rPr>
          <w:rFonts w:ascii="Arial" w:cs="Arial" w:eastAsia="Arial" w:hAnsi="Arial"/>
          <w:sz w:val="18"/>
          <w:szCs w:val="18"/>
          <w:color w:val="auto"/>
        </w:rPr>
        <w:t>(2)The total return on purchased loans represents scheduled accretion, accelerated accretion, gains on asset sales, and other noninterest income recorded during the period divided by the average invested balance, which includes loans held for sale. The total return does not include the effect of purchased loan charge-offs or recoveries.</w:t>
      </w:r>
    </w:p>
    <w:p>
      <w:pPr>
        <w:spacing w:after="0" w:line="244" w:lineRule="exact"/>
        <w:rPr>
          <w:sz w:val="20"/>
          <w:szCs w:val="20"/>
          <w:color w:val="auto"/>
        </w:rPr>
      </w:pPr>
    </w:p>
    <w:p>
      <w:pPr>
        <w:ind w:left="660" w:right="2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the Company's deposit base by $89.4 million, primarily the result of growth in non-maturity accounts of $103.5 million, or 23.0%, offset by a decrease in time deposits of $14.1 million, or 4.0%.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Originated $82.0 million in SBA guaranteed loans through June 30, 2017, and sold $53.8 million of loans, for a gain on sale of $5.3 million.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Repurchased 645,238 shares at an average repurchase price of $10.75.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income for the year ended June 30, 2017 increased by $4.7 million to $12.3 million, compared to $7.6 million for the year ended June 30,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Items of significance affecting the Company's earnings included:</w:t>
      </w:r>
    </w:p>
    <w:p>
      <w:pPr>
        <w:spacing w:after="0" w:line="225" w:lineRule="exact"/>
        <w:rPr>
          <w:sz w:val="20"/>
          <w:szCs w:val="20"/>
          <w:color w:val="auto"/>
        </w:rPr>
      </w:pPr>
    </w:p>
    <w:p>
      <w:pPr>
        <w:ind w:left="680" w:right="60" w:hanging="321"/>
        <w:spacing w:after="0" w:line="312"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in net interest and dividend income before provision for loan losses, which grew to $47.8 million as compared to $39.4 million for the year ended June 30, 2016. The increase was primarily due to higher transactional income on purchased loans and higher average balances in the total loan portfolio, partially offset by higher rates and volume in the deposit portfolio and the effect of the issuance of subordinated debt.</w:t>
      </w:r>
    </w:p>
    <w:p>
      <w:pPr>
        <w:spacing w:after="0" w:line="14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The following table summarizes interest income and related yields recognized on the Company's loans: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color w:val="auto"/>
              </w:rPr>
              <w:t>Year Ended June 30,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380" w:type="dxa"/>
            <w:vAlign w:val="bottom"/>
            <w:gridSpan w:val="2"/>
          </w:tcPr>
          <w:p>
            <w:pPr>
              <w:jc w:val="right"/>
              <w:ind w:right="510"/>
              <w:spacing w:after="0"/>
              <w:rPr>
                <w:sz w:val="20"/>
                <w:szCs w:val="20"/>
                <w:color w:val="auto"/>
              </w:rPr>
            </w:pPr>
            <w:r>
              <w:rPr>
                <w:rFonts w:ascii="Arial" w:cs="Arial" w:eastAsia="Arial" w:hAnsi="Arial"/>
                <w:sz w:val="18"/>
                <w:szCs w:val="18"/>
                <w:color w:val="auto"/>
              </w:rPr>
              <w:t>Yield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Balance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Income (2)</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239,796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14,883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147,193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8,987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2"/>
        </w:trPr>
        <w:tc>
          <w:tcPr>
            <w:tcW w:w="2420" w:type="dxa"/>
            <w:vAlign w:val="bottom"/>
          </w:tcPr>
          <w:p>
            <w:pPr>
              <w:ind w:left="160"/>
              <w:spacing w:after="0" w:line="201" w:lineRule="exact"/>
              <w:rPr>
                <w:sz w:val="20"/>
                <w:szCs w:val="20"/>
                <w:color w:val="auto"/>
              </w:rPr>
            </w:pPr>
            <w:r>
              <w:rPr>
                <w:rFonts w:ascii="Arial" w:cs="Arial" w:eastAsia="Arial" w:hAnsi="Arial"/>
                <w:sz w:val="18"/>
                <w:szCs w:val="18"/>
                <w:color w:val="auto"/>
              </w:rPr>
              <w:t>Secured Loans to Broker-</w:t>
            </w: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31,085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256</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0.82%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58,511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293</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7"/>
        </w:trPr>
        <w:tc>
          <w:tcPr>
            <w:tcW w:w="2420" w:type="dxa"/>
            <w:vAlign w:val="bottom"/>
          </w:tcPr>
          <w:p>
            <w:pPr>
              <w:ind w:left="320"/>
              <w:spacing w:after="0"/>
              <w:rPr>
                <w:sz w:val="20"/>
                <w:szCs w:val="20"/>
                <w:color w:val="auto"/>
              </w:rPr>
            </w:pPr>
            <w:r>
              <w:rPr>
                <w:rFonts w:ascii="Arial" w:cs="Arial" w:eastAsia="Arial" w:hAnsi="Arial"/>
                <w:sz w:val="18"/>
                <w:szCs w:val="18"/>
                <w:color w:val="auto"/>
              </w:rPr>
              <w:t>Dealers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507,818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44,136</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422,467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33,918</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0"/>
        </w:trPr>
        <w:tc>
          <w:tcPr>
            <w:tcW w:w="242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741,468</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55,857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664,902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45,849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60" w:hanging="31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3" w:lineRule="exact"/>
        <w:rPr>
          <w:rFonts w:ascii="Arial" w:cs="Arial" w:eastAsia="Arial" w:hAnsi="Arial"/>
          <w:sz w:val="18"/>
          <w:szCs w:val="18"/>
          <w:color w:val="auto"/>
        </w:rPr>
      </w:pPr>
    </w:p>
    <w:p>
      <w:pPr>
        <w:ind w:left="1460" w:hanging="31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SBA interest income includes SBA fees of $33 thousand for the year ended June 30, 2016.</w:t>
      </w:r>
    </w:p>
    <w:p>
      <w:pPr>
        <w:sectPr>
          <w:pgSz w:w="11900" w:h="16838" w:orient="portrait"/>
          <w:cols w:equalWidth="0" w:num="1">
            <w:col w:w="11480"/>
          </w:cols>
          <w:pgMar w:left="240" w:top="118" w:right="179"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118" w:right="179" w:bottom="0"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yield on purchased loans is affected by unscheduled loan payoffs, which resulted in immediate recognition of the prepaid loans’ discount in interest income. The following table details the “total return” on purchased loans, which includes total transactional income of $10.2 million for the year ended June 30, 2017, an increase of $2.9 million from the year ended June 30, 2016. The following table summarizes the total return recognized on the purchased loan portfolio:</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color w:val="auto"/>
              </w:rPr>
              <w:t>Year Ended 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2017</w:t>
            </w:r>
          </w:p>
        </w:tc>
        <w:tc>
          <w:tcPr>
            <w:tcW w:w="10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2016</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8"/>
                <w:szCs w:val="18"/>
                <w:color w:val="auto"/>
              </w:rPr>
              <w:t>Income</w:t>
            </w:r>
          </w:p>
        </w:tc>
        <w:tc>
          <w:tcPr>
            <w:tcW w:w="1080" w:type="dxa"/>
            <w:vAlign w:val="bottom"/>
          </w:tcPr>
          <w:p>
            <w:pPr>
              <w:ind w:left="80"/>
              <w:spacing w:after="0"/>
              <w:rPr>
                <w:sz w:val="20"/>
                <w:szCs w:val="20"/>
                <w:color w:val="auto"/>
              </w:rPr>
            </w:pPr>
            <w:r>
              <w:rPr>
                <w:rFonts w:ascii="Arial" w:cs="Arial" w:eastAsia="Arial" w:hAnsi="Arial"/>
                <w:sz w:val="18"/>
                <w:szCs w:val="18"/>
                <w:color w:val="auto"/>
              </w:rPr>
              <w:t>Return (1)</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71"/>
              </w:rPr>
              <w:t>in</w:t>
            </w:r>
          </w:p>
        </w:tc>
        <w:tc>
          <w:tcPr>
            <w:tcW w:w="24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100" w:type="dxa"/>
            <w:vAlign w:val="bottom"/>
          </w:tcPr>
          <w:p>
            <w:pPr>
              <w:ind w:left="10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17,382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7,256</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39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12.30%</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24,673</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312" w:lineRule="auto"/>
        <w:tabs>
          <w:tab w:leader="none" w:pos="980" w:val="left"/>
        </w:tabs>
        <w:numPr>
          <w:ilvl w:val="2"/>
          <w:numId w:val="18"/>
        </w:numPr>
        <w:rPr>
          <w:rFonts w:ascii="Arial" w:cs="Arial" w:eastAsia="Arial" w:hAnsi="Arial"/>
          <w:sz w:val="16"/>
          <w:szCs w:val="16"/>
          <w:color w:val="auto"/>
        </w:rPr>
      </w:pPr>
      <w:r>
        <w:rPr>
          <w:rFonts w:ascii="Arial" w:cs="Arial" w:eastAsia="Arial" w:hAnsi="Arial"/>
          <w:sz w:val="16"/>
          <w:szCs w:val="16"/>
          <w:color w:val="auto"/>
        </w:rPr>
        <w:t>The total return on purchased loans represents scheduled accretion, accelerated accretion, gains on asset sales, gains on real estate owned and other noninterest income recorded during the period divided by the average invested balance, which includes loans held for sale. The total return does not include the effect of purchased loan charge-offs or recoveries. Total return is considered a non-GAAP financial measure.</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left="680" w:right="60" w:hanging="321"/>
        <w:spacing w:after="0" w:line="302" w:lineRule="auto"/>
        <w:tabs>
          <w:tab w:leader="none" w:pos="6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 increase of $1.9 million in noninterest income, principally resulting from an increase of $1.1 million in gains realized on sale of SBA loans. The year ended June 30, 2017 includes gains realized on sale of SBA loans of $5.3 million. Additionally, there was an increase in gain on sale of other loans of $365 thousand, due to the sale of a Community Banking Division commercial loan portfolio, and a decrease in loss recognized on real estate owned and other repossessed collateral, net of $232 thousand, due to the sale of Community Banking Division real estate owned.</w:t>
      </w:r>
    </w:p>
    <w:p>
      <w:pPr>
        <w:spacing w:after="0" w:line="154" w:lineRule="exact"/>
        <w:rPr>
          <w:rFonts w:ascii="Arial" w:cs="Arial" w:eastAsia="Arial" w:hAnsi="Arial"/>
          <w:sz w:val="16"/>
          <w:szCs w:val="16"/>
          <w:color w:val="auto"/>
        </w:rPr>
      </w:pPr>
    </w:p>
    <w:p>
      <w:pPr>
        <w:ind w:left="6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$2.0 million in noninterest expense, principally due to an increase of $2.2 million in salaries and employee benefits from higher incentive compensation and severance expense, a $366 thousand increase in loan acquisition and collection expense due to higher loan workout expenses, and a $257 thousand increase in data processing fees due to higher computer service fees. These increases were offset by a decrease in other noninterest expense due to the $224 thousand decrease in impairment on servicing assets in the current year, a $186 thousand decrease in FDIC insurance expense primarily due to changes in the reserve ratio by the FDIC, and a $167 thousand mortgage insurance recovery from a legacy mortgage insurance premium plan.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average balance sheets, average yields and costs, and certain other information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color w:val="auto"/>
              </w:rPr>
              <w:t>Year Ended June 30,</w:t>
            </w: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2017</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89"/>
              </w:rPr>
              <w:t>2016</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2015</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Interest</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Interest</w:t>
            </w: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Interest</w:t>
            </w: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Income/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rPr>
              <w:t>Yield/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Average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Income/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rPr>
              <w:t>Yield/</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Income/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Yield/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Balance</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8"/>
              </w:rPr>
              <w:t>Expense</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8"/>
              </w:rPr>
              <w:t>Balance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8"/>
              </w:rPr>
              <w:t>Expense</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1"/>
              </w:rPr>
              <w:t>Expense</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60"/>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Interest-earning assets: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95,624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1,018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100,503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108,204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Loans (1) (2) (3)</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741,468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55,928</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664,902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45,921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561,340</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43,456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FHLBB stock</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Short-term investments (4)</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133,599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956</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91,563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343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92,354</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interest-earning assets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972,863</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57,992</w:t>
            </w: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5.96%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859,928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47,307</w:t>
            </w: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5.50%</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766,000</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44,661</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3,596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2,704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Other non-interest earning assets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35,607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33,741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gridSpan w:val="2"/>
          </w:tcPr>
          <w:p>
            <w:pPr>
              <w:spacing w:after="0" w:line="129" w:lineRule="exact"/>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1,008,090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899,131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802,445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Liabilities &amp; Shareholders' Equity:</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Interest-bearing liabilities: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NOW accounts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70,912</w:t>
            </w:r>
          </w:p>
        </w:tc>
        <w:tc>
          <w:tcPr>
            <w:tcW w:w="24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204</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0.29%</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68,304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182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63,181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162</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Money market accounts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322,011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212,102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0.87%</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133,266</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Savings accounts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36,438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36,062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48</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34,495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Time deposits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326,601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3,983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349,978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340,046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Total interest-bearing deposits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755,962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7,357</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666,446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6,027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570,988</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5,010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2,578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FHLBB advances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24,334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32,432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1,094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45,661</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1,389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Subordinated debt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1,888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8,531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1,457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804,756</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10,096</w:t>
            </w: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1.25%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710,516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7,855</w:t>
            </w: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1.11%</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629,215</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7,220</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Non-interest bearing liabilities: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Demand deposits and escrow</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accounts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79,560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67,041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54,940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5,913</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891,915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784,809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690,068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116,175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114,322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112,377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Total liabilities and shareholders'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1,008,090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899,131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802,445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80" w:type="dxa"/>
            <w:vAlign w:val="bottom"/>
          </w:tcPr>
          <w:p>
            <w:pPr>
              <w:ind w:left="160"/>
              <w:spacing w:after="0" w:line="121" w:lineRule="exact"/>
              <w:rPr>
                <w:sz w:val="20"/>
                <w:szCs w:val="20"/>
                <w:color w:val="auto"/>
              </w:rPr>
            </w:pPr>
            <w:r>
              <w:rPr>
                <w:rFonts w:ascii="Arial" w:cs="Arial" w:eastAsia="Arial" w:hAnsi="Arial"/>
                <w:sz w:val="13"/>
                <w:szCs w:val="13"/>
                <w:color w:val="auto"/>
              </w:rPr>
              <w:t>equity</w:t>
            </w:r>
          </w:p>
        </w:tc>
        <w:tc>
          <w:tcPr>
            <w:tcW w:w="1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spacing w:after="0"/>
              <w:rPr>
                <w:sz w:val="11"/>
                <w:szCs w:val="11"/>
                <w:color w:val="auto"/>
              </w:rPr>
            </w:pPr>
          </w:p>
        </w:tc>
        <w:tc>
          <w:tcPr>
            <w:tcW w:w="880" w:type="dxa"/>
            <w:vAlign w:val="bottom"/>
            <w:gridSpan w:val="2"/>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29" w:lineRule="exact"/>
              <w:rPr>
                <w:sz w:val="20"/>
                <w:szCs w:val="20"/>
                <w:color w:val="auto"/>
              </w:rPr>
            </w:pPr>
            <w:r>
              <w:rPr>
                <w:rFonts w:ascii="Arial" w:cs="Arial" w:eastAsia="Arial" w:hAnsi="Arial"/>
                <w:sz w:val="14"/>
                <w:szCs w:val="14"/>
                <w:color w:val="auto"/>
              </w:rPr>
              <w:t>Net interest income (5)</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rPr>
              <w:t>47,896</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39,452</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37,441</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Interest rate spread</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Net interest margin (6)</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Interest income and yield are stated on a fully tax-equivalent basis using a 34% tax rate.</w:t>
      </w:r>
    </w:p>
    <w:p>
      <w:pPr>
        <w:spacing w:after="0" w:line="21" w:lineRule="exact"/>
        <w:rPr>
          <w:rFonts w:ascii="Arial" w:cs="Arial" w:eastAsia="Arial" w:hAnsi="Arial"/>
          <w:sz w:val="14"/>
          <w:szCs w:val="14"/>
          <w:color w:val="auto"/>
        </w:rPr>
      </w:pPr>
    </w:p>
    <w:p>
      <w:pPr>
        <w:ind w:left="240" w:hanging="232"/>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loans held for sale.</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Nonaccrual loans are included in the computation of average, but unpaid interest has not been included for purposes of determining interest income.</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Short term investments include FHLBB overnight deposits and other interest-bearing deposits.</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tax exempt interest income of $71 thousand, $72 thousand, and $73 thousand for the years ended June 30, 2017, June 30, 2016, and June 30, 2015, respectively.</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interest margin is calculated as net interest income divided by total interest-earning assets.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present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37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Year Ended June 30, 2017</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Compared to the Year Ended June 30, 2016</w:t>
            </w:r>
          </w:p>
        </w:tc>
      </w:tr>
      <w:tr>
        <w:trPr>
          <w:trHeight w:val="210"/>
        </w:trPr>
        <w:tc>
          <w:tcPr>
            <w:tcW w:w="5100" w:type="dxa"/>
            <w:vAlign w:val="bottom"/>
          </w:tcPr>
          <w:p>
            <w:pPr>
              <w:spacing w:after="0"/>
              <w:rPr>
                <w:sz w:val="18"/>
                <w:szCs w:val="18"/>
                <w:color w:val="auto"/>
              </w:rPr>
            </w:pPr>
          </w:p>
        </w:tc>
        <w:tc>
          <w:tcPr>
            <w:tcW w:w="18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w w:val="95"/>
              </w:rPr>
              <w:t>Change Due to Volume</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Change Due to Rate</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Total Change</w:t>
            </w:r>
          </w:p>
        </w:tc>
        <w:tc>
          <w:tcPr>
            <w:tcW w:w="100" w:type="dxa"/>
            <w:vAlign w:val="bottom"/>
          </w:tcPr>
          <w:p>
            <w:pPr>
              <w:spacing w:after="0"/>
              <w:rPr>
                <w:sz w:val="18"/>
                <w:szCs w:val="18"/>
                <w:color w:val="auto"/>
              </w:rPr>
            </w:pPr>
          </w:p>
        </w:tc>
      </w:tr>
      <w:tr>
        <w:trPr>
          <w:trHeight w:val="210"/>
        </w:trPr>
        <w:tc>
          <w:tcPr>
            <w:tcW w:w="5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(Dollars 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4,448</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10,007</w:t>
            </w: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FHLBB stock</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r>
      <w:tr>
        <w:trPr>
          <w:trHeight w:val="20"/>
        </w:trPr>
        <w:tc>
          <w:tcPr>
            <w:tcW w:w="5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00" w:type="dxa"/>
            <w:vAlign w:val="bottom"/>
          </w:tcPr>
          <w:p>
            <w:pPr>
              <w:ind w:left="160"/>
              <w:spacing w:after="0"/>
              <w:rPr>
                <w:sz w:val="20"/>
                <w:szCs w:val="20"/>
                <w:color w:val="auto"/>
              </w:rPr>
            </w:pPr>
            <w:r>
              <w:rPr>
                <w:rFonts w:ascii="Arial" w:cs="Arial" w:eastAsia="Arial" w:hAnsi="Arial"/>
                <w:sz w:val="18"/>
                <w:szCs w:val="18"/>
                <w:color w:val="auto"/>
              </w:rPr>
              <w:t>Total increase in interest income</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10,685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FHLBB advances</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0"/>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increase in interest expense</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100" w:type="dxa"/>
            <w:vAlign w:val="bottom"/>
          </w:tcPr>
          <w:p>
            <w:pPr>
              <w:ind w:left="320"/>
              <w:spacing w:after="0"/>
              <w:rPr>
                <w:sz w:val="20"/>
                <w:szCs w:val="20"/>
                <w:color w:val="auto"/>
              </w:rPr>
            </w:pPr>
            <w:r>
              <w:rPr>
                <w:rFonts w:ascii="Arial" w:cs="Arial" w:eastAsia="Arial" w:hAnsi="Arial"/>
                <w:sz w:val="18"/>
                <w:szCs w:val="18"/>
                <w:color w:val="auto"/>
              </w:rPr>
              <w:t>Total increase in net interest and dividend income</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4,390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8,444</w:t>
            </w:r>
          </w:p>
        </w:tc>
      </w:tr>
      <w:tr>
        <w:trPr>
          <w:trHeight w:val="20"/>
        </w:trPr>
        <w:tc>
          <w:tcPr>
            <w:tcW w:w="5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5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Year Ended June 30, 2016</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Compared to the Year Ended June 30, 2015</w:t>
            </w:r>
          </w:p>
        </w:tc>
      </w:tr>
      <w:tr>
        <w:trPr>
          <w:trHeight w:val="210"/>
        </w:trPr>
        <w:tc>
          <w:tcPr>
            <w:tcW w:w="5100" w:type="dxa"/>
            <w:vAlign w:val="bottom"/>
          </w:tcPr>
          <w:p>
            <w:pPr>
              <w:spacing w:after="0"/>
              <w:rPr>
                <w:sz w:val="18"/>
                <w:szCs w:val="18"/>
                <w:color w:val="auto"/>
              </w:rPr>
            </w:pPr>
          </w:p>
        </w:tc>
        <w:tc>
          <w:tcPr>
            <w:tcW w:w="18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w w:val="95"/>
              </w:rPr>
              <w:t>Change Due to Volume</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Change Due to Rate</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Total Change</w:t>
            </w:r>
          </w:p>
        </w:tc>
        <w:tc>
          <w:tcPr>
            <w:tcW w:w="100" w:type="dxa"/>
            <w:vAlign w:val="bottom"/>
          </w:tcPr>
          <w:p>
            <w:pPr>
              <w:spacing w:after="0"/>
              <w:rPr>
                <w:sz w:val="18"/>
                <w:szCs w:val="18"/>
                <w:color w:val="auto"/>
              </w:rPr>
            </w:pPr>
          </w:p>
        </w:tc>
      </w:tr>
      <w:tr>
        <w:trPr>
          <w:trHeight w:val="210"/>
        </w:trPr>
        <w:tc>
          <w:tcPr>
            <w:tcW w:w="5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(Dollars 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(5,006)</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w:t>
            </w: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FHLBB stock</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0"/>
        </w:trPr>
        <w:tc>
          <w:tcPr>
            <w:tcW w:w="5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00" w:type="dxa"/>
            <w:vAlign w:val="bottom"/>
          </w:tcPr>
          <w:p>
            <w:pPr>
              <w:ind w:left="160"/>
              <w:spacing w:after="0"/>
              <w:rPr>
                <w:sz w:val="20"/>
                <w:szCs w:val="20"/>
                <w:color w:val="auto"/>
              </w:rPr>
            </w:pPr>
            <w:r>
              <w:rPr>
                <w:rFonts w:ascii="Arial" w:cs="Arial" w:eastAsia="Arial" w:hAnsi="Arial"/>
                <w:sz w:val="18"/>
                <w:szCs w:val="18"/>
                <w:color w:val="auto"/>
              </w:rPr>
              <w:t>Total increase (decrease) in interest income</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(4,732)</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2,646</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6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Interest bearing deposits</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FHLBB advances</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0"/>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increase in interest expense</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100" w:type="dxa"/>
            <w:vAlign w:val="bottom"/>
          </w:tcPr>
          <w:p>
            <w:pPr>
              <w:ind w:left="320"/>
              <w:spacing w:after="0"/>
              <w:rPr>
                <w:sz w:val="20"/>
                <w:szCs w:val="20"/>
                <w:color w:val="auto"/>
              </w:rPr>
            </w:pPr>
            <w:r>
              <w:rPr>
                <w:rFonts w:ascii="Arial" w:cs="Arial" w:eastAsia="Arial" w:hAnsi="Arial"/>
                <w:sz w:val="18"/>
                <w:szCs w:val="18"/>
                <w:color w:val="auto"/>
                <w:w w:val="97"/>
              </w:rPr>
              <w:t>Total increase (decrease) in net interest and dividend income</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(5,012)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0"/>
        </w:trPr>
        <w:tc>
          <w:tcPr>
            <w:tcW w:w="5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year ended June 30, 2017, the $4.1 million volume-related change in net interest income was mainly the result of the significant increase in loans, which grew by $76.6 million on average compared to fiscal 2016. The rate-related change in fiscal 2017 compared to fiscal 2016 was principally due to the purchased loan yield differential, and an increase in yields on the originated loan portfolios. For fiscal 2017, the net interest margin earned of 4.92% was 33 basis points higher than that earned for the year ended June 30, 2016, primarily due to higher transactional income on purchased loans and higher average balances in the total loan portfolio, offset by higher rates and volume in the deposit portfolio and the effect of the issuance of subordinated debt.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total cost of funds increased to 1.14% in fiscal 2017, from 1.01% in fiscal 2016, due to higher rates and volume in the deposit portfolio.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Quarterly, the Company determines the amount of its allowance for loan losses adequate to provide for losses inherent in the Company's loan portfolios, with the provision for loan losses determined by the net periodic change in the allowance for loan losses. For acquired loans accounted for under ASC 310-30, </w:t>
      </w:r>
      <w:r>
        <w:rPr>
          <w:rFonts w:ascii="Arial" w:cs="Arial" w:eastAsia="Arial" w:hAnsi="Arial"/>
          <w:sz w:val="18"/>
          <w:szCs w:val="18"/>
          <w:i w:val="1"/>
          <w:iCs w:val="1"/>
          <w:color w:val="auto"/>
        </w:rPr>
        <w:t xml:space="preserve">Receivables—Loans and Debt Securities Acquired with Deteriorated Credit Quality </w:t>
      </w:r>
      <w:r>
        <w:rPr>
          <w:rFonts w:ascii="Arial" w:cs="Arial" w:eastAsia="Arial" w:hAnsi="Arial"/>
          <w:sz w:val="18"/>
          <w:szCs w:val="18"/>
          <w:color w:val="auto"/>
        </w:rPr>
        <w:t>("ASC 310-30"), a provision for loan loss is recorded when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decrease due to credit deterioration.</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provision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ectPr>
          <w:pgSz w:w="11900" w:h="16838" w:orient="portrait"/>
          <w:cols w:equalWidth="0" w:num="1">
            <w:col w:w="11420"/>
          </w:cols>
          <w:pgMar w:left="240" w:top="118" w:right="239" w:bottom="73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730" w:gutter="0" w:footer="0" w:header="0"/>
          <w:type w:val="continuous"/>
        </w:sectPr>
      </w:pPr>
    </w:p>
    <w:bookmarkStart w:id="35" w:name="page36"/>
    <w:bookmarkEnd w:id="3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provision for loan losses for the fiscal year ended June 30, 2017 was $1.6 million, consistent with the provision for loan losses of $1.6 million for the year ended June 30, 2016. At June 30, 2017 and 2016, the allowance for loan losses was $3.7 million and $2.4 million, respectively, and the ratio of allowance for loan losses to total loans was 0.47% and 0.34%, respectively.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charge-offs for the fiscal year ended June 30, 2017 totaled $279 thousand, representing approximately 0.04% of the Company's average portfolio loan balance during the fiscal year. This compares to $1.2 million, or 0.18%, in fiscal 2016, representing a decrease of $925 thousand in fiscal 2017. The decrease was principally due to two loans which were provided for in the prior year, and subsequently charged off.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allowance for loan losses, see "Asset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Noninterest income for the fiscal year ended June 30, 2017 totaled $9.7 million, an increase of $1.9 million, or 24.7%, from fiscal 2016. When compared to fiscal 2016, the increase was principally due to the following:</w:t>
      </w:r>
    </w:p>
    <w:p>
      <w:pPr>
        <w:spacing w:after="0" w:line="170" w:lineRule="exact"/>
        <w:rPr>
          <w:sz w:val="20"/>
          <w:szCs w:val="20"/>
          <w:color w:val="auto"/>
        </w:rPr>
      </w:pPr>
    </w:p>
    <w:p>
      <w:pPr>
        <w:ind w:left="660" w:right="24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$1.1 million in gains realized on sale of SBA loans. The year ended June 30, 2017 includes gains realized on sale of SBA loans of $5.3 million, compared to a $4.2 million gain on sale of SBA loans in the year ended June 30, 2016;</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increase in gain on sale of other loans of $365 thousand, due to the sale of a Community Banking Division commercial loan portfolio; and</w:t>
      </w:r>
    </w:p>
    <w:p>
      <w:pPr>
        <w:spacing w:after="0" w:line="20"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loss recognized on real estate owned and other repossessed collateral, net of $232 thousand, due to the sale and refinance of real estate owned.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Noninterest expense for the fiscal year ended June 30, 2017 totaled $35.8 million, an increase of $2.0 million, or 5.8%, from fiscal 2016. When compared to fiscal 2016, the increase was principally due to the following:</w:t>
      </w:r>
    </w:p>
    <w:p>
      <w:pPr>
        <w:spacing w:after="0" w:line="170" w:lineRule="exact"/>
        <w:rPr>
          <w:sz w:val="20"/>
          <w:szCs w:val="20"/>
          <w:color w:val="auto"/>
        </w:rPr>
      </w:pPr>
    </w:p>
    <w:p>
      <w:pPr>
        <w:ind w:left="660" w:right="48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$2.2 million in salaries and employee benefits, principally due to higher incentive compensation, severance expense, and stock compensation expense, offset slightly by a decrease in group insurance expense;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$366 thousand in loan acquisition and collection expense, largely driven by higher loan workout expense;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$257 thousand in data processing fees due to higher computer service fees in fiscal 2017.</w:t>
      </w:r>
    </w:p>
    <w:p>
      <w:pPr>
        <w:spacing w:after="0" w:line="9"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increases in noninterest expense were offset by a decrease of $658 thousand in other noninterest expense, primarily resulting from a decrease in impairment on servicing assets of $224 thousand and a mortgage insurance recovery from a legacy mortgage insurance premium plan of $167 thousand.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Income tax expense for the fiscal year ended June 30, 2017 totaled $7.8 million, representing 38.7% of pretax income, as compared to $4.1 million, or 35.0% of pretax income, in fiscal 2016. The increase in the Company's effective tax rate was principally due to the change in state apportionment during the year.</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total assets grew to $1.1 billion at June 30, 2017, representing an increase of $90.7 million, or 9.2%, compared to $986.2 million at June 30, 2016. Significant changes in the Company's balance sheet components include:</w:t>
      </w:r>
    </w:p>
    <w:p>
      <w:pPr>
        <w:spacing w:after="0" w:line="170" w:lineRule="exact"/>
        <w:rPr>
          <w:sz w:val="20"/>
          <w:szCs w:val="20"/>
          <w:color w:val="auto"/>
        </w:rPr>
      </w:pPr>
    </w:p>
    <w:p>
      <w:pPr>
        <w:ind w:left="660" w:right="6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loan portfolio, excluding loans held for sale, increased by $86.8 million, or 12.5%, compared to June 30, 2016. The increase was principally on the strength of $350.5 million of LASG originations and purchases, $11.7 million of Community Bank originations and $82.0 million of SBA originations. Loan volume was offset by SBA loan sales of $53.8 million, the payoff of $48.0 million of secured loans to broker-dealers, and the sale of a commercial loan portfolio of $18.3 million which, combined, had a weighted average yield of 1.92%, as well as purchased and originated loan runoff in the portfolio.</w:t>
      </w:r>
    </w:p>
    <w:p>
      <w:pPr>
        <w:spacing w:after="0" w:line="188"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Deposits increased by $89.4 million, or 11.2%, from June 30, 2016 due to growth in non-maturity accounts of $103.5 million, or 23.0%, offset by a decrease in time deposits of $14.1 million, or 4.0%; and</w:t>
      </w:r>
    </w:p>
    <w:p>
      <w:pPr>
        <w:spacing w:after="0" w:line="170"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Shareholders’ equity increased by $6.2 million from June 30, 2016, primarily due to earnings of $12.3 million, offset by $6.9 million in share repurchases (representing 645,238 shares). Additionally, there was stock-based compensation of $945 thousand, a decrease in accumulated other comprehensive loss of $274 thousand and $357 thousand in dividends paid on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Cash and cash equivalents increased $12.1 million, or 8.0%, to $163.3 million at June 30, 2017, as compared to $151.2 million at June 30, 2016. This increase was principally the result of net deposit growth of $89.4 million, partially offset by net loan growth, including loans held for sale, of $83.9 million.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available-for-sale securities portfolio totaled $96.7 million and $100.6 million at June 30, 2017 and 2016, respectively. The Company's investment portfolio was comprised primarily of U.S. Government-sponsored enterprise bonds and mortgage-backed securities guaranteed by government agencies. The composition of the Company's securities portfolio at the dates indicated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5"/>
          </w:tcPr>
          <w:p>
            <w:pPr>
              <w:jc w:val="right"/>
              <w:ind w:right="1120"/>
              <w:spacing w:after="0"/>
              <w:rPr>
                <w:sz w:val="20"/>
                <w:szCs w:val="20"/>
                <w:color w:val="auto"/>
              </w:rPr>
            </w:pPr>
            <w:r>
              <w:rPr>
                <w:rFonts w:ascii="Arial" w:cs="Arial" w:eastAsia="Arial" w:hAnsi="Arial"/>
                <w:sz w:val="18"/>
                <w:szCs w:val="18"/>
                <w:color w:val="auto"/>
              </w:rPr>
              <w:t>June 30, 2017</w:t>
            </w:r>
          </w:p>
        </w:tc>
        <w:tc>
          <w:tcPr>
            <w:tcW w:w="180" w:type="dxa"/>
            <w:vAlign w:val="bottom"/>
          </w:tcPr>
          <w:p>
            <w:pPr>
              <w:spacing w:after="0"/>
              <w:rPr>
                <w:sz w:val="20"/>
                <w:szCs w:val="20"/>
                <w:color w:val="auto"/>
              </w:rPr>
            </w:pPr>
          </w:p>
        </w:tc>
        <w:tc>
          <w:tcPr>
            <w:tcW w:w="2840" w:type="dxa"/>
            <w:vAlign w:val="bottom"/>
            <w:gridSpan w:val="5"/>
          </w:tcPr>
          <w:p>
            <w:pPr>
              <w:jc w:val="right"/>
              <w:ind w:right="1120"/>
              <w:spacing w:after="0"/>
              <w:rPr>
                <w:sz w:val="20"/>
                <w:szCs w:val="20"/>
                <w:color w:val="auto"/>
              </w:rPr>
            </w:pPr>
            <w:r>
              <w:rPr>
                <w:rFonts w:ascii="Arial" w:cs="Arial" w:eastAsia="Arial" w:hAnsi="Arial"/>
                <w:sz w:val="18"/>
                <w:szCs w:val="18"/>
                <w:color w:val="auto"/>
              </w:rPr>
              <w:t>June 30, 2016</w:t>
            </w:r>
          </w:p>
        </w:tc>
        <w:tc>
          <w:tcPr>
            <w:tcW w:w="180" w:type="dxa"/>
            <w:vAlign w:val="bottom"/>
          </w:tcPr>
          <w:p>
            <w:pPr>
              <w:spacing w:after="0"/>
              <w:rPr>
                <w:sz w:val="20"/>
                <w:szCs w:val="20"/>
                <w:color w:val="auto"/>
              </w:rPr>
            </w:pPr>
          </w:p>
        </w:tc>
        <w:tc>
          <w:tcPr>
            <w:tcW w:w="2740" w:type="dxa"/>
            <w:vAlign w:val="bottom"/>
            <w:gridSpan w:val="6"/>
          </w:tcPr>
          <w:p>
            <w:pPr>
              <w:ind w:left="720"/>
              <w:spacing w:after="0"/>
              <w:rPr>
                <w:sz w:val="20"/>
                <w:szCs w:val="20"/>
                <w:color w:val="auto"/>
              </w:rPr>
            </w:pPr>
            <w:r>
              <w:rPr>
                <w:rFonts w:ascii="Arial" w:cs="Arial" w:eastAsia="Arial" w:hAnsi="Arial"/>
                <w:sz w:val="18"/>
                <w:szCs w:val="18"/>
                <w:color w:val="auto"/>
              </w:rPr>
              <w:t>June 30, 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Amortized</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Amortized</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Amortized</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Fair Value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Fair Value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jc w:val="right"/>
              <w:ind w:right="82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agency securities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57,168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Agency mortgage-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backed securities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32,903</w:t>
            </w:r>
          </w:p>
        </w:tc>
        <w:tc>
          <w:tcPr>
            <w:tcW w:w="1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43,330</w:t>
            </w: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43,368</w:t>
            </w: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54,553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measured at net asset</w:t>
            </w: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6,622</w:t>
            </w:r>
          </w:p>
        </w:tc>
        <w:tc>
          <w:tcPr>
            <w:tcW w:w="18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5,097</w:t>
            </w:r>
          </w:p>
        </w:tc>
        <w:tc>
          <w:tcPr>
            <w:tcW w:w="2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860" w:type="dxa"/>
            <w:vAlign w:val="bottom"/>
          </w:tcPr>
          <w:p>
            <w:pPr>
              <w:spacing w:after="0" w:line="195" w:lineRule="exact"/>
              <w:rPr>
                <w:sz w:val="20"/>
                <w:szCs w:val="20"/>
                <w:color w:val="auto"/>
              </w:rPr>
            </w:pPr>
            <w:r>
              <w:rPr>
                <w:rFonts w:ascii="Arial" w:cs="Arial" w:eastAsia="Arial" w:hAnsi="Arial"/>
                <w:sz w:val="18"/>
                <w:szCs w:val="18"/>
                <w:color w:val="auto"/>
              </w:rPr>
              <w:t>Total available-for-sale</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97,641</w:t>
            </w:r>
          </w:p>
        </w:tc>
        <w:tc>
          <w:tcPr>
            <w:tcW w:w="2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96,693</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100,375</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100,572</w:t>
            </w:r>
          </w:p>
        </w:tc>
        <w:tc>
          <w:tcPr>
            <w:tcW w:w="2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102,744</w:t>
            </w:r>
          </w:p>
        </w:tc>
        <w:tc>
          <w:tcPr>
            <w:tcW w:w="100" w:type="dxa"/>
            <w:vAlign w:val="bottom"/>
          </w:tcPr>
          <w:p>
            <w:pPr>
              <w:spacing w:after="0"/>
              <w:rPr>
                <w:sz w:val="16"/>
                <w:szCs w:val="16"/>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101,908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Pr>
          <w:p>
            <w:pPr>
              <w:ind w:left="160"/>
              <w:spacing w:after="0" w:line="190" w:lineRule="exact"/>
              <w:rPr>
                <w:sz w:val="20"/>
                <w:szCs w:val="20"/>
                <w:color w:val="auto"/>
              </w:rPr>
            </w:pPr>
            <w:r>
              <w:rPr>
                <w:rFonts w:ascii="Arial" w:cs="Arial" w:eastAsia="Arial" w:hAnsi="Arial"/>
                <w:sz w:val="18"/>
                <w:szCs w:val="18"/>
                <w:color w:val="auto"/>
              </w:rPr>
              <w:t>securities</w:t>
            </w:r>
          </w:p>
        </w:tc>
        <w:tc>
          <w:tcPr>
            <w:tcW w:w="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table below sets forth certain information regarding the contractual maturities and weighted average yields of the Company’s securities portfolio at June 30, 2017. Actual maturities of mortgage-backed securities will differ from contractual maturities due both to scheduled amortization and prepayments.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w w:val="93"/>
              </w:rPr>
              <w:t>After One Year Through</w:t>
            </w:r>
          </w:p>
        </w:tc>
        <w:tc>
          <w:tcPr>
            <w:tcW w:w="60" w:type="dxa"/>
            <w:vAlign w:val="bottom"/>
          </w:tcPr>
          <w:p>
            <w:pPr>
              <w:spacing w:after="0"/>
              <w:rPr>
                <w:sz w:val="15"/>
                <w:szCs w:val="15"/>
                <w:color w:val="auto"/>
              </w:rPr>
            </w:pPr>
          </w:p>
        </w:tc>
        <w:tc>
          <w:tcPr>
            <w:tcW w:w="1740" w:type="dxa"/>
            <w:vAlign w:val="bottom"/>
            <w:gridSpan w:val="6"/>
          </w:tcPr>
          <w:p>
            <w:pPr>
              <w:ind w:left="40"/>
              <w:spacing w:after="0"/>
              <w:rPr>
                <w:sz w:val="20"/>
                <w:szCs w:val="20"/>
                <w:color w:val="auto"/>
              </w:rPr>
            </w:pPr>
            <w:r>
              <w:rPr>
                <w:rFonts w:ascii="Arial" w:cs="Arial" w:eastAsia="Arial" w:hAnsi="Arial"/>
                <w:sz w:val="14"/>
                <w:szCs w:val="14"/>
                <w:color w:val="auto"/>
              </w:rPr>
              <w:t>After Five Years Through</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4"/>
          </w:tcPr>
          <w:p>
            <w:pPr>
              <w:jc w:val="right"/>
              <w:ind w:right="580"/>
              <w:spacing w:after="0"/>
              <w:rPr>
                <w:sz w:val="20"/>
                <w:szCs w:val="20"/>
                <w:color w:val="auto"/>
              </w:rPr>
            </w:pPr>
            <w:r>
              <w:rPr>
                <w:rFonts w:ascii="Arial" w:cs="Arial" w:eastAsia="Arial" w:hAnsi="Arial"/>
                <w:sz w:val="14"/>
                <w:szCs w:val="14"/>
                <w:color w:val="auto"/>
              </w:rPr>
              <w:t>Within One Year</w:t>
            </w:r>
          </w:p>
        </w:tc>
        <w:tc>
          <w:tcPr>
            <w:tcW w:w="80" w:type="dxa"/>
            <w:vAlign w:val="bottom"/>
          </w:tcPr>
          <w:p>
            <w:pPr>
              <w:spacing w:after="0"/>
              <w:rPr>
                <w:sz w:val="15"/>
                <w:szCs w:val="15"/>
                <w:color w:val="auto"/>
              </w:rPr>
            </w:pPr>
          </w:p>
        </w:tc>
        <w:tc>
          <w:tcPr>
            <w:tcW w:w="1680" w:type="dxa"/>
            <w:vAlign w:val="bottom"/>
            <w:gridSpan w:val="4"/>
          </w:tcPr>
          <w:p>
            <w:pPr>
              <w:jc w:val="right"/>
              <w:ind w:right="660"/>
              <w:spacing w:after="0"/>
              <w:rPr>
                <w:sz w:val="20"/>
                <w:szCs w:val="20"/>
                <w:color w:val="auto"/>
              </w:rPr>
            </w:pPr>
            <w:r>
              <w:rPr>
                <w:rFonts w:ascii="Arial" w:cs="Arial" w:eastAsia="Arial" w:hAnsi="Arial"/>
                <w:sz w:val="14"/>
                <w:szCs w:val="14"/>
                <w:color w:val="auto"/>
              </w:rPr>
              <w:t>Five Years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4"/>
                <w:szCs w:val="14"/>
                <w:color w:val="auto"/>
                <w:w w:val="86"/>
              </w:rPr>
              <w:t>Ten Years</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tcPr>
          <w:p>
            <w:pPr>
              <w:jc w:val="right"/>
              <w:ind w:right="500"/>
              <w:spacing w:after="0"/>
              <w:rPr>
                <w:sz w:val="20"/>
                <w:szCs w:val="20"/>
                <w:color w:val="auto"/>
              </w:rPr>
            </w:pPr>
            <w:r>
              <w:rPr>
                <w:rFonts w:ascii="Arial" w:cs="Arial" w:eastAsia="Arial" w:hAnsi="Arial"/>
                <w:sz w:val="14"/>
                <w:szCs w:val="14"/>
                <w:color w:val="auto"/>
              </w:rPr>
              <w:t>After Ten Years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Total</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2420" w:type="dxa"/>
            <w:vAlign w:val="bottom"/>
          </w:tcPr>
          <w:p>
            <w:pPr>
              <w:spacing w:after="0"/>
              <w:rPr>
                <w:sz w:val="14"/>
                <w:szCs w:val="14"/>
                <w:color w:val="auto"/>
              </w:rPr>
            </w:pPr>
          </w:p>
        </w:tc>
        <w:tc>
          <w:tcPr>
            <w:tcW w:w="9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color w:val="auto"/>
              </w:rPr>
              <w:t>Fair Value</w:t>
            </w:r>
          </w:p>
        </w:tc>
        <w:tc>
          <w:tcPr>
            <w:tcW w:w="7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Yield</w:t>
            </w:r>
          </w:p>
        </w:tc>
        <w:tc>
          <w:tcPr>
            <w:tcW w:w="240" w:type="dxa"/>
            <w:vAlign w:val="bottom"/>
          </w:tcPr>
          <w:p>
            <w:pPr>
              <w:spacing w:after="0"/>
              <w:rPr>
                <w:sz w:val="14"/>
                <w:szCs w:val="14"/>
                <w:color w:val="auto"/>
              </w:rPr>
            </w:pPr>
          </w:p>
        </w:tc>
        <w:tc>
          <w:tcPr>
            <w:tcW w:w="9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color w:val="auto"/>
              </w:rPr>
              <w:t>Fair Value</w:t>
            </w:r>
          </w:p>
        </w:tc>
        <w:tc>
          <w:tcPr>
            <w:tcW w:w="6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Yield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color w:val="auto"/>
              </w:rPr>
              <w:t>Fair Value</w:t>
            </w:r>
          </w:p>
        </w:tc>
        <w:tc>
          <w:tcPr>
            <w:tcW w:w="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Yield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Fair Value</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Yield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color w:val="auto"/>
              </w:rPr>
              <w:t>Fair Value</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Yield</w:t>
            </w:r>
          </w:p>
        </w:tc>
        <w:tc>
          <w:tcPr>
            <w:tcW w:w="120" w:type="dxa"/>
            <w:vAlign w:val="bottom"/>
          </w:tcPr>
          <w:p>
            <w:pPr>
              <w:spacing w:after="0"/>
              <w:rPr>
                <w:sz w:val="14"/>
                <w:szCs w:val="14"/>
                <w:color w:val="auto"/>
              </w:rPr>
            </w:pPr>
          </w:p>
        </w:tc>
      </w:tr>
      <w:tr>
        <w:trPr>
          <w:trHeight w:val="169"/>
        </w:trPr>
        <w:tc>
          <w:tcPr>
            <w:tcW w:w="24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(Dollars in</w:t>
            </w:r>
          </w:p>
        </w:tc>
        <w:tc>
          <w:tcPr>
            <w:tcW w:w="220" w:type="dxa"/>
            <w:vAlign w:val="bottom"/>
          </w:tcPr>
          <w:p>
            <w:pPr>
              <w:spacing w:after="0"/>
              <w:rPr>
                <w:sz w:val="14"/>
                <w:szCs w:val="14"/>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2"/>
              </w:rPr>
              <w:t>thousands)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U.S. Government agency securities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26,225</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0.83%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30,943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0.97%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24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22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57,168</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0.91%</w:t>
            </w:r>
          </w:p>
        </w:tc>
      </w:tr>
      <w:tr>
        <w:trPr>
          <w:trHeight w:val="176"/>
        </w:trPr>
        <w:tc>
          <w:tcPr>
            <w:tcW w:w="2420" w:type="dxa"/>
            <w:vAlign w:val="bottom"/>
          </w:tcPr>
          <w:p>
            <w:pPr>
              <w:spacing w:after="0"/>
              <w:rPr>
                <w:sz w:val="20"/>
                <w:szCs w:val="20"/>
                <w:color w:val="auto"/>
              </w:rPr>
            </w:pPr>
            <w:r>
              <w:rPr>
                <w:rFonts w:ascii="Arial" w:cs="Arial" w:eastAsia="Arial" w:hAnsi="Arial"/>
                <w:sz w:val="14"/>
                <w:szCs w:val="14"/>
                <w:color w:val="auto"/>
              </w:rPr>
              <w:t>Agency mortgage-backed securities</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5,354</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0.92%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10,369</w:t>
            </w:r>
          </w:p>
        </w:tc>
        <w:tc>
          <w:tcPr>
            <w:tcW w:w="1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0.96%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17,180</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32,903</w:t>
            </w: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1.20%</w:t>
            </w:r>
          </w:p>
        </w:tc>
      </w:tr>
      <w:tr>
        <w:trPr>
          <w:trHeight w:val="170"/>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Other investments measured at net</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 value</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42"/>
        </w:trPr>
        <w:tc>
          <w:tcPr>
            <w:tcW w:w="242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color w:val="auto"/>
              </w:rPr>
              <w:t>Total available-for-sale securities</w:t>
            </w: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26,225</w:t>
            </w:r>
          </w:p>
        </w:tc>
        <w:tc>
          <w:tcPr>
            <w:tcW w:w="260" w:type="dxa"/>
            <w:vAlign w:val="bottom"/>
            <w:tcBorders>
              <w:top w:val="single" w:sz="8" w:color="CCEEFF"/>
            </w:tcBorders>
          </w:tcPr>
          <w:p>
            <w:pPr>
              <w:spacing w:after="0"/>
              <w:rPr>
                <w:sz w:val="12"/>
                <w:szCs w:val="12"/>
                <w:color w:val="auto"/>
              </w:rPr>
            </w:pPr>
          </w:p>
        </w:tc>
        <w:tc>
          <w:tcPr>
            <w:tcW w:w="940" w:type="dxa"/>
            <w:vAlign w:val="bottom"/>
            <w:tcBorders>
              <w:top w:val="single" w:sz="8" w:color="CCEEFF"/>
              <w:bottom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0.83%</w:t>
            </w: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36,297</w:t>
            </w:r>
          </w:p>
        </w:tc>
        <w:tc>
          <w:tcPr>
            <w:tcW w:w="220" w:type="dxa"/>
            <w:vAlign w:val="bottom"/>
            <w:tcBorders>
              <w:top w:val="single" w:sz="8" w:color="CCEEFF"/>
              <w:bottom w:val="single" w:sz="8" w:color="CCEEFF"/>
            </w:tcBorders>
          </w:tcPr>
          <w:p>
            <w:pPr>
              <w:spacing w:after="0"/>
              <w:rPr>
                <w:sz w:val="12"/>
                <w:szCs w:val="12"/>
                <w:color w:val="auto"/>
              </w:rPr>
            </w:pPr>
          </w:p>
        </w:tc>
        <w:tc>
          <w:tcPr>
            <w:tcW w:w="840" w:type="dxa"/>
            <w:vAlign w:val="bottom"/>
            <w:tcBorders>
              <w:top w:val="single" w:sz="8" w:color="CCEEFF"/>
              <w:bottom w:val="single" w:sz="8" w:color="CCEEFF"/>
            </w:tcBorders>
            <w:gridSpan w:val="2"/>
          </w:tcPr>
          <w:p>
            <w:pPr>
              <w:jc w:val="right"/>
              <w:ind w:right="60"/>
              <w:spacing w:after="0" w:line="142" w:lineRule="exact"/>
              <w:rPr>
                <w:sz w:val="20"/>
                <w:szCs w:val="20"/>
                <w:color w:val="auto"/>
              </w:rPr>
            </w:pPr>
            <w:r>
              <w:rPr>
                <w:rFonts w:ascii="Arial" w:cs="Arial" w:eastAsia="Arial" w:hAnsi="Arial"/>
                <w:sz w:val="14"/>
                <w:szCs w:val="14"/>
                <w:color w:val="auto"/>
              </w:rPr>
              <w:t>0.97%</w:t>
            </w:r>
          </w:p>
        </w:tc>
        <w:tc>
          <w:tcPr>
            <w:tcW w:w="6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10,369</w:t>
            </w:r>
          </w:p>
        </w:tc>
        <w:tc>
          <w:tcPr>
            <w:tcW w:w="2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60" w:type="dxa"/>
            <w:vAlign w:val="bottom"/>
            <w:tcBorders>
              <w:top w:val="single" w:sz="8" w:color="CCEEFF"/>
              <w:bottom w:val="single" w:sz="8" w:color="CCEEFF"/>
            </w:tcBorders>
            <w:gridSpan w:val="2"/>
          </w:tcPr>
          <w:p>
            <w:pPr>
              <w:jc w:val="right"/>
              <w:ind w:right="60"/>
              <w:spacing w:after="0" w:line="142" w:lineRule="exact"/>
              <w:rPr>
                <w:sz w:val="20"/>
                <w:szCs w:val="20"/>
                <w:color w:val="auto"/>
              </w:rPr>
            </w:pPr>
            <w:r>
              <w:rPr>
                <w:rFonts w:ascii="Arial" w:cs="Arial" w:eastAsia="Arial" w:hAnsi="Arial"/>
                <w:sz w:val="14"/>
                <w:szCs w:val="14"/>
                <w:color w:val="auto"/>
              </w:rPr>
              <w:t>0.96%</w:t>
            </w:r>
          </w:p>
        </w:tc>
        <w:tc>
          <w:tcPr>
            <w:tcW w:w="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17,180</w:t>
            </w:r>
          </w:p>
        </w:tc>
        <w:tc>
          <w:tcPr>
            <w:tcW w:w="200" w:type="dxa"/>
            <w:vAlign w:val="bottom"/>
            <w:tcBorders>
              <w:top w:val="single" w:sz="8" w:color="CCEEFF"/>
              <w:bottom w:val="single" w:sz="8" w:color="CCEEFF"/>
            </w:tcBorders>
          </w:tcPr>
          <w:p>
            <w:pPr>
              <w:spacing w:after="0"/>
              <w:rPr>
                <w:sz w:val="12"/>
                <w:szCs w:val="12"/>
                <w:color w:val="auto"/>
              </w:rPr>
            </w:pPr>
          </w:p>
        </w:tc>
        <w:tc>
          <w:tcPr>
            <w:tcW w:w="860" w:type="dxa"/>
            <w:vAlign w:val="bottom"/>
            <w:tcBorders>
              <w:top w:val="single" w:sz="8" w:color="CCEEFF"/>
              <w:bottom w:val="single" w:sz="8" w:color="CCEEFF"/>
            </w:tcBorders>
            <w:gridSpan w:val="2"/>
          </w:tcPr>
          <w:p>
            <w:pPr>
              <w:jc w:val="right"/>
              <w:ind w:right="60"/>
              <w:spacing w:after="0" w:line="142" w:lineRule="exact"/>
              <w:rPr>
                <w:sz w:val="20"/>
                <w:szCs w:val="20"/>
                <w:color w:val="auto"/>
              </w:rPr>
            </w:pPr>
            <w:r>
              <w:rPr>
                <w:rFonts w:ascii="Arial" w:cs="Arial" w:eastAsia="Arial" w:hAnsi="Arial"/>
                <w:sz w:val="14"/>
                <w:szCs w:val="14"/>
                <w:color w:val="auto"/>
              </w:rPr>
              <w:t>1.44%</w:t>
            </w:r>
          </w:p>
        </w:tc>
        <w:tc>
          <w:tcPr>
            <w:tcW w:w="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90,071</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1.02%</w:t>
            </w:r>
          </w:p>
        </w:tc>
      </w:tr>
      <w:tr>
        <w:trPr>
          <w:trHeight w:val="20"/>
        </w:trPr>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other investments measured at net asset value have no scheduled maturity date. However, the Company’s investments can be redeemed quarterly and daily at the closing net asset value.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Management reviews the portfolio of investments on an ongoing basis to determine if there have been any other-than-temporary declines in value. No other-than-temporary impairment expense was recognized during fiscal 2017 or fiscal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Loans, including loans held-for-sale, totaled $783.9 million at June 30, 2017, compared to $700.0 million at June 30, 2016 and $621.2 million at June 30, 2015. The increase of $83.9 million, or 12.0%, at June 30, 2017 was principally due to net increases of $71.4 million in commercial real estate and $29.7 million in commercial and industrial, offset by a net decrease of $12.8 million in residential loans, $1.6 million in consumer loans and $2.8 million in loans held for sale. During fiscal 2017, the LASG originated $237.7 million in loans and the LASG purchased $112.8 million in loans, consisting principally of commercial real estate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(excluding loans held-for-sale) at the dates indicated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right"/>
              <w:ind w:right="700"/>
              <w:spacing w:after="0"/>
              <w:rPr>
                <w:sz w:val="20"/>
                <w:szCs w:val="20"/>
                <w:color w:val="auto"/>
              </w:rPr>
            </w:pPr>
            <w:r>
              <w:rPr>
                <w:rFonts w:ascii="Arial" w:cs="Arial" w:eastAsia="Arial" w:hAnsi="Arial"/>
                <w:sz w:val="14"/>
                <w:szCs w:val="14"/>
                <w:color w:val="auto"/>
              </w:rPr>
              <w:t>June 30, 2017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4"/>
          </w:tcPr>
          <w:p>
            <w:pPr>
              <w:jc w:val="right"/>
              <w:ind w:right="760"/>
              <w:spacing w:after="0"/>
              <w:rPr>
                <w:sz w:val="20"/>
                <w:szCs w:val="20"/>
                <w:color w:val="auto"/>
              </w:rPr>
            </w:pPr>
            <w:r>
              <w:rPr>
                <w:rFonts w:ascii="Arial" w:cs="Arial" w:eastAsia="Arial" w:hAnsi="Arial"/>
                <w:sz w:val="14"/>
                <w:szCs w:val="14"/>
                <w:color w:val="auto"/>
              </w:rPr>
              <w:t>June 30, 2016</w:t>
            </w:r>
          </w:p>
        </w:tc>
        <w:tc>
          <w:tcPr>
            <w:tcW w:w="100" w:type="dxa"/>
            <w:vAlign w:val="bottom"/>
          </w:tcPr>
          <w:p>
            <w:pPr>
              <w:spacing w:after="0"/>
              <w:rPr>
                <w:sz w:val="16"/>
                <w:szCs w:val="16"/>
                <w:color w:val="auto"/>
              </w:rPr>
            </w:pPr>
          </w:p>
        </w:tc>
        <w:tc>
          <w:tcPr>
            <w:tcW w:w="1900" w:type="dxa"/>
            <w:vAlign w:val="bottom"/>
            <w:gridSpan w:val="4"/>
          </w:tcPr>
          <w:p>
            <w:pPr>
              <w:jc w:val="right"/>
              <w:ind w:right="720"/>
              <w:spacing w:after="0"/>
              <w:rPr>
                <w:sz w:val="20"/>
                <w:szCs w:val="20"/>
                <w:color w:val="auto"/>
              </w:rPr>
            </w:pPr>
            <w:r>
              <w:rPr>
                <w:rFonts w:ascii="Arial" w:cs="Arial" w:eastAsia="Arial" w:hAnsi="Arial"/>
                <w:sz w:val="14"/>
                <w:szCs w:val="14"/>
                <w:color w:val="auto"/>
              </w:rPr>
              <w:t>June 30, 2015</w:t>
            </w:r>
          </w:p>
        </w:tc>
        <w:tc>
          <w:tcPr>
            <w:tcW w:w="120" w:type="dxa"/>
            <w:vAlign w:val="bottom"/>
          </w:tcPr>
          <w:p>
            <w:pPr>
              <w:spacing w:after="0"/>
              <w:rPr>
                <w:sz w:val="16"/>
                <w:szCs w:val="16"/>
                <w:color w:val="auto"/>
              </w:rPr>
            </w:pPr>
          </w:p>
        </w:tc>
        <w:tc>
          <w:tcPr>
            <w:tcW w:w="1900" w:type="dxa"/>
            <w:vAlign w:val="bottom"/>
            <w:gridSpan w:val="4"/>
          </w:tcPr>
          <w:p>
            <w:pPr>
              <w:jc w:val="right"/>
              <w:ind w:right="720"/>
              <w:spacing w:after="0"/>
              <w:rPr>
                <w:sz w:val="20"/>
                <w:szCs w:val="20"/>
                <w:color w:val="auto"/>
              </w:rPr>
            </w:pPr>
            <w:r>
              <w:rPr>
                <w:rFonts w:ascii="Arial" w:cs="Arial" w:eastAsia="Arial" w:hAnsi="Arial"/>
                <w:sz w:val="14"/>
                <w:szCs w:val="14"/>
                <w:color w:val="auto"/>
              </w:rPr>
              <w:t>June 30, 2014</w:t>
            </w:r>
          </w:p>
        </w:tc>
        <w:tc>
          <w:tcPr>
            <w:tcW w:w="100" w:type="dxa"/>
            <w:vAlign w:val="bottom"/>
          </w:tcPr>
          <w:p>
            <w:pPr>
              <w:spacing w:after="0"/>
              <w:rPr>
                <w:sz w:val="16"/>
                <w:szCs w:val="16"/>
                <w:color w:val="auto"/>
              </w:rPr>
            </w:pPr>
          </w:p>
        </w:tc>
        <w:tc>
          <w:tcPr>
            <w:tcW w:w="1800" w:type="dxa"/>
            <w:vAlign w:val="bottom"/>
            <w:gridSpan w:val="4"/>
          </w:tcPr>
          <w:p>
            <w:pPr>
              <w:jc w:val="right"/>
              <w:ind w:right="620"/>
              <w:spacing w:after="0"/>
              <w:rPr>
                <w:sz w:val="20"/>
                <w:szCs w:val="20"/>
                <w:color w:val="auto"/>
              </w:rPr>
            </w:pPr>
            <w:r>
              <w:rPr>
                <w:rFonts w:ascii="Arial" w:cs="Arial" w:eastAsia="Arial" w:hAnsi="Arial"/>
                <w:sz w:val="14"/>
                <w:szCs w:val="14"/>
                <w:color w:val="auto"/>
              </w:rPr>
              <w:t>June 30, 2013</w:t>
            </w:r>
          </w:p>
        </w:tc>
      </w:tr>
      <w:tr>
        <w:trPr>
          <w:trHeight w:val="170"/>
        </w:trPr>
        <w:tc>
          <w:tcPr>
            <w:tcW w:w="1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Percent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Percent</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Percent</w:t>
            </w:r>
          </w:p>
        </w:tc>
        <w:tc>
          <w:tcPr>
            <w:tcW w:w="120" w:type="dxa"/>
            <w:vAlign w:val="bottom"/>
          </w:tcPr>
          <w:p>
            <w:pPr>
              <w:spacing w:after="0"/>
              <w:rPr>
                <w:sz w:val="14"/>
                <w:szCs w:val="14"/>
                <w:color w:val="auto"/>
              </w:rPr>
            </w:pPr>
          </w:p>
        </w:tc>
      </w:tr>
      <w:tr>
        <w:trPr>
          <w:trHeight w:val="181"/>
        </w:trPr>
        <w:tc>
          <w:tcPr>
            <w:tcW w:w="1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of Total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of Total</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of Total</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of Total</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of Total</w:t>
            </w:r>
          </w:p>
        </w:tc>
        <w:tc>
          <w:tcPr>
            <w:tcW w:w="120" w:type="dxa"/>
            <w:vAlign w:val="bottom"/>
          </w:tcPr>
          <w:p>
            <w:pPr>
              <w:spacing w:after="0"/>
              <w:rPr>
                <w:sz w:val="15"/>
                <w:szCs w:val="15"/>
                <w:color w:val="auto"/>
              </w:rPr>
            </w:pPr>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auto"/>
                <w:w w:val="98"/>
              </w:rPr>
              <w:t>(Dollars in</w:t>
            </w:r>
          </w:p>
        </w:tc>
        <w:tc>
          <w:tcPr>
            <w:tcW w:w="1000" w:type="dxa"/>
            <w:vAlign w:val="bottom"/>
            <w:gridSpan w:val="2"/>
          </w:tcPr>
          <w:p>
            <w:pPr>
              <w:jc w:val="right"/>
              <w:ind w:right="288"/>
              <w:spacing w:after="0"/>
              <w:rPr>
                <w:sz w:val="20"/>
                <w:szCs w:val="20"/>
                <w:color w:val="auto"/>
              </w:rPr>
            </w:pPr>
            <w:r>
              <w:rPr>
                <w:rFonts w:ascii="Arial" w:cs="Arial" w:eastAsia="Arial" w:hAnsi="Arial"/>
                <w:sz w:val="14"/>
                <w:szCs w:val="14"/>
                <w:color w:val="auto"/>
                <w:w w:val="89"/>
              </w:rPr>
              <w:t>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Residential real</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estate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101,168</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113,962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132,669</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21.67%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148,634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127,829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29.36%</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Commercial real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1"/>
        </w:trPr>
        <w:tc>
          <w:tcPr>
            <w:tcW w:w="1280" w:type="dxa"/>
            <w:vAlign w:val="bottom"/>
          </w:tcPr>
          <w:p>
            <w:pPr>
              <w:ind w:left="18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498,004</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63.91%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426,568</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61.60%</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348,676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56.96%</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316,098</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61.21%</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264,490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60.75%</w:t>
            </w: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Commercial and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industrial</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175,654</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145,956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123,133</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41,800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29,720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6.83%</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Consumer and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1280" w:type="dxa"/>
            <w:vAlign w:val="bottom"/>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4,369</w:t>
            </w: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5,950</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7,659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9,884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13,337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3.06%</w:t>
            </w:r>
          </w:p>
        </w:tc>
      </w:tr>
      <w:tr>
        <w:trPr>
          <w:trHeight w:val="20"/>
        </w:trPr>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Total loans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779,195</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692,436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612,137</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516,416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435,376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Less: Allowance</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1280" w:type="dxa"/>
            <w:vAlign w:val="bottom"/>
          </w:tcPr>
          <w:p>
            <w:pPr>
              <w:ind w:left="180"/>
              <w:spacing w:after="0"/>
              <w:rPr>
                <w:sz w:val="20"/>
                <w:szCs w:val="20"/>
                <w:color w:val="auto"/>
              </w:rPr>
            </w:pPr>
            <w:r>
              <w:rPr>
                <w:rFonts w:ascii="Arial" w:cs="Arial" w:eastAsia="Arial" w:hAnsi="Arial"/>
                <w:sz w:val="14"/>
                <w:szCs w:val="14"/>
                <w:color w:val="auto"/>
              </w:rPr>
              <w:t>for loan losses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3,665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2,350</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1,926</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1,367</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1,143</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Loans, net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775,530</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690,086</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610,211</w:t>
            </w:r>
          </w:p>
        </w:tc>
        <w:tc>
          <w:tcPr>
            <w:tcW w:w="7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515,049</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434,233</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7"/>
              </w:rPr>
              <w:t>June 30, 2017</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94"/>
              </w:rPr>
              <w:t>Community</w:t>
            </w:r>
          </w:p>
        </w:tc>
        <w:tc>
          <w:tcPr>
            <w:tcW w:w="260" w:type="dxa"/>
            <w:vAlign w:val="bottom"/>
          </w:tcPr>
          <w:p>
            <w:pPr>
              <w:spacing w:after="0"/>
              <w:rPr>
                <w:sz w:val="16"/>
                <w:szCs w:val="16"/>
                <w:color w:val="auto"/>
              </w:rPr>
            </w:pPr>
          </w:p>
        </w:tc>
        <w:tc>
          <w:tcPr>
            <w:tcW w:w="1200" w:type="dxa"/>
            <w:vAlign w:val="bottom"/>
            <w:vMerge w:val="restart"/>
          </w:tcPr>
          <w:p>
            <w:pPr>
              <w:jc w:val="right"/>
              <w:ind w:right="450"/>
              <w:spacing w:after="0"/>
              <w:rPr>
                <w:sz w:val="20"/>
                <w:szCs w:val="20"/>
                <w:color w:val="auto"/>
              </w:rPr>
            </w:pPr>
            <w:r>
              <w:rPr>
                <w:rFonts w:ascii="Arial" w:cs="Arial" w:eastAsia="Arial" w:hAnsi="Arial"/>
                <w:sz w:val="18"/>
                <w:szCs w:val="18"/>
                <w:color w:val="auto"/>
              </w:rPr>
              <w:t>LASG</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8"/>
              </w:rPr>
              <w:t>SBA Division</w:t>
            </w:r>
          </w:p>
        </w:tc>
        <w:tc>
          <w:tcPr>
            <w:tcW w:w="300" w:type="dxa"/>
            <w:vAlign w:val="bottom"/>
          </w:tcPr>
          <w:p>
            <w:pPr>
              <w:spacing w:after="0"/>
              <w:rPr>
                <w:sz w:val="16"/>
                <w:szCs w:val="16"/>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5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7"/>
              </w:rPr>
              <w:t>Percent of Total</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162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6"/>
              </w:rPr>
              <w:t>Banking Division</w:t>
            </w:r>
          </w:p>
        </w:tc>
        <w:tc>
          <w:tcPr>
            <w:tcW w:w="2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79"/>
              </w:rPr>
              <w:t>(Dollars in thousands)</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81,538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83,759</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10.75%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13,931</w:t>
            </w: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13,931</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340"/>
              <w:spacing w:after="0"/>
              <w:rPr>
                <w:sz w:val="20"/>
                <w:szCs w:val="20"/>
                <w:color w:val="auto"/>
              </w:rPr>
            </w:pPr>
            <w:r>
              <w:rPr>
                <w:rFonts w:ascii="Arial" w:cs="Arial" w:eastAsia="Arial" w:hAnsi="Arial"/>
                <w:sz w:val="18"/>
                <w:szCs w:val="18"/>
                <w:color w:val="auto"/>
              </w:rPr>
              <w:t>owner occupied</w:t>
            </w:r>
          </w:p>
        </w:tc>
        <w:tc>
          <w:tcPr>
            <w:tcW w:w="1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23,638</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90,154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23,720</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137,512</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17.65%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occupied</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13,502</w:t>
            </w:r>
          </w:p>
        </w:tc>
        <w:tc>
          <w:tcPr>
            <w:tcW w:w="2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83,446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21,820</w:t>
            </w:r>
          </w:p>
        </w:tc>
        <w:tc>
          <w:tcPr>
            <w:tcW w:w="3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118,768</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12,349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154,823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7,296</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174,468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22.39%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149,327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330,515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52,965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532,807</w:t>
            </w: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68.38%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owner occupied</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134,970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134,970</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340"/>
              <w:spacing w:after="0"/>
              <w:rPr>
                <w:sz w:val="20"/>
                <w:szCs w:val="20"/>
                <w:color w:val="auto"/>
              </w:rPr>
            </w:pPr>
            <w:r>
              <w:rPr>
                <w:rFonts w:ascii="Arial" w:cs="Arial" w:eastAsia="Arial" w:hAnsi="Arial"/>
                <w:sz w:val="18"/>
                <w:szCs w:val="18"/>
                <w:color w:val="auto"/>
              </w:rPr>
              <w:t>occupied</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106,754</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246,388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246,388</w:t>
            </w: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31.62%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576,903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779,195</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7"/>
              </w:rPr>
              <w:t>June 30, 2016</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94"/>
              </w:rPr>
              <w:t>Community</w:t>
            </w:r>
          </w:p>
        </w:tc>
        <w:tc>
          <w:tcPr>
            <w:tcW w:w="260" w:type="dxa"/>
            <w:vAlign w:val="bottom"/>
          </w:tcPr>
          <w:p>
            <w:pPr>
              <w:spacing w:after="0"/>
              <w:rPr>
                <w:sz w:val="16"/>
                <w:szCs w:val="16"/>
                <w:color w:val="auto"/>
              </w:rPr>
            </w:pPr>
          </w:p>
        </w:tc>
        <w:tc>
          <w:tcPr>
            <w:tcW w:w="1200" w:type="dxa"/>
            <w:vAlign w:val="bottom"/>
            <w:vMerge w:val="restart"/>
          </w:tcPr>
          <w:p>
            <w:pPr>
              <w:jc w:val="right"/>
              <w:ind w:right="450"/>
              <w:spacing w:after="0"/>
              <w:rPr>
                <w:sz w:val="20"/>
                <w:szCs w:val="20"/>
                <w:color w:val="auto"/>
              </w:rPr>
            </w:pPr>
            <w:r>
              <w:rPr>
                <w:rFonts w:ascii="Arial" w:cs="Arial" w:eastAsia="Arial" w:hAnsi="Arial"/>
                <w:sz w:val="18"/>
                <w:szCs w:val="18"/>
                <w:color w:val="auto"/>
              </w:rPr>
              <w:t>LASG</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8"/>
              </w:rPr>
              <w:t>SBA Division</w:t>
            </w:r>
          </w:p>
        </w:tc>
        <w:tc>
          <w:tcPr>
            <w:tcW w:w="300" w:type="dxa"/>
            <w:vAlign w:val="bottom"/>
          </w:tcPr>
          <w:p>
            <w:pPr>
              <w:spacing w:after="0"/>
              <w:rPr>
                <w:sz w:val="16"/>
                <w:szCs w:val="16"/>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5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7"/>
              </w:rPr>
              <w:t>Percent of Total</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162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6"/>
              </w:rPr>
              <w:t>Banking Division</w:t>
            </w:r>
          </w:p>
        </w:tc>
        <w:tc>
          <w:tcPr>
            <w:tcW w:w="2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79"/>
              </w:rPr>
              <w:t>(Dollars in thousands)</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93,258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93,391</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13.49%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18,012</w:t>
            </w: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18,012</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340"/>
              <w:spacing w:after="0"/>
              <w:rPr>
                <w:sz w:val="20"/>
                <w:szCs w:val="20"/>
                <w:color w:val="auto"/>
              </w:rPr>
            </w:pPr>
            <w:r>
              <w:rPr>
                <w:rFonts w:ascii="Arial" w:cs="Arial" w:eastAsia="Arial" w:hAnsi="Arial"/>
                <w:sz w:val="18"/>
                <w:szCs w:val="18"/>
                <w:color w:val="auto"/>
              </w:rPr>
              <w:t>owner occupied</w:t>
            </w:r>
          </w:p>
        </w:tc>
        <w:tc>
          <w:tcPr>
            <w:tcW w:w="1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49,514</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52,744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5,639</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107,897</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occupied</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20,578</w:t>
            </w:r>
          </w:p>
        </w:tc>
        <w:tc>
          <w:tcPr>
            <w:tcW w:w="2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46,727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14,414</w:t>
            </w:r>
          </w:p>
        </w:tc>
        <w:tc>
          <w:tcPr>
            <w:tcW w:w="3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81,719</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16,069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123,447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6,242</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145,758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21.05%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203,381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222,918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452,727</w:t>
            </w: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65.38%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2,559</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owner occupied</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142,286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142,286</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340"/>
              <w:spacing w:after="0"/>
              <w:rPr>
                <w:sz w:val="20"/>
                <w:szCs w:val="20"/>
                <w:color w:val="auto"/>
              </w:rPr>
            </w:pPr>
            <w:r>
              <w:rPr>
                <w:rFonts w:ascii="Arial" w:cs="Arial" w:eastAsia="Arial" w:hAnsi="Arial"/>
                <w:sz w:val="18"/>
                <w:szCs w:val="18"/>
                <w:color w:val="auto"/>
              </w:rPr>
              <w:t>occupied</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94,666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94,666</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239,709</w:t>
            </w: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34.62%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203,381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462,627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3"/>
        </w:trPr>
        <w:tc>
          <w:tcPr>
            <w:tcW w:w="2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7"/>
              </w:rPr>
              <w:t>June 30, 2015</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94"/>
              </w:rPr>
              <w:t>Community</w:t>
            </w:r>
          </w:p>
        </w:tc>
        <w:tc>
          <w:tcPr>
            <w:tcW w:w="260" w:type="dxa"/>
            <w:vAlign w:val="bottom"/>
          </w:tcPr>
          <w:p>
            <w:pPr>
              <w:spacing w:after="0"/>
              <w:rPr>
                <w:sz w:val="16"/>
                <w:szCs w:val="16"/>
                <w:color w:val="auto"/>
              </w:rPr>
            </w:pPr>
          </w:p>
        </w:tc>
        <w:tc>
          <w:tcPr>
            <w:tcW w:w="1200" w:type="dxa"/>
            <w:vAlign w:val="bottom"/>
            <w:vMerge w:val="restart"/>
          </w:tcPr>
          <w:p>
            <w:pPr>
              <w:jc w:val="right"/>
              <w:ind w:right="450"/>
              <w:spacing w:after="0"/>
              <w:rPr>
                <w:sz w:val="20"/>
                <w:szCs w:val="20"/>
                <w:color w:val="auto"/>
              </w:rPr>
            </w:pPr>
            <w:r>
              <w:rPr>
                <w:rFonts w:ascii="Arial" w:cs="Arial" w:eastAsia="Arial" w:hAnsi="Arial"/>
                <w:sz w:val="18"/>
                <w:szCs w:val="18"/>
                <w:color w:val="auto"/>
              </w:rPr>
              <w:t>LASG</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8"/>
              </w:rPr>
              <w:t>SBA Division</w:t>
            </w:r>
          </w:p>
        </w:tc>
        <w:tc>
          <w:tcPr>
            <w:tcW w:w="300" w:type="dxa"/>
            <w:vAlign w:val="bottom"/>
          </w:tcPr>
          <w:p>
            <w:pPr>
              <w:spacing w:after="0"/>
              <w:rPr>
                <w:sz w:val="16"/>
                <w:szCs w:val="16"/>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5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7"/>
              </w:rPr>
              <w:t>Percent of Total</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162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6"/>
              </w:rPr>
              <w:t>Banking Division</w:t>
            </w:r>
          </w:p>
        </w:tc>
        <w:tc>
          <w:tcPr>
            <w:tcW w:w="2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79"/>
              </w:rPr>
              <w:t>(Dollars in thousands)</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106,138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106,275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17.37%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24,326</w:t>
            </w: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24,326</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340"/>
              <w:spacing w:after="0"/>
              <w:rPr>
                <w:sz w:val="20"/>
                <w:szCs w:val="20"/>
                <w:color w:val="auto"/>
              </w:rPr>
            </w:pPr>
            <w:r>
              <w:rPr>
                <w:rFonts w:ascii="Arial" w:cs="Arial" w:eastAsia="Arial" w:hAnsi="Arial"/>
                <w:sz w:val="18"/>
                <w:szCs w:val="18"/>
                <w:color w:val="auto"/>
              </w:rPr>
              <w:t>owner occupied</w:t>
            </w:r>
          </w:p>
        </w:tc>
        <w:tc>
          <w:tcPr>
            <w:tcW w:w="1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48,933</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53,051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3,865</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105,849</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17.29%</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occupied</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21,657</w:t>
            </w:r>
          </w:p>
        </w:tc>
        <w:tc>
          <w:tcPr>
            <w:tcW w:w="2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4,461</w:t>
            </w:r>
          </w:p>
        </w:tc>
        <w:tc>
          <w:tcPr>
            <w:tcW w:w="3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42,625</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108,577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2,637</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122,811</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220,310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178,272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10,963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409,545</w:t>
            </w: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66.90%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2,068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owner occupied</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128,182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128,182</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20.94%</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340"/>
              <w:spacing w:after="0"/>
              <w:rPr>
                <w:sz w:val="20"/>
                <w:szCs w:val="20"/>
                <w:color w:val="auto"/>
              </w:rPr>
            </w:pPr>
            <w:r>
              <w:rPr>
                <w:rFonts w:ascii="Arial" w:cs="Arial" w:eastAsia="Arial" w:hAnsi="Arial"/>
                <w:sz w:val="18"/>
                <w:szCs w:val="18"/>
                <w:color w:val="auto"/>
              </w:rPr>
              <w:t>occupied</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72,069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72,069</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11.77%</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202,592</w:t>
            </w: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33.10%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380,864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scheduled maturity of the Company’s loan portfolio at June 30, 2017. Demand loans, loans having no stated repayment schedule, and overdraft loans are reported as being due in less than one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ind w:left="1300"/>
              <w:spacing w:after="0"/>
              <w:rPr>
                <w:sz w:val="20"/>
                <w:szCs w:val="20"/>
                <w:color w:val="auto"/>
              </w:rPr>
            </w:pPr>
            <w:r>
              <w:rPr>
                <w:rFonts w:ascii="Arial" w:cs="Arial" w:eastAsia="Arial" w:hAnsi="Arial"/>
                <w:sz w:val="18"/>
                <w:szCs w:val="18"/>
                <w:color w:val="auto"/>
                <w:w w:val="91"/>
              </w:rPr>
              <w:t>Scheduled Loan Maturities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1"/>
              </w:rPr>
              <w:t>After One Year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2"/>
              </w:rPr>
              <w:t>After Five Years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Within One Year</w:t>
            </w:r>
          </w:p>
        </w:tc>
        <w:tc>
          <w:tcPr>
            <w:tcW w:w="120" w:type="dxa"/>
            <w:vAlign w:val="bottom"/>
          </w:tcPr>
          <w:p>
            <w:pPr>
              <w:spacing w:after="0"/>
              <w:rPr>
                <w:sz w:val="20"/>
                <w:szCs w:val="20"/>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Through Five Years</w:t>
            </w:r>
          </w:p>
        </w:tc>
        <w:tc>
          <w:tcPr>
            <w:tcW w:w="160" w:type="dxa"/>
            <w:vAlign w:val="bottom"/>
          </w:tcPr>
          <w:p>
            <w:pPr>
              <w:spacing w:after="0"/>
              <w:rPr>
                <w:sz w:val="20"/>
                <w:szCs w:val="20"/>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Through Ten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After Ten Years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Total</w:t>
            </w:r>
          </w:p>
        </w:tc>
      </w:tr>
      <w:tr>
        <w:trPr>
          <w:trHeight w:val="210"/>
        </w:trPr>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3"/>
              </w:rPr>
              <w:t>(Dollars 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Originated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74,084</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97,691</w:t>
            </w: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Purchased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3,477</w:t>
            </w: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46,056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70,174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76,073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63,978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256,281</w:t>
            </w:r>
          </w:p>
        </w:tc>
      </w:tr>
      <w:tr>
        <w:trPr>
          <w:trHeight w:val="216"/>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241,723</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Non-mortgage loans: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39,096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123,186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10,756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174,468</w:t>
            </w:r>
          </w:p>
        </w:tc>
      </w:tr>
      <w:tr>
        <w:trPr>
          <w:trHeight w:val="216"/>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r>
      <w:tr>
        <w:trPr>
          <w:trHeight w:val="250"/>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loans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277,086</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134,753</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0" w:type="dxa"/>
            <w:vAlign w:val="bottom"/>
            <w:gridSpan w:val="9"/>
          </w:tcPr>
          <w:p>
            <w:pPr>
              <w:jc w:val="center"/>
              <w:ind w:right="200"/>
              <w:spacing w:after="0"/>
              <w:rPr>
                <w:sz w:val="20"/>
                <w:szCs w:val="20"/>
                <w:color w:val="auto"/>
              </w:rPr>
            </w:pPr>
            <w:r>
              <w:rPr>
                <w:rFonts w:ascii="Arial" w:cs="Arial" w:eastAsia="Arial" w:hAnsi="Arial"/>
                <w:sz w:val="18"/>
                <w:szCs w:val="18"/>
                <w:color w:val="auto"/>
                <w:w w:val="90"/>
              </w:rPr>
              <w:t>Loans Due After One Year, by Interest Rate Type</w:t>
            </w:r>
          </w:p>
        </w:tc>
      </w:tr>
      <w:tr>
        <w:trPr>
          <w:trHeight w:val="195"/>
        </w:trPr>
        <w:tc>
          <w:tcPr>
            <w:tcW w:w="40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20"/>
              <w:spacing w:after="0" w:line="195" w:lineRule="exact"/>
              <w:rPr>
                <w:sz w:val="20"/>
                <w:szCs w:val="20"/>
                <w:color w:val="auto"/>
              </w:rPr>
            </w:pPr>
            <w:r>
              <w:rPr>
                <w:rFonts w:ascii="Arial" w:cs="Arial" w:eastAsia="Arial" w:hAnsi="Arial"/>
                <w:sz w:val="18"/>
                <w:szCs w:val="18"/>
                <w:color w:val="auto"/>
                <w:w w:val="94"/>
              </w:rPr>
              <w:t>Floating or</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w w:val="86"/>
              </w:rPr>
              <w:t>Predetermined rate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Adjustable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210"/>
        </w:trPr>
        <w:tc>
          <w:tcPr>
            <w:tcW w:w="4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(Dollars in thousands)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Originated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43,719</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51,616</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95,335</w:t>
            </w: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Purchased</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3,477</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10,756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199,469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210,225</w:t>
            </w: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210,546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Non-mortgage loans: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122,922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135,372</w:t>
            </w: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1,136</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4,195</w:t>
            </w: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151,255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509,031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660,286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74.9% of total portfolio loans at June 30, 2017 were variable rate products, compared to 62.7% at June 30, 2016.</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Certain purchased loans have been identified as having evidence of credit deterioration since their origination, and it is probable that the Company will not collect all contractually required principal and interest payments. Purchased loans are accounted for using the measurement provisions set forth in ASC 310-</w:t>
      </w:r>
    </w:p>
    <w:p>
      <w:pPr>
        <w:ind w:right="180" w:firstLine="8"/>
        <w:spacing w:after="0" w:line="255"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nonaccretable difference represents a loan's contractually required payments receivable in excess of the amount of cash flows expected to be collected. Improvements in expected cash flows result in prospective yield adjustments. The effect of a decrease in expected cash flows due to further credit deterioration are recorded through the allowance for loan losses.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Premises and equipment, net, decreased by $864 thousand, or 11.1%, to $6.9 million at June 30, 2017, compared to $7.8 million at June 30, 2016. The decrease was primarily due to depreciation of $1.4 million in the year, offset by fixed assets acquired.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Real estate owned and other repossessed collateral, net, decreased by $826 thousand, or 50%, to $826 thousand at June 30, 2017, compared to $1.7 million at June 30, 2016. The decrease was primarily due to the sale or refinance of real estate owned during the year. The real estate and personal property collateral for commercial and consumer loans are written down to fair value upon transfer to acquired assets.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cash surrender value of the Company's BOLI assets increased $454 thousand, or 2.9%, to $16.2 million at June 30, 2017, compared to $15.7 million at June 30, 2016. BOLI assets are invested in the general account of three insurance companies and in separate accounts of a fourth insurance company. A general account policy's cash surrender value is supported by the general assets of the insurance company. A separate account policy's cash surrender value is supported by assets segregated from the general assets of the insurance company. Standard and Poor's rated these companies A+ or better at June 30, 2017. Interest earnings, net of mortality costs, increase the cash surrender value. These interest earnings are based on interest rates that reset each year, and are subject to minimum guaranteed rates. These increases in cash surrender value are recognized in other income and are not subject to income taxes. Management considers BOLI an illiquid asset. BOLI represented 10.8% of the Company's total capital at June 30, 2017.</w:t>
      </w:r>
    </w:p>
    <w:p>
      <w:pPr>
        <w:sectPr>
          <w:pgSz w:w="11900" w:h="16838" w:orient="portrait"/>
          <w:cols w:equalWidth="0" w:num="1">
            <w:col w:w="11420"/>
          </w:cols>
          <w:pgMar w:left="240" w:top="118" w:right="239" w:bottom="973"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973"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Servicing rights totaled $2.8 million and $1.8 million at June 30, 2017 and June 30, 2016, respectively. The $1.0 million increase was the result of SBA loans sold during the year, offset by amortization and impairment booked during fiscal 2017.</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Intangible assets totaled $1.3 million and $1.7 million at June 30, 2017 and June 30, 2016, respectively. The $432 thousand decrease was the result of core deposit intangible amortization during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June 30, 2017, core deposits, which the Company defines as non-maturity deposits and non-brokered insured time deposits, represented 100% of total deposits.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deposits increased $89.4 million to $889.9 million as of June 30, 2017 from $800.5 million as of June 30, 2016. The increase was due to the increase in money market accounts attracted through ableBanking as well as the Community Banking Division.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set forth certain information relative to the composition of the Company's average deposit accounts and the weighted average interest rate on each category of deposits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87"/>
              </w:rPr>
              <w:t>Year Ended June 30, 2017</w:t>
            </w:r>
          </w:p>
        </w:tc>
        <w:tc>
          <w:tcPr>
            <w:tcW w:w="1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6"/>
                <w:szCs w:val="16"/>
                <w:color w:val="auto"/>
              </w:rPr>
            </w:pPr>
          </w:p>
        </w:tc>
        <w:tc>
          <w:tcPr>
            <w:tcW w:w="17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9"/>
              </w:rPr>
              <w:t>Weighted</w:t>
            </w:r>
          </w:p>
        </w:tc>
        <w:tc>
          <w:tcPr>
            <w:tcW w:w="15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Percent of Total</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Average Rate</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Average Deposits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(Dollars in thousands)</w:t>
            </w:r>
          </w:p>
        </w:tc>
        <w:tc>
          <w:tcPr>
            <w:tcW w:w="2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Non-interest bearing demand deposits and escrow</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79,560</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Regular savings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36,438</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0.14%</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70,912</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Money market accounts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322,011</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0.97%</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326,601</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average deposits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835,522</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0.88%</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color w:val="auto"/>
                <w:w w:val="87"/>
              </w:rPr>
              <w:t>Year Ended June 30, 2016</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color w:val="auto"/>
                <w:w w:val="88"/>
              </w:rPr>
              <w:t>Year Ended June 30, 2015</w:t>
            </w:r>
          </w:p>
        </w:tc>
        <w:tc>
          <w:tcPr>
            <w:tcW w:w="1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600"/>
              <w:spacing w:after="0" w:line="195" w:lineRule="exact"/>
              <w:rPr>
                <w:sz w:val="20"/>
                <w:szCs w:val="20"/>
                <w:color w:val="auto"/>
              </w:rPr>
            </w:pPr>
            <w:r>
              <w:rPr>
                <w:rFonts w:ascii="Arial" w:cs="Arial" w:eastAsia="Arial" w:hAnsi="Arial"/>
                <w:sz w:val="18"/>
                <w:szCs w:val="18"/>
                <w:color w:val="auto"/>
              </w:rPr>
              <w:t>Average</w:t>
            </w:r>
          </w:p>
        </w:tc>
        <w:tc>
          <w:tcPr>
            <w:tcW w:w="166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9"/>
              </w:rPr>
              <w:t>Weighted</w:t>
            </w:r>
          </w:p>
        </w:tc>
        <w:tc>
          <w:tcPr>
            <w:tcW w:w="13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2"/>
              </w:rPr>
              <w:t>Percent of Total</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Average</w:t>
            </w:r>
          </w:p>
        </w:tc>
        <w:tc>
          <w:tcPr>
            <w:tcW w:w="166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9"/>
              </w:rPr>
              <w:t>Weighted</w:t>
            </w:r>
          </w:p>
        </w:tc>
        <w:tc>
          <w:tcPr>
            <w:tcW w:w="132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4"/>
              </w:rPr>
              <w:t>Percent of Total</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Balance</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 Rate</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w w:val="88"/>
              </w:rPr>
              <w:t>Average Deposits</w:t>
            </w:r>
          </w:p>
        </w:tc>
        <w:tc>
          <w:tcPr>
            <w:tcW w:w="24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Balance</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Average Rate</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Average Deposits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w w:val="72"/>
              </w:rPr>
              <w:t>in</w:t>
            </w: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Non-interest bearing</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demand deposits and</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escrow accounts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67,041</w:t>
            </w:r>
          </w:p>
        </w:tc>
        <w:tc>
          <w:tcPr>
            <w:tcW w:w="1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9.14%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54,940</w:t>
            </w:r>
          </w:p>
        </w:tc>
        <w:tc>
          <w:tcPr>
            <w:tcW w:w="1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Regular savings</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36,062</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580" w:type="dxa"/>
            <w:vAlign w:val="bottom"/>
            <w:gridSpan w:val="2"/>
          </w:tcPr>
          <w:p>
            <w:pPr>
              <w:jc w:val="right"/>
              <w:ind w:right="5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34,495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68,304</w:t>
            </w:r>
          </w:p>
        </w:tc>
        <w:tc>
          <w:tcPr>
            <w:tcW w:w="1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1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63,181</w:t>
            </w:r>
          </w:p>
        </w:tc>
        <w:tc>
          <w:tcPr>
            <w:tcW w:w="1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8"/>
              </w:rPr>
              <w:t>Money market accounts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212,102</w:t>
            </w: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0.87%</w:t>
            </w:r>
          </w:p>
        </w:tc>
        <w:tc>
          <w:tcPr>
            <w:tcW w:w="1580" w:type="dxa"/>
            <w:vAlign w:val="bottom"/>
            <w:gridSpan w:val="2"/>
          </w:tcPr>
          <w:p>
            <w:pPr>
              <w:jc w:val="right"/>
              <w:ind w:right="50"/>
              <w:spacing w:after="0"/>
              <w:rPr>
                <w:sz w:val="20"/>
                <w:szCs w:val="20"/>
                <w:color w:val="auto"/>
              </w:rPr>
            </w:pPr>
            <w:r>
              <w:rPr>
                <w:rFonts w:ascii="Arial" w:cs="Arial" w:eastAsia="Arial" w:hAnsi="Arial"/>
                <w:sz w:val="18"/>
                <w:szCs w:val="18"/>
                <w:color w:val="auto"/>
              </w:rPr>
              <w:t>28.92%</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133,266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349,978</w:t>
            </w:r>
          </w:p>
        </w:tc>
        <w:tc>
          <w:tcPr>
            <w:tcW w:w="22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1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47.71%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340,046</w:t>
            </w:r>
          </w:p>
        </w:tc>
        <w:tc>
          <w:tcPr>
            <w:tcW w:w="1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Total average deposits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733,487</w:t>
            </w:r>
          </w:p>
        </w:tc>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0.82%</w:t>
            </w:r>
          </w:p>
        </w:tc>
        <w:tc>
          <w:tcPr>
            <w:tcW w:w="1580" w:type="dxa"/>
            <w:vAlign w:val="bottom"/>
            <w:gridSpan w:val="2"/>
          </w:tcPr>
          <w:p>
            <w:pPr>
              <w:jc w:val="right"/>
              <w:ind w:right="5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625,928</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0.79%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were no time deposits greater than $250 thousand as of June 30, 2017 and June 30, 2016, and there were $569 thousand of time deposits greater than $250 thousand as of June 30, 2015.</w:t>
      </w:r>
    </w:p>
    <w:p>
      <w:pPr>
        <w:sectPr>
          <w:pgSz w:w="11900" w:h="16838" w:orient="portrait"/>
          <w:cols w:equalWidth="0" w:num="1">
            <w:col w:w="11420"/>
          </w:cols>
          <w:pgMar w:left="240" w:top="118" w:right="239" w:bottom="528"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scheduled maturity of deposits greater than or equal to $100 thousand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Over 3 through 6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 6 through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Over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9755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time certificates greater than or equal to $100 thousand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June 30, 2017</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9861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thousands)</w:t>
      </w:r>
    </w:p>
    <w:p>
      <w:pPr>
        <w:spacing w:after="0" w:line="9" w:lineRule="exact"/>
        <w:rPr>
          <w:sz w:val="20"/>
          <w:szCs w:val="20"/>
          <w:color w:val="auto"/>
        </w:rPr>
      </w:pPr>
    </w:p>
    <w:p>
      <w:pPr>
        <w:ind w:left="1060" w:hanging="1057"/>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48,393</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57,283</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80,768</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85,015</w:t>
      </w:r>
    </w:p>
    <w:p>
      <w:pPr>
        <w:spacing w:after="0" w:line="32" w:lineRule="exact"/>
        <w:rPr>
          <w:sz w:val="20"/>
          <w:szCs w:val="20"/>
          <w:color w:val="auto"/>
        </w:rPr>
      </w:pPr>
    </w:p>
    <w:p>
      <w:pPr>
        <w:ind w:left="980" w:hanging="977"/>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271,459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9861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6780" w:space="720"/>
            <w:col w:w="3920"/>
          </w:cols>
          <w:pgMar w:left="240" w:top="118" w:right="239" w:bottom="528"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FHLBB advances, subordinated debt, and junior subordinated debentures have been the Company's sources of funding other than deposits. In fiscal 2017, total borrowings decreased by $10.0 million, or 18.4%, to $44.5 million.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Advances from the FHLBB were $20.0 million and $30.1 million at June 30, 2017 and June 30, 2016, respectively. The decrease was primarily the result of the payoff of a $10.0 million FHLBB advance during the quarter ended December 31, 2016.</w:t>
      </w:r>
    </w:p>
    <w:p>
      <w:pPr>
        <w:sectPr>
          <w:pgSz w:w="11900" w:h="16838" w:orient="portrait"/>
          <w:cols w:equalWidth="0" w:num="1">
            <w:col w:w="11420"/>
          </w:cols>
          <w:pgMar w:left="240" w:top="118" w:right="239" w:bottom="528"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528"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Pledges of residential real estate loans, certain commercial real estate loans and certain FHLBB deposits free of liens or pledges are required to secure outstanding advances and available additional borrowing capacity from the FHLBB. At June 30, 2017 and June 30, 2016, the Company had no pledged investment securities.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June 29, 2016, the Company entered into a Subordinated Note Purchase Agreement with certain institutional accredited investors pursuant to which the Company sold and issued $15.05 million in aggregate principal amount of 6.75% fixed-to-floating subordinated notes due 2026.</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balances outstanding at June 30, 2017 and 2016, respectively, for advances under the Federal Reserve Discount Window Borrower-in-custody program. The available credit under the program was $1.4 million and $1.9 million at June 30, 2017 and June 30, 2016, respectively, with the decrease in fiscal 2017 attributable to payoffs of consumer loans pledged as collateral.</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had junior subordinated debentures issued to affiliated trusts totaling $9.0 million and $8.8 million at June 30, 2017 and 2016, respectively. See “Capital” below for more information on our junior subordinated debentures and affiliated trusts.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allowance for loan losses is maintained at a level that management considers adequate to provide for probable loan losses based upon evaluation of known and inherent risks in the loan portfolio. The allowance is increased by providing for loan losses through a charge to expense and by recoveries of loans previously charged-off and is reduced by loans being charged-off.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June 30, 2017, the allowance for loan losses totaled $3.7 million, or 0.47% of total loans, as compared to $2.4 million, or 0.34% of total loans, at June 30, 2016 and $1.9 million, or 0.31% of total loans, at June 30, 2015. The year over year increase in the Company’s allowance for losses was principally the result of loan growth and the increase of qualitative factors. The following table sets forth activity in Company’s allowance for loan losses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6"/>
              </w:rPr>
              <w:t>Year Ended</w:t>
            </w: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6"/>
              </w:rPr>
              <w:t>Year Ended</w:t>
            </w: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Year Ended</w:t>
            </w: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4"/>
              </w:rPr>
              <w:t>Year Ended</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4"/>
              </w:rPr>
              <w:t>Year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June 30, 2017</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June 30, 2016</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June 30, 2015</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June 30, 2014</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June 30, 2013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Allowance at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1,926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w w:val="99"/>
              </w:rPr>
              <w:t>Loans charged-off during the period: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320"/>
              <w:spacing w:after="0"/>
              <w:rPr>
                <w:sz w:val="20"/>
                <w:szCs w:val="20"/>
                <w:color w:val="auto"/>
              </w:rPr>
            </w:pPr>
            <w:r>
              <w:rPr>
                <w:rFonts w:ascii="Arial" w:cs="Arial" w:eastAsia="Arial" w:hAnsi="Arial"/>
                <w:sz w:val="18"/>
                <w:szCs w:val="18"/>
                <w:color w:val="auto"/>
              </w:rPr>
              <w:t>Consumer and other</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 charged-off</w:t>
            </w: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160"/>
              <w:spacing w:after="0" w:line="201" w:lineRule="exact"/>
              <w:rPr>
                <w:sz w:val="20"/>
                <w:szCs w:val="20"/>
                <w:color w:val="auto"/>
              </w:rPr>
            </w:pPr>
            <w:r>
              <w:rPr>
                <w:rFonts w:ascii="Arial" w:cs="Arial" w:eastAsia="Arial" w:hAnsi="Arial"/>
                <w:sz w:val="18"/>
                <w:szCs w:val="18"/>
                <w:color w:val="auto"/>
              </w:rPr>
              <w:t>Recoveries on loans previously</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320"/>
              <w:spacing w:after="0"/>
              <w:rPr>
                <w:sz w:val="20"/>
                <w:szCs w:val="20"/>
                <w:color w:val="auto"/>
              </w:rPr>
            </w:pPr>
            <w:r>
              <w:rPr>
                <w:rFonts w:ascii="Arial" w:cs="Arial" w:eastAsia="Arial" w:hAnsi="Arial"/>
                <w:sz w:val="18"/>
                <w:szCs w:val="18"/>
                <w:color w:val="auto"/>
              </w:rPr>
              <w:t>charged-off:</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320"/>
              <w:spacing w:after="0"/>
              <w:rPr>
                <w:sz w:val="20"/>
                <w:szCs w:val="20"/>
                <w:color w:val="auto"/>
              </w:rPr>
            </w:pPr>
            <w:r>
              <w:rPr>
                <w:rFonts w:ascii="Arial" w:cs="Arial" w:eastAsia="Arial" w:hAnsi="Arial"/>
                <w:sz w:val="18"/>
                <w:szCs w:val="18"/>
                <w:color w:val="auto"/>
              </w:rPr>
              <w:t>Consumer and other</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recoveries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7"/>
              </w:rPr>
              <w:t>Net loans charged off during the period</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1,194</w:t>
            </w:r>
          </w:p>
        </w:tc>
        <w:tc>
          <w:tcPr>
            <w:tcW w:w="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Allowance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3,665</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2,350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1,926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line="216" w:lineRule="exact"/>
              <w:rPr>
                <w:sz w:val="20"/>
                <w:szCs w:val="20"/>
                <w:color w:val="auto"/>
              </w:rPr>
            </w:pPr>
            <w:r>
              <w:rPr>
                <w:rFonts w:ascii="Arial" w:cs="Arial" w:eastAsia="Arial" w:hAnsi="Arial"/>
                <w:sz w:val="16"/>
                <w:szCs w:val="16"/>
                <w:color w:val="auto"/>
              </w:rPr>
              <w:t xml:space="preserve">Total loans at end of period </w:t>
            </w:r>
            <w:r>
              <w:rPr>
                <w:rFonts w:ascii="Arial" w:cs="Arial" w:eastAsia="Arial" w:hAnsi="Arial"/>
                <w:sz w:val="25"/>
                <w:szCs w:val="25"/>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779,195</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692,436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612,137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516,416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435,376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Average loans outstanding during the</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060" w:type="dxa"/>
            <w:vAlign w:val="bottom"/>
            <w:shd w:val="clear" w:color="auto" w:fill="CCEEFF"/>
          </w:tcPr>
          <w:p>
            <w:pPr>
              <w:ind w:left="160"/>
              <w:spacing w:after="0" w:line="253" w:lineRule="exact"/>
              <w:rPr>
                <w:sz w:val="20"/>
                <w:szCs w:val="20"/>
                <w:color w:val="auto"/>
              </w:rPr>
            </w:pPr>
            <w:r>
              <w:rPr>
                <w:rFonts w:ascii="Arial" w:cs="Arial" w:eastAsia="Arial" w:hAnsi="Arial"/>
                <w:sz w:val="18"/>
                <w:szCs w:val="18"/>
                <w:color w:val="auto"/>
              </w:rPr>
              <w:t xml:space="preserve">period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737,860</w:t>
            </w:r>
          </w:p>
        </w:tc>
        <w:tc>
          <w:tcPr>
            <w:tcW w:w="2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659,995</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555,073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488,172</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4"/>
              </w:rPr>
              <w:t>Allowance as a percentage of total loans</w:t>
            </w: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Ratio of net charge-offs to average loans</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8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0"/>
                <w:szCs w:val="20"/>
                <w:color w:val="auto"/>
              </w:rPr>
            </w:pP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line="201" w:lineRule="exact"/>
              <w:rPr>
                <w:sz w:val="20"/>
                <w:szCs w:val="20"/>
                <w:color w:val="auto"/>
              </w:rPr>
            </w:pPr>
            <w:r>
              <w:rPr>
                <w:rFonts w:ascii="Arial" w:cs="Arial" w:eastAsia="Arial" w:hAnsi="Arial"/>
                <w:sz w:val="18"/>
                <w:szCs w:val="18"/>
                <w:color w:val="auto"/>
              </w:rPr>
              <w:t>Allowance as a percentage of non-</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performing loans</w:t>
            </w:r>
          </w:p>
        </w:tc>
        <w:tc>
          <w:tcPr>
            <w:tcW w:w="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20"/>
                <w:szCs w:val="20"/>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Amounts and resulting ratios exclude loans held for sale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allocates the allowance for loan losses by loan category and the percent of loans in each category to total loans at the dates indicated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4"/>
          </w:tcPr>
          <w:p>
            <w:pPr>
              <w:jc w:val="right"/>
              <w:ind w:right="700"/>
              <w:spacing w:after="0"/>
              <w:rPr>
                <w:sz w:val="20"/>
                <w:szCs w:val="20"/>
                <w:color w:val="auto"/>
              </w:rPr>
            </w:pPr>
            <w:r>
              <w:rPr>
                <w:rFonts w:ascii="Arial" w:cs="Arial" w:eastAsia="Arial" w:hAnsi="Arial"/>
                <w:sz w:val="14"/>
                <w:szCs w:val="14"/>
                <w:color w:val="auto"/>
              </w:rPr>
              <w:t>June 30, 2017</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4"/>
          </w:tcPr>
          <w:p>
            <w:pPr>
              <w:jc w:val="right"/>
              <w:ind w:right="760"/>
              <w:spacing w:after="0"/>
              <w:rPr>
                <w:sz w:val="20"/>
                <w:szCs w:val="20"/>
                <w:color w:val="auto"/>
              </w:rPr>
            </w:pPr>
            <w:r>
              <w:rPr>
                <w:rFonts w:ascii="Arial" w:cs="Arial" w:eastAsia="Arial" w:hAnsi="Arial"/>
                <w:sz w:val="14"/>
                <w:szCs w:val="14"/>
                <w:color w:val="auto"/>
              </w:rPr>
              <w:t>June 30, 2016</w:t>
            </w:r>
          </w:p>
        </w:tc>
        <w:tc>
          <w:tcPr>
            <w:tcW w:w="1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June 30, 2015</w:t>
            </w:r>
          </w:p>
        </w:tc>
        <w:tc>
          <w:tcPr>
            <w:tcW w:w="1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June 30, 2014</w:t>
            </w:r>
          </w:p>
        </w:tc>
        <w:tc>
          <w:tcPr>
            <w:tcW w:w="1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4"/>
          </w:tcPr>
          <w:p>
            <w:pPr>
              <w:jc w:val="right"/>
              <w:ind w:right="620"/>
              <w:spacing w:after="0"/>
              <w:rPr>
                <w:sz w:val="20"/>
                <w:szCs w:val="20"/>
                <w:color w:val="auto"/>
              </w:rPr>
            </w:pPr>
            <w:r>
              <w:rPr>
                <w:rFonts w:ascii="Arial" w:cs="Arial" w:eastAsia="Arial" w:hAnsi="Arial"/>
                <w:sz w:val="14"/>
                <w:szCs w:val="14"/>
                <w:color w:val="auto"/>
              </w:rPr>
              <w:t>June 30, 2013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Percent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Percent of</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Percent of</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Percent of</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Loans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Loans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to 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to 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to Total</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to 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to 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auto"/>
                <w:w w:val="98"/>
              </w:rPr>
              <w:t>(Dollars in</w:t>
            </w:r>
          </w:p>
        </w:tc>
        <w:tc>
          <w:tcPr>
            <w:tcW w:w="1000" w:type="dxa"/>
            <w:vAlign w:val="bottom"/>
            <w:gridSpan w:val="2"/>
          </w:tcPr>
          <w:p>
            <w:pPr>
              <w:jc w:val="right"/>
              <w:ind w:right="288"/>
              <w:spacing w:after="0"/>
              <w:rPr>
                <w:sz w:val="20"/>
                <w:szCs w:val="20"/>
                <w:color w:val="auto"/>
              </w:rPr>
            </w:pPr>
            <w:r>
              <w:rPr>
                <w:rFonts w:ascii="Arial" w:cs="Arial" w:eastAsia="Arial" w:hAnsi="Arial"/>
                <w:sz w:val="14"/>
                <w:szCs w:val="14"/>
                <w:color w:val="auto"/>
                <w:w w:val="89"/>
              </w:rPr>
              <w:t>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Residential real</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estate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663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21.67%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Commercial real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ind w:left="16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2,549</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63.91%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1,328</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61.60%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976</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56.96%</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625</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61.21%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Commercial and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industrial</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297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118</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62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79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Unallocated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26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3,665</w:t>
            </w:r>
          </w:p>
        </w:tc>
        <w:tc>
          <w:tcPr>
            <w:tcW w:w="26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100.00%</w:t>
            </w:r>
          </w:p>
        </w:tc>
        <w:tc>
          <w:tcPr>
            <w:tcW w:w="2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2,350</w:t>
            </w:r>
          </w:p>
        </w:tc>
        <w:tc>
          <w:tcPr>
            <w:tcW w:w="10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8"/>
              <w:spacing w:after="0" w:line="142" w:lineRule="exact"/>
              <w:rPr>
                <w:sz w:val="20"/>
                <w:szCs w:val="20"/>
                <w:color w:val="auto"/>
              </w:rPr>
            </w:pPr>
            <w:r>
              <w:rPr>
                <w:rFonts w:ascii="Arial" w:cs="Arial" w:eastAsia="Arial" w:hAnsi="Arial"/>
                <w:sz w:val="14"/>
                <w:szCs w:val="14"/>
                <w:color w:val="auto"/>
              </w:rPr>
              <w:t>1,926</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100.00%</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1,367</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1,143</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reflects the annual trend of total loans 30 days or more past due, as a percentage of total loans. The increase in the current year is primarily due to an increase in delinquent LASG originated and SBA division loans.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June 30,</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2017</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2016</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2015</w:t>
            </w: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2014</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Past due loans to total loans</w:t>
            </w:r>
          </w:p>
        </w:tc>
        <w:tc>
          <w:tcPr>
            <w:tcW w:w="12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amounts and categories of the Company’s non-performing assets at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2017</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2016</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2015</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2014</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(Dollars in thousands)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Originated portfolio:</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2,613</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1,743</w:t>
            </w: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474</w:t>
            </w: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994</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1,162</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3,315</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3,209</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1,125</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6,364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3,387</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4,116</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nonperforming loans</w:t>
            </w: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13,963</w:t>
            </w:r>
          </w:p>
        </w:tc>
        <w:tc>
          <w:tcPr>
            <w:tcW w:w="400" w:type="dxa"/>
            <w:vAlign w:val="bottom"/>
          </w:tcPr>
          <w:p>
            <w:pPr>
              <w:spacing w:after="0"/>
              <w:rPr>
                <w:sz w:val="18"/>
                <w:szCs w:val="18"/>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7,827</w:t>
            </w: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10,750</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7,325</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1,652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nonperforming assets</w:t>
            </w:r>
          </w:p>
        </w:tc>
        <w:tc>
          <w:tcPr>
            <w:tcW w:w="360" w:type="dxa"/>
            <w:vAlign w:val="bottom"/>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14,789</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9,479</w:t>
            </w:r>
          </w:p>
        </w:tc>
        <w:tc>
          <w:tcPr>
            <w:tcW w:w="360" w:type="dxa"/>
            <w:vAlign w:val="bottom"/>
          </w:tcPr>
          <w:p>
            <w:pPr>
              <w:jc w:val="right"/>
              <w:ind w:right="201"/>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12,401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9,316</w:t>
            </w:r>
          </w:p>
        </w:tc>
        <w:tc>
          <w:tcPr>
            <w:tcW w:w="400" w:type="dxa"/>
            <w:vAlign w:val="bottom"/>
          </w:tcPr>
          <w:p>
            <w:pPr>
              <w:jc w:val="right"/>
              <w:ind w:right="24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Nonperforming loans that are current</w:t>
            </w: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4,321</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2,271</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w:t>
            </w: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651</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887</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to total loans</w:t>
            </w:r>
          </w:p>
        </w:tc>
        <w:tc>
          <w:tcPr>
            <w:tcW w:w="3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0.96%</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4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June 30, 2017, the Company had $14.8 million of nonperforming assets, or 1.37% of total assets, compared to $9.5 million of nonperforming assets, or 0.96% of total assets at June 30, 2016 and $12.4 million of nonperforming assets, or 1.5% of total assets, as of June 30, 2015. The increase in nonperforming assets in fiscal 2017 was principally associated with an increase in SBA nonperforming loans of $2.6 million in the year, as well as an increase in purchased commercial real estate loans on nonaccrual.</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Troubled debt restructurings (“TDRs”) represent loans for which concessions (such as extension of repayment terms or reductions of interest rates to below market rates) are granted due to a borrower's financial condition. Such concessions may include reductions of interest rates to below-market terms and/or extension of repayment terms. The balances and payment status of TDRs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4"/>
              </w:rPr>
              <w:t>June 30, 2017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June 30, 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June 30, 2015</w:t>
            </w:r>
          </w:p>
        </w:tc>
      </w:tr>
      <w:tr>
        <w:trPr>
          <w:trHeight w:val="210"/>
        </w:trPr>
        <w:tc>
          <w:tcPr>
            <w:tcW w:w="4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Nonaccrual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Accrual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6,365</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TDRs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At June 30, 2017, the Company had real estate owned and other repossessed collateral of $826 thousand, compared to $1.7 million at June 30, 2016. The decrease in the period was primarily due to the sale and refinance of real estate owned during the year. The real estate and personal property collateral for commercial and consumer loans are written down to fair value upon transfer to acquired assets. Revenues and expenses are recognized in the period when received or incurred on other real estate and in substance foreclosures. Gains and losses on disposition are recognized in noninterest income.</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continue to focus on asset quality and allocate significant resources to credit policy, loan review, asset management, collection, and workout functions. Despite this ongoing effort, there can be no assurance that adverse changes in the real estate markets and economic conditions will not result in higher non-performing assets levels in the future and negatively impact our results of operations through higher provision for loan losses, net loan charge-offs, decreased accrual of income and increased noninterest expenses.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5" w:name="page46"/>
    <w:bookmarkEnd w:id="4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Commercial real estate and commercial loans are periodically evaluated under a ten-point rating system. These ratings are guidelines in assessing the risk of a particular loan. The Company had $8.9 million, $6.2 million and $8.9 million of loans rated substandard or worse at June 30, 2017, June 30, 2016 and</w:t>
      </w:r>
    </w:p>
    <w:p>
      <w:pPr>
        <w:ind w:right="240"/>
        <w:spacing w:after="0" w:line="261" w:lineRule="auto"/>
        <w:rPr>
          <w:sz w:val="20"/>
          <w:szCs w:val="20"/>
          <w:color w:val="auto"/>
        </w:rPr>
      </w:pPr>
      <w:r>
        <w:rPr>
          <w:rFonts w:ascii="Arial" w:cs="Arial" w:eastAsia="Arial" w:hAnsi="Arial"/>
          <w:sz w:val="18"/>
          <w:szCs w:val="18"/>
          <w:color w:val="auto"/>
        </w:rPr>
        <w:t>June 30, 2015, respectively, an increase primarily attributable to downgraded purchased loans during the year. The following tables present the Company's loans by risk rating: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89"/>
              </w:rPr>
              <w:t>June 30, 2017</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8"/>
                <w:szCs w:val="18"/>
                <w:color w:val="auto"/>
                <w:w w:val="94"/>
              </w:rPr>
              <w:t>Originated Portfolio</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240"/>
              <w:spacing w:after="0" w:line="172"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30"/>
              <w:spacing w:after="0" w:line="172" w:lineRule="exact"/>
              <w:rPr>
                <w:sz w:val="20"/>
                <w:szCs w:val="20"/>
                <w:color w:val="auto"/>
              </w:rPr>
            </w:pPr>
            <w:r>
              <w:rPr>
                <w:rFonts w:ascii="Arial" w:cs="Arial" w:eastAsia="Arial" w:hAnsi="Arial"/>
                <w:sz w:val="18"/>
                <w:szCs w:val="18"/>
                <w:color w:val="auto"/>
                <w:w w:val="93"/>
              </w:rPr>
              <w:t>Commercial</w:t>
            </w:r>
          </w:p>
        </w:tc>
        <w:tc>
          <w:tcPr>
            <w:tcW w:w="80" w:type="dxa"/>
            <w:vAlign w:val="bottom"/>
          </w:tcPr>
          <w:p>
            <w:pPr>
              <w:spacing w:after="0"/>
              <w:rPr>
                <w:sz w:val="14"/>
                <w:szCs w:val="14"/>
                <w:color w:val="auto"/>
              </w:rPr>
            </w:pPr>
          </w:p>
        </w:tc>
        <w:tc>
          <w:tcPr>
            <w:tcW w:w="1120" w:type="dxa"/>
            <w:vAlign w:val="bottom"/>
          </w:tcPr>
          <w:p>
            <w:pPr>
              <w:jc w:val="center"/>
              <w:ind w:right="10"/>
              <w:spacing w:after="0" w:line="172" w:lineRule="exact"/>
              <w:rPr>
                <w:sz w:val="20"/>
                <w:szCs w:val="20"/>
                <w:color w:val="auto"/>
              </w:rPr>
            </w:pPr>
            <w:r>
              <w:rPr>
                <w:rFonts w:ascii="Arial" w:cs="Arial" w:eastAsia="Arial" w:hAnsi="Arial"/>
                <w:sz w:val="18"/>
                <w:szCs w:val="18"/>
                <w:color w:val="auto"/>
                <w:w w:val="92"/>
              </w:rPr>
              <w:t>Residential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50"/>
              <w:spacing w:after="0"/>
              <w:rPr>
                <w:sz w:val="20"/>
                <w:szCs w:val="20"/>
                <w:color w:val="auto"/>
              </w:rPr>
            </w:pPr>
            <w:r>
              <w:rPr>
                <w:rFonts w:ascii="Arial" w:cs="Arial" w:eastAsia="Arial" w:hAnsi="Arial"/>
                <w:sz w:val="18"/>
                <w:szCs w:val="18"/>
                <w:color w:val="auto"/>
                <w:w w:val="88"/>
              </w:rPr>
              <w:t>Real Estate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
              <w:spacing w:after="0"/>
              <w:rPr>
                <w:sz w:val="20"/>
                <w:szCs w:val="20"/>
                <w:color w:val="auto"/>
              </w:rPr>
            </w:pPr>
            <w:r>
              <w:rPr>
                <w:rFonts w:ascii="Arial" w:cs="Arial" w:eastAsia="Arial" w:hAnsi="Arial"/>
                <w:sz w:val="18"/>
                <w:szCs w:val="18"/>
                <w:color w:val="auto"/>
                <w:w w:val="90"/>
              </w:rPr>
              <w:t>and Industrial</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ind w:right="10"/>
              <w:spacing w:after="0" w:line="253" w:lineRule="exact"/>
              <w:rPr>
                <w:sz w:val="20"/>
                <w:szCs w:val="20"/>
                <w:color w:val="auto"/>
              </w:rPr>
            </w:pPr>
            <w:r>
              <w:rPr>
                <w:rFonts w:ascii="Arial" w:cs="Arial" w:eastAsia="Arial" w:hAnsi="Arial"/>
                <w:sz w:val="18"/>
                <w:szCs w:val="18"/>
                <w:color w:val="auto"/>
                <w:w w:val="83"/>
              </w:rPr>
              <w:t>Real Estate</w:t>
            </w:r>
            <w:r>
              <w:rPr>
                <w:rFonts w:ascii="Arial" w:cs="Arial" w:eastAsia="Arial" w:hAnsi="Arial"/>
                <w:sz w:val="29"/>
                <w:szCs w:val="29"/>
                <w:color w:val="auto"/>
                <w:w w:val="83"/>
                <w:vertAlign w:val="superscript"/>
              </w:rPr>
              <w:t>(1)</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78"/>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253,041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171,160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229,980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Special mention (7)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Doubtful (9)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174,468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246,388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688,069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89"/>
              </w:rPr>
              <w:t>June 30, 2016</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8"/>
                <w:szCs w:val="18"/>
                <w:color w:val="auto"/>
                <w:w w:val="94"/>
              </w:rPr>
              <w:t>Originated Portfolio</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240"/>
              <w:spacing w:after="0" w:line="172"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30"/>
              <w:spacing w:after="0" w:line="172" w:lineRule="exact"/>
              <w:rPr>
                <w:sz w:val="20"/>
                <w:szCs w:val="20"/>
                <w:color w:val="auto"/>
              </w:rPr>
            </w:pPr>
            <w:r>
              <w:rPr>
                <w:rFonts w:ascii="Arial" w:cs="Arial" w:eastAsia="Arial" w:hAnsi="Arial"/>
                <w:sz w:val="18"/>
                <w:szCs w:val="18"/>
                <w:color w:val="auto"/>
                <w:w w:val="93"/>
              </w:rPr>
              <w:t>Commercial</w:t>
            </w:r>
          </w:p>
        </w:tc>
        <w:tc>
          <w:tcPr>
            <w:tcW w:w="80" w:type="dxa"/>
            <w:vAlign w:val="bottom"/>
          </w:tcPr>
          <w:p>
            <w:pPr>
              <w:spacing w:after="0"/>
              <w:rPr>
                <w:sz w:val="14"/>
                <w:szCs w:val="14"/>
                <w:color w:val="auto"/>
              </w:rPr>
            </w:pPr>
          </w:p>
        </w:tc>
        <w:tc>
          <w:tcPr>
            <w:tcW w:w="1120" w:type="dxa"/>
            <w:vAlign w:val="bottom"/>
          </w:tcPr>
          <w:p>
            <w:pPr>
              <w:jc w:val="center"/>
              <w:ind w:right="10"/>
              <w:spacing w:after="0" w:line="172" w:lineRule="exact"/>
              <w:rPr>
                <w:sz w:val="20"/>
                <w:szCs w:val="20"/>
                <w:color w:val="auto"/>
              </w:rPr>
            </w:pPr>
            <w:r>
              <w:rPr>
                <w:rFonts w:ascii="Arial" w:cs="Arial" w:eastAsia="Arial" w:hAnsi="Arial"/>
                <w:sz w:val="18"/>
                <w:szCs w:val="18"/>
                <w:color w:val="auto"/>
                <w:w w:val="92"/>
              </w:rPr>
              <w:t>Residential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50"/>
              <w:spacing w:after="0"/>
              <w:rPr>
                <w:sz w:val="20"/>
                <w:szCs w:val="20"/>
                <w:color w:val="auto"/>
              </w:rPr>
            </w:pPr>
            <w:r>
              <w:rPr>
                <w:rFonts w:ascii="Arial" w:cs="Arial" w:eastAsia="Arial" w:hAnsi="Arial"/>
                <w:sz w:val="18"/>
                <w:szCs w:val="18"/>
                <w:color w:val="auto"/>
                <w:w w:val="88"/>
              </w:rPr>
              <w:t>Real Estate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
              <w:spacing w:after="0"/>
              <w:rPr>
                <w:sz w:val="20"/>
                <w:szCs w:val="20"/>
                <w:color w:val="auto"/>
              </w:rPr>
            </w:pPr>
            <w:r>
              <w:rPr>
                <w:rFonts w:ascii="Arial" w:cs="Arial" w:eastAsia="Arial" w:hAnsi="Arial"/>
                <w:sz w:val="18"/>
                <w:szCs w:val="18"/>
                <w:color w:val="auto"/>
                <w:w w:val="90"/>
              </w:rPr>
              <w:t>and Industrial</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ind w:right="10"/>
              <w:spacing w:after="0" w:line="253" w:lineRule="exact"/>
              <w:rPr>
                <w:sz w:val="20"/>
                <w:szCs w:val="20"/>
                <w:color w:val="auto"/>
              </w:rPr>
            </w:pPr>
            <w:r>
              <w:rPr>
                <w:rFonts w:ascii="Arial" w:cs="Arial" w:eastAsia="Arial" w:hAnsi="Arial"/>
                <w:sz w:val="18"/>
                <w:szCs w:val="18"/>
                <w:color w:val="auto"/>
                <w:w w:val="83"/>
              </w:rPr>
              <w:t>Real Estate</w:t>
            </w:r>
            <w:r>
              <w:rPr>
                <w:rFonts w:ascii="Arial" w:cs="Arial" w:eastAsia="Arial" w:hAnsi="Arial"/>
                <w:sz w:val="29"/>
                <w:szCs w:val="29"/>
                <w:color w:val="auto"/>
                <w:w w:val="83"/>
                <w:vertAlign w:val="superscript"/>
              </w:rPr>
              <w:t>(1)</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78"/>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186,165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142,451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227,895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Special mention (7)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Doubtful (9)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145,758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8,650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239,709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583,733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June 30, 2015</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4"/>
              </w:rPr>
              <w:t>Originated Portfolio</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60"/>
              <w:spacing w:after="0" w:line="172"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90"/>
              <w:spacing w:after="0" w:line="172" w:lineRule="exact"/>
              <w:rPr>
                <w:sz w:val="20"/>
                <w:szCs w:val="20"/>
                <w:color w:val="auto"/>
              </w:rPr>
            </w:pPr>
            <w:r>
              <w:rPr>
                <w:rFonts w:ascii="Arial" w:cs="Arial" w:eastAsia="Arial" w:hAnsi="Arial"/>
                <w:sz w:val="18"/>
                <w:szCs w:val="18"/>
                <w:color w:val="auto"/>
                <w:w w:val="91"/>
              </w:rPr>
              <w:t>Commercial</w:t>
            </w:r>
          </w:p>
        </w:tc>
        <w:tc>
          <w:tcPr>
            <w:tcW w:w="80" w:type="dxa"/>
            <w:vAlign w:val="bottom"/>
          </w:tcPr>
          <w:p>
            <w:pPr>
              <w:spacing w:after="0"/>
              <w:rPr>
                <w:sz w:val="14"/>
                <w:szCs w:val="14"/>
                <w:color w:val="auto"/>
              </w:rPr>
            </w:pPr>
          </w:p>
        </w:tc>
        <w:tc>
          <w:tcPr>
            <w:tcW w:w="1120" w:type="dxa"/>
            <w:vAlign w:val="bottom"/>
          </w:tcPr>
          <w:p>
            <w:pPr>
              <w:jc w:val="center"/>
              <w:spacing w:after="0" w:line="172" w:lineRule="exact"/>
              <w:rPr>
                <w:sz w:val="20"/>
                <w:szCs w:val="20"/>
                <w:color w:val="auto"/>
              </w:rPr>
            </w:pPr>
            <w:r>
              <w:rPr>
                <w:rFonts w:ascii="Arial" w:cs="Arial" w:eastAsia="Arial" w:hAnsi="Arial"/>
                <w:sz w:val="18"/>
                <w:szCs w:val="18"/>
                <w:color w:val="auto"/>
                <w:w w:val="89"/>
              </w:rPr>
              <w:t>Residential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2"/>
              </w:rPr>
              <w:t>Real Estate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2"/>
              </w:rPr>
              <w:t>and Industrial</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spacing w:after="0" w:line="253" w:lineRule="exact"/>
              <w:rPr>
                <w:sz w:val="20"/>
                <w:szCs w:val="20"/>
                <w:color w:val="auto"/>
              </w:rPr>
            </w:pPr>
            <w:r>
              <w:rPr>
                <w:rFonts w:ascii="Arial" w:cs="Arial" w:eastAsia="Arial" w:hAnsi="Arial"/>
                <w:sz w:val="18"/>
                <w:szCs w:val="18"/>
                <w:color w:val="auto"/>
                <w:w w:val="85"/>
              </w:rPr>
              <w:t>Real Estate</w:t>
            </w:r>
            <w:r>
              <w:rPr>
                <w:rFonts w:ascii="Arial" w:cs="Arial" w:eastAsia="Arial" w:hAnsi="Arial"/>
                <w:sz w:val="29"/>
                <w:szCs w:val="29"/>
                <w:color w:val="auto"/>
                <w:w w:val="85"/>
                <w:vertAlign w:val="superscript"/>
              </w:rPr>
              <w:t>(1)</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78"/>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142,321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122,829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190,193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Special mention (7)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Doubtful (9)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148,425</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122,860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9,135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202,592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483,012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820" w:hanging="488"/>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loans made for commercial purposes, but secured by residential collateral, are rated under the Company’s risk-rating system.</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Management and the Board of Directors of the Company recognize that taking and managing risk is fundamental to the business of banking. Through the development, implementation and monitoring of its policies with respect to risk management, the Company strives to measure, evaluate and control the risks it faces. The Board and management understand that an effective risk management system is critical to the Company's safety and soundness. Chief among the risks faced by us are credit risk, market risk (including interest rate risk), liquidity risk, and operational (transaction)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considers credit risk to be the most significant risk that it faces, in that it has the greatest potential to affect the financial condition and operating results of the Company. Credit risk is managed through a combination of policies and limits established by the Board, the monitoring of compliance with these policies and limits, and the periodic evaluation of loans in the portfolio, including those with problem characteristics. The Company also utilizes the services of independent third-parties to provide loan review services, which consist of a variety of monitoring techniques after a loan is purchased or originated.</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general, the Bank's policies establish limits on the maximum amount of credit that may be granted to a single borrower (including affiliates), the aggregate amount of loans outstanding by type in relation to total assets and capital, and concentrations of loans by size, property type, and geography. Underwriting criteria, such as collateral and debt service coverage ratios and approval limits are also specified in loan policies. The Company's policies also address the performance of periodic credit reviews, the risk rating of loans, when loans should be placed on non-performing status and factors that should be considered in establishing the Bank's allowance for loan losses. For additional information, refer to "Asset Quality" above and Item 1, "Business—Lending Activities."</w:t>
      </w:r>
    </w:p>
    <w:p>
      <w:pPr>
        <w:sectPr>
          <w:pgSz w:w="11900" w:h="16838" w:orient="portrait"/>
          <w:cols w:equalWidth="0" w:num="1">
            <w:col w:w="11380"/>
          </w:cols>
          <w:pgMar w:left="240" w:top="118" w:right="279" w:bottom="87"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8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 As of June 30, 2017, the income simulation analysis (as noted in the table below) for the first twelve-month period indicated that exposure to changing interest rates fell within the Company's policy levels of tolerance.</w:t>
      </w:r>
    </w:p>
    <w:p>
      <w:pPr>
        <w:spacing w:after="0" w:line="167"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Assuming a 200 basis point increase and 100 basis point decrease in interest rates starting on June 30, 2017, we estimate that our net interest income in the following 12 months would increase by 0.5% if rates increased by 200 basis points and decrease by 1.8% if rates declined by 100 basis points. These results indicate a modest level of asset sensitivity in our balance sheet. An asset-sensitive position indicates that there are more rate-sensitive assets than rate-sensitive liabilities repricing or maturing within specific time horizons, which would generally imply a favorable impact on net interest income in periods of rising interest rates and a negative impact in periods of falling rates. A liability-sensitive position would generally imply a negative impact on net interest income in periods of rising rates and a positive impact in periods of falling rates.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Up 200 Basis Points</w:t>
            </w:r>
          </w:p>
        </w:tc>
        <w:tc>
          <w:tcPr>
            <w:tcW w:w="260" w:type="dxa"/>
            <w:vAlign w:val="bottom"/>
          </w:tcPr>
          <w:p>
            <w:pPr>
              <w:spacing w:after="0"/>
              <w:rPr>
                <w:sz w:val="20"/>
                <w:szCs w:val="20"/>
                <w:color w:val="auto"/>
              </w:rPr>
            </w:pPr>
          </w:p>
        </w:tc>
        <w:tc>
          <w:tcPr>
            <w:tcW w:w="1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3"/>
              </w:rPr>
              <w:t>Down 100 Basis Points</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23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76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June 30, 2016</w:t>
            </w:r>
          </w:p>
        </w:tc>
        <w:tc>
          <w:tcPr>
            <w:tcW w:w="440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4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760" w:type="dxa"/>
            <w:vAlign w:val="bottom"/>
          </w:tcPr>
          <w:p>
            <w:pPr>
              <w:spacing w:after="0"/>
              <w:rPr>
                <w:sz w:val="18"/>
                <w:szCs w:val="18"/>
                <w:color w:val="auto"/>
              </w:rPr>
            </w:pPr>
          </w:p>
        </w:tc>
      </w:tr>
      <w:tr>
        <w:trPr>
          <w:trHeight w:val="675"/>
        </w:trPr>
        <w:tc>
          <w:tcPr>
            <w:tcW w:w="3320" w:type="dxa"/>
            <w:vAlign w:val="bottom"/>
          </w:tcPr>
          <w:p>
            <w:pPr>
              <w:spacing w:after="0"/>
              <w:rPr>
                <w:sz w:val="24"/>
                <w:szCs w:val="24"/>
                <w:color w:val="auto"/>
              </w:rPr>
            </w:pPr>
          </w:p>
        </w:tc>
        <w:tc>
          <w:tcPr>
            <w:tcW w:w="4140" w:type="dxa"/>
            <w:vAlign w:val="bottom"/>
            <w:gridSpan w:val="2"/>
          </w:tcPr>
          <w:p>
            <w:pPr>
              <w:jc w:val="right"/>
              <w:ind w:right="157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05"/>
        </w:trPr>
        <w:tc>
          <w:tcPr>
            <w:tcW w:w="3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61"/>
        </w:trPr>
        <w:tc>
          <w:tcPr>
            <w:tcW w:w="332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Liquidity risk is defined as the risk associated with an organization's ability to meet current and future financial obligations of a short-term nature. The Company uses its liquidity on a regular basis to fund existing and future loan commitments, to pay interest on deposits and on borrowings, to fund maturing certificates of deposit and borrowings, to fund other deposit withdrawals, to invest in other interest-earning assets, to make dividend payments to shareholders, and to meet operating expenses. The Company's primary sources of liquidity consist of deposit inflows, FHLBB advances, and the amortization, prepayment and maturities of loans and securities. While scheduled payments from the amortization and maturities of loans and investment securities are relatively predictable sources of funds, deposit flows and loan and investment prepayments can be greatly influenced by general interest rates, economic conditions and competition. In addition to these regular sources of funds, the Company may choose to sell portfolio loans and investment securities to meet liquidity demands.</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monitor and forecast our liquidity position. There are several interdependent methods used by us for this purpose, including daily review of Federal Funds positions, monthly review of balance sheet changes, monthly review of liquidity ratios, quarterly review of liquidity forecasts and periodic review of contingent funding plans. Using these methods, the Company actively manages its liquidity position under the direction of the ALCO.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unused borrowing capacity of the Company at June 30, 2017 available to meet our short-term funding needs: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600" w:type="dxa"/>
            <w:vAlign w:val="bottom"/>
            <w:gridSpan w:val="4"/>
          </w:tcPr>
          <w:p>
            <w:pPr>
              <w:ind w:left="60"/>
              <w:spacing w:after="0"/>
              <w:rPr>
                <w:sz w:val="20"/>
                <w:szCs w:val="20"/>
                <w:color w:val="auto"/>
              </w:rPr>
            </w:pPr>
            <w:r>
              <w:rPr>
                <w:rFonts w:ascii="Arial" w:cs="Arial" w:eastAsia="Arial" w:hAnsi="Arial"/>
                <w:sz w:val="18"/>
                <w:szCs w:val="18"/>
                <w:color w:val="auto"/>
                <w:w w:val="94"/>
              </w:rPr>
              <w:t>As of June 30, 2017</w:t>
            </w:r>
          </w:p>
        </w:tc>
        <w:tc>
          <w:tcPr>
            <w:tcW w:w="512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(Dollars in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thousands)</w:t>
            </w:r>
          </w:p>
        </w:tc>
        <w:tc>
          <w:tcPr>
            <w:tcW w:w="5120" w:type="dxa"/>
            <w:vAlign w:val="bottom"/>
          </w:tcPr>
          <w:p>
            <w:pPr>
              <w:spacing w:after="0"/>
              <w:rPr>
                <w:sz w:val="20"/>
                <w:szCs w:val="20"/>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269,219</w:t>
            </w:r>
          </w:p>
        </w:tc>
        <w:tc>
          <w:tcPr>
            <w:tcW w:w="40" w:type="dxa"/>
            <w:vAlign w:val="bottom"/>
            <w:shd w:val="clear" w:color="auto" w:fill="CCEEFF"/>
          </w:tcPr>
          <w:p>
            <w:pPr>
              <w:spacing w:after="0"/>
              <w:rPr>
                <w:sz w:val="18"/>
                <w:szCs w:val="18"/>
                <w:color w:val="auto"/>
              </w:rPr>
            </w:pPr>
          </w:p>
        </w:tc>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67,940</w:t>
            </w:r>
          </w:p>
        </w:tc>
        <w:tc>
          <w:tcPr>
            <w:tcW w:w="4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w w:val="94"/>
              </w:rPr>
              <w:t>Unused advance capacity subject to eligible and qualified collateral</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Discount Window Borrower-in-</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Custody</w:t>
            </w: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w:t>
            </w:r>
          </w:p>
        </w:tc>
        <w:tc>
          <w:tcPr>
            <w:tcW w:w="40" w:type="dxa"/>
            <w:vAlign w:val="bottom"/>
            <w:shd w:val="clear" w:color="auto" w:fill="CCEEFF"/>
          </w:tcPr>
          <w:p>
            <w:pPr>
              <w:spacing w:after="0"/>
              <w:rPr>
                <w:sz w:val="20"/>
                <w:szCs w:val="20"/>
                <w:color w:val="auto"/>
              </w:rPr>
            </w:pPr>
          </w:p>
        </w:tc>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Unused credit line subject to the pledge of loans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Other available lines</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17,500</w:t>
            </w:r>
          </w:p>
        </w:tc>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unused borrowing capacity</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356,087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in the Federal Home Loan Bank of Boston may be required.</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June 30, 2017, the Company had $433.7 million of immediately accessible liquidity, defined as cash that the Bank reasonably believes could be raised within seven days through collateralized borrowings, brokered deposits or security sales. This position represented 40.3% of total assets. The Company also had $163.3 million of cash and cash equivalents at June 30, 2017.</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 parent company only basis, commitments and debt service requirements at June 30, 2017 consisted of junior subordinated debentures issued to NBN Capital Trust II, NBN Capital Trust III and NBN Capital Trust IV with a principal balance of $16.5 million as well as subordinated debt issued in June 2016 with a principal balance of $15.05 million. See Note 9 of the Notes to the Consolidated Financial Statements for carrying values, maturity dates and the use of purchased interest rate caps and swaps to hedge the interest expense in periods of rising interest rates. Based on the interest rates at June 30, 2017, the annual aggregate payments to meet the debt service of the junior subordinated debentures is approximately $526 thousand. In addition, for the year ended June 30, 2017, total annual interest expense on subordinated notes issued in June 2016 was $1.0 million.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principal sources of funds for the Company to meet parent-only obligations are dividends from the Bank, which are subject to regulatory limitations, and borrowings from public and private sources. For information on the restrictions on the payment of dividends by Northeast Bank, see Note 10 of the Notes to the Company's Consolidated Financial Statements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Operational risk, which we define as the risk of loss from failed internal processes, people and systems, and external events, is inherent in all of our business activities. The principal ways in which we manage operational risk include the establishment of departmental and business-specific policies and procedures, internal controls and monitoring requirements. Some specific examples include our information security program, business continuity planning and testing, our vendor management program, reconciliation processes, our enterprise risk assessment process, and new product and/or system introduction processes. Periodic internal audits provide an important independent check on adherence to policies, procedures and controls designed to mitigate risk exposure.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unused lines of credit and standby letters of credit is represented by the contractual amount of those instruments. 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committed amounts do not necessarily represent future cash requirements. To control the credit risk associated with entering into commitments and issuing letters of credit, the Company uses the same credit quality, collateral policies, and monitoring controls in making commitments and letters of credit as it does with its lending activities.</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The credit risk involved in issuing letters of credit is essentially the same as that involved in extending loans to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Unused lines of credit and commitments to extend credit typically result in loans with a market interest rate.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amounts of the Company’s contractual obligations and other commitments with off-balance sheet risk as of June 30, 2017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Payments Due - By Period</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150"/>
              <w:spacing w:after="0" w:line="195" w:lineRule="exact"/>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1-3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7"/>
              </w:rPr>
              <w:t>After 5</w:t>
            </w:r>
          </w:p>
        </w:tc>
        <w:tc>
          <w:tcPr>
            <w:tcW w:w="100" w:type="dxa"/>
            <w:vAlign w:val="bottom"/>
          </w:tcPr>
          <w:p>
            <w:pPr>
              <w:spacing w:after="0"/>
              <w:rPr>
                <w:sz w:val="16"/>
                <w:szCs w:val="16"/>
                <w:color w:val="auto"/>
              </w:rPr>
            </w:pPr>
          </w:p>
        </w:tc>
      </w:tr>
      <w:tr>
        <w:trPr>
          <w:trHeight w:val="230"/>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1 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Years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8"/>
                <w:szCs w:val="18"/>
                <w:color w:val="auto"/>
                <w:w w:val="87"/>
              </w:rPr>
              <w:t>(Dollars 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20,000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Subordinated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 debt obligations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52,489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20,306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16,496</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r>
      <w:tr>
        <w:trPr>
          <w:trHeight w:val="20"/>
        </w:trPr>
        <w:tc>
          <w:tcPr>
            <w:tcW w:w="4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 contractual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60,817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21,569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17,561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18,537</w:t>
            </w: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8"/>
                <w:szCs w:val="18"/>
                <w:color w:val="auto"/>
                <w:w w:val="96"/>
              </w:rPr>
              <w:t>Amount of Commitment Expiring - By Period</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150"/>
              <w:spacing w:after="0" w:line="195" w:lineRule="exact"/>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1-3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7"/>
              </w:rPr>
              <w:t>After 5</w:t>
            </w:r>
          </w:p>
        </w:tc>
        <w:tc>
          <w:tcPr>
            <w:tcW w:w="100" w:type="dxa"/>
            <w:vAlign w:val="bottom"/>
          </w:tcPr>
          <w:p>
            <w:pPr>
              <w:spacing w:after="0"/>
              <w:rPr>
                <w:sz w:val="16"/>
                <w:szCs w:val="16"/>
                <w:color w:val="auto"/>
              </w:rPr>
            </w:pPr>
          </w:p>
        </w:tc>
      </w:tr>
      <w:tr>
        <w:trPr>
          <w:trHeight w:val="230"/>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1 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Years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8"/>
                <w:szCs w:val="18"/>
                <w:color w:val="auto"/>
                <w:w w:val="87"/>
              </w:rPr>
              <w:t>(Dollars 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Commitments with off-balance sheet risk:</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15,244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15,244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Unused lines of credit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6,164</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Standby letters of credit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 to fund investment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 commitments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51,502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30,855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11,906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6,164</w:t>
            </w: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0" w:name="page51"/>
    <w:bookmarkEnd w:id="5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Shareholders’ equity was $122.8 million at June 30, 2017, an increase of $6.2 million from June 30, 2016. The increase was primarily due to earnings of</w:t>
      </w:r>
    </w:p>
    <w:p>
      <w:pPr>
        <w:spacing w:after="0" w:line="46"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$12.3 million, offset by $6.9 million in share repurchases (representing 645,238 shares). Additionally, there was stock-based compensation of $945 thousand, a decrease in accumulated other comprehensive loss of $274 thousand and $357 thousand in dividends paid on common stock.</w:t>
      </w:r>
    </w:p>
    <w:p>
      <w:pPr>
        <w:spacing w:after="0" w:line="1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See Note 10 of the Notes to the Consolidated Financial Statements for information on the Company's capital ratios. Regulatory capital ratios for the Company and the Bank currently exceed all applicable requirements, including the commitments made to the Federal Reserve and the Bureau in connection with the merger with FHB Formation LLC to maintain minimum Tier 1 leverage and total capital ratios of 10% and 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consolidated financial statements and related notes have been presented in terms of historic dollars without considering changes in the relative purchasing power of money over time due to inflation. Unlike industrial companies, nearly all of the assets and virtually all of the liabilities of the Company are monetary in nature. As a result, interest rates have a more significant impact on the Company's performance than the general level of inflation. Over short periods of time, interest rates may not necessarily move in the same direction or in the same magnitude as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1 of the Notes to the Consolidated Financial Statement includes the Financial Accounting Standards Board (“FASB”) and the SEC issued statements and interpretations affecting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Critical accounting policies are those that involve significant judgments and assessments by management, and that could potentially result in materially different results under different assumptions and conditions. The Company considers the following to be its critical accounting policies: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and purchased loans. Risk characteristics relevant to each portfolio segment are as follows:</w:t>
      </w:r>
    </w:p>
    <w:p>
      <w:pPr>
        <w:spacing w:after="0" w:line="188"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years ended June 30, 2017 or 2016.</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Purchased Loans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Loans that the Company purchases are initially recorded at fair value with no carryover of the related allowance for loan and lease losses. Determining the fair value of the purchased loans involves estimating the amount and timing of principal and interest cash flows initially expected to be collected on the loans and discounting those cash flows at an appropriate market rate of interest. The Company continues to evaluate the reasonableness of expectations for the timing and the amount of cash to be collected. Subsequent decreases in expected cash flows may result in changes in the amortization or accretion of fair market value adjustments, and in some cases may result in a loan being considered impaired.</w:t>
      </w:r>
    </w:p>
    <w:p>
      <w:pPr>
        <w:spacing w:after="0" w:line="16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Operations—Risk Management” and accompanying table set forth therein for quantitative and qualitative disclosures about market risk.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Northeast Bancorp</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Northeast Bancorp and subsidiary (“the Company”) as of June 30, 2017 and 2016, and the related consolidated statements of income, comprehensive income, changes in shareholders’ equity and cash flows for each of the two years in the period ended June 30, 2017.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June 30, 2017 and 2016, and the results of its operations and its cash flows for each of the two years in the period ended June 30, 2017, in conformity with accounting principles generally accepted in the United States of America.</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effectiveness of the Company's internal control over financial reporting as of June 30, 2017, based on criteria established in Internal Control — Integrated Framework issued by the Committee of Sponsoring Organizations of the Treadway Commission in 2013, and our report dated September 13, 2017 expressed an unqualified opinion.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2017</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Northeast Bancorp</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statements of income, comprehensive income, changes in shareholders' equity and cash flows of Northeast Bancorp and subsidiary for the year ended June 30, 2015. These financial statements are the responsibility of the Company's management. Our responsibility is to express an opinion on these financial statements based on our audit.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with respect to Northeast Bancorp and subsidiary, the consolidated results of their operations and their cash flows for the year ended June 30, 2015,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June 30, 2017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3,582</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 loans held for sale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SBA loans held for sale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held for sale</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498,004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779,195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Loans,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775,530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stock, at cost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Bank-owned life insurance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1,076,874</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986,153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ind w:left="2700"/>
              <w:spacing w:after="0" w:line="196" w:lineRule="exact"/>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Demand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69,827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and interest checking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337,037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889,850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800,432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Capital lease obligation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954,077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869,562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89"/>
              </w:rPr>
              <w:t>Preferred stock, $1.00 par value, 1,000,000 shares authorized; no shares issued and outstanding at June 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2017 and June 30, 2016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Voting common stock, $1.00 par value, 25,000,000 shares authorized; 7,840,460 and 8,089,790 shares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at June 30, 2017 and June 30, 2016, respectively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3"/>
              </w:rPr>
              <w:t>Non-voting common stock, $1.00 par value, 3,000,000 shares authorized; 991,194 and 1,227,683 shares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issued and outstanding at June 30, 2017 and June 30, 2016,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38,142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122,797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1,076,874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906"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906" w:gutter="0" w:footer="0" w:header="0"/>
          <w:type w:val="continuous"/>
        </w:sectPr>
      </w:pPr>
    </w:p>
    <w:bookmarkStart w:id="56" w:name="page57"/>
    <w:bookmarkEnd w:id="5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1"/>
              </w:rPr>
              <w:t>Year Ended June 30,</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55,857</w:t>
            </w: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45,849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6,027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7,855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37,762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36,651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Noninterest income: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SBA loans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on sale of other loans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(Loss) gain recognized on real estate owned and other repossessed collateral,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Bank-owned life insurance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Total noninterest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7,773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Noninterest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Occupancy and equipment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Data processing fees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FDIC insurance premiums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Total noninterest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33,812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11,723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12,339</w:t>
            </w: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7,619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8,898,448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9,474,999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9,980,733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8,952,614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9,484,635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9,980,733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70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703" w:gutter="0" w:footer="0" w:header="0"/>
          <w:type w:val="continuous"/>
        </w:sectPr>
      </w:pPr>
    </w:p>
    <w:bookmarkStart w:id="57" w:name="page58"/>
    <w:bookmarkEnd w:id="5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1"/>
              </w:rPr>
              <w:t>Year Ended June 30,</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12,339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comprehensive income (loss), before tax:</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Change in net unrealized (loss) gain on available-for-sale securities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and hedging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Change in accumulated gain (loss) on effective cash flow hedges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 included in net income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0"/>
        </w:trPr>
        <w:tc>
          <w:tcPr>
            <w:tcW w:w="64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ind w:left="180"/>
              <w:spacing w:after="0"/>
              <w:rPr>
                <w:sz w:val="20"/>
                <w:szCs w:val="20"/>
                <w:color w:val="auto"/>
              </w:rPr>
            </w:pPr>
            <w:r>
              <w:rPr>
                <w:rFonts w:ascii="Arial" w:cs="Arial" w:eastAsia="Arial" w:hAnsi="Arial"/>
                <w:sz w:val="18"/>
                <w:szCs w:val="18"/>
                <w:color w:val="auto"/>
              </w:rPr>
              <w:t>Total derivatives and hedging activities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(578)</w:t>
            </w: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 before tax</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Income tax expense (benefit) related to other comprehensive income (loss)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0"/>
        </w:trPr>
        <w:tc>
          <w:tcPr>
            <w:tcW w:w="6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64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12,613</w:t>
            </w:r>
          </w:p>
        </w:tc>
        <w:tc>
          <w:tcPr>
            <w:tcW w:w="140" w:type="dxa"/>
            <w:vAlign w:val="bottom"/>
          </w:tcPr>
          <w:p>
            <w:pPr>
              <w:spacing w:after="0"/>
              <w:rPr>
                <w:sz w:val="18"/>
                <w:szCs w:val="18"/>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7,001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7,136</w:t>
            </w:r>
          </w:p>
        </w:tc>
      </w:tr>
      <w:tr>
        <w:trPr>
          <w:trHeight w:val="20"/>
        </w:trPr>
        <w:tc>
          <w:tcPr>
            <w:tcW w:w="6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61"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(Dollars in thousands, except share and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w w:val="99"/>
              </w:rPr>
              <w:t>Non-voting Common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5"/>
              </w:rPr>
              <w:t>Accumulated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gridSpan w:val="4"/>
            <w:vMerge w:val="continue"/>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color w:val="auto"/>
              </w:rPr>
              <w:t>Additional</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right="239"/>
              <w:spacing w:after="0"/>
              <w:rPr>
                <w:sz w:val="20"/>
                <w:szCs w:val="20"/>
                <w:color w:val="auto"/>
              </w:rPr>
            </w:pPr>
            <w:r>
              <w:rPr>
                <w:rFonts w:ascii="Arial" w:cs="Arial" w:eastAsia="Arial" w:hAnsi="Arial"/>
                <w:sz w:val="16"/>
                <w:szCs w:val="16"/>
                <w:color w:val="auto"/>
                <w:w w:val="89"/>
              </w:rPr>
              <w:t>Other</w:t>
            </w:r>
          </w:p>
        </w:tc>
        <w:tc>
          <w:tcPr>
            <w:tcW w:w="220" w:type="dxa"/>
            <w:vAlign w:val="bottom"/>
          </w:tcPr>
          <w:p>
            <w:pPr>
              <w:spacing w:after="0"/>
              <w:rPr>
                <w:sz w:val="16"/>
                <w:szCs w:val="16"/>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Preferred Stock</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color w:val="auto"/>
                <w:w w:val="97"/>
              </w:rPr>
              <w:t>Voting Common Stock</w:t>
            </w:r>
          </w:p>
        </w:tc>
        <w:tc>
          <w:tcPr>
            <w:tcW w:w="11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Stock</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color w:val="auto"/>
                <w:w w:val="92"/>
              </w:rPr>
              <w:t>Paid-in</w:t>
            </w:r>
          </w:p>
        </w:tc>
        <w:tc>
          <w:tcPr>
            <w:tcW w:w="820" w:type="dxa"/>
            <w:vAlign w:val="bottom"/>
            <w:gridSpan w:val="2"/>
          </w:tcPr>
          <w:p>
            <w:pPr>
              <w:jc w:val="right"/>
              <w:ind w:right="79"/>
              <w:spacing w:after="0"/>
              <w:rPr>
                <w:sz w:val="20"/>
                <w:szCs w:val="20"/>
                <w:color w:val="auto"/>
              </w:rPr>
            </w:pPr>
            <w:r>
              <w:rPr>
                <w:rFonts w:ascii="Arial" w:cs="Arial" w:eastAsia="Arial" w:hAnsi="Arial"/>
                <w:sz w:val="16"/>
                <w:szCs w:val="16"/>
                <w:color w:val="auto"/>
                <w:w w:val="99"/>
              </w:rPr>
              <w:t>Retained</w:t>
            </w:r>
          </w:p>
        </w:tc>
        <w:tc>
          <w:tcPr>
            <w:tcW w:w="1200" w:type="dxa"/>
            <w:vAlign w:val="bottom"/>
            <w:gridSpan w:val="2"/>
          </w:tcPr>
          <w:p>
            <w:pPr>
              <w:ind w:left="80"/>
              <w:spacing w:after="0"/>
              <w:rPr>
                <w:sz w:val="20"/>
                <w:szCs w:val="20"/>
                <w:color w:val="auto"/>
              </w:rPr>
            </w:pPr>
            <w:r>
              <w:rPr>
                <w:rFonts w:ascii="Arial" w:cs="Arial" w:eastAsia="Arial" w:hAnsi="Arial"/>
                <w:sz w:val="16"/>
                <w:szCs w:val="16"/>
                <w:color w:val="auto"/>
                <w:w w:val="98"/>
              </w:rPr>
              <w:t>Comprehensive</w:t>
            </w:r>
          </w:p>
        </w:tc>
        <w:tc>
          <w:tcPr>
            <w:tcW w:w="1060" w:type="dxa"/>
            <w:vAlign w:val="bottom"/>
            <w:gridSpan w:val="3"/>
          </w:tcPr>
          <w:p>
            <w:pPr>
              <w:ind w:left="80"/>
              <w:spacing w:after="0"/>
              <w:rPr>
                <w:sz w:val="20"/>
                <w:szCs w:val="20"/>
                <w:color w:val="auto"/>
              </w:rPr>
            </w:pPr>
            <w:r>
              <w:rPr>
                <w:rFonts w:ascii="Arial" w:cs="Arial" w:eastAsia="Arial" w:hAnsi="Arial"/>
                <w:sz w:val="16"/>
                <w:szCs w:val="16"/>
                <w:color w:val="auto"/>
                <w:w w:val="97"/>
              </w:rPr>
              <w:t>Shareholders’</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Arial" w:cs="Arial" w:eastAsia="Arial" w:hAnsi="Arial"/>
                <w:sz w:val="16"/>
                <w:szCs w:val="16"/>
                <w:color w:val="auto"/>
                <w:w w:val="82"/>
              </w:rPr>
              <w:t>Shares</w:t>
            </w:r>
          </w:p>
        </w:tc>
        <w:tc>
          <w:tcPr>
            <w:tcW w:w="140" w:type="dxa"/>
            <w:vAlign w:val="bottom"/>
          </w:tcPr>
          <w:p>
            <w:pPr>
              <w:spacing w:after="0"/>
              <w:rPr>
                <w:sz w:val="17"/>
                <w:szCs w:val="17"/>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6"/>
                <w:szCs w:val="16"/>
                <w:color w:val="auto"/>
              </w:rPr>
              <w:t>Amount</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Shares</w:t>
            </w:r>
          </w:p>
        </w:tc>
        <w:tc>
          <w:tcPr>
            <w:tcW w:w="860" w:type="dxa"/>
            <w:vAlign w:val="bottom"/>
            <w:gridSpan w:val="2"/>
          </w:tcPr>
          <w:p>
            <w:pPr>
              <w:jc w:val="right"/>
              <w:ind w:right="139"/>
              <w:spacing w:after="0"/>
              <w:rPr>
                <w:sz w:val="20"/>
                <w:szCs w:val="20"/>
                <w:color w:val="auto"/>
              </w:rPr>
            </w:pPr>
            <w:r>
              <w:rPr>
                <w:rFonts w:ascii="Arial" w:cs="Arial" w:eastAsia="Arial" w:hAnsi="Arial"/>
                <w:sz w:val="16"/>
                <w:szCs w:val="16"/>
                <w:color w:val="auto"/>
              </w:rPr>
              <w:t>Amount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Shares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color w:val="auto"/>
                <w:w w:val="92"/>
              </w:rPr>
              <w:t>Capital</w:t>
            </w:r>
          </w:p>
        </w:tc>
        <w:tc>
          <w:tcPr>
            <w:tcW w:w="820" w:type="dxa"/>
            <w:vAlign w:val="bottom"/>
            <w:gridSpan w:val="2"/>
          </w:tcPr>
          <w:p>
            <w:pPr>
              <w:jc w:val="right"/>
              <w:ind w:right="79"/>
              <w:spacing w:after="0"/>
              <w:rPr>
                <w:sz w:val="20"/>
                <w:szCs w:val="20"/>
                <w:color w:val="auto"/>
              </w:rPr>
            </w:pPr>
            <w:r>
              <w:rPr>
                <w:rFonts w:ascii="Arial" w:cs="Arial" w:eastAsia="Arial" w:hAnsi="Arial"/>
                <w:sz w:val="16"/>
                <w:szCs w:val="16"/>
                <w:color w:val="auto"/>
              </w:rPr>
              <w:t>Earnings</w:t>
            </w:r>
          </w:p>
        </w:tc>
        <w:tc>
          <w:tcPr>
            <w:tcW w:w="280" w:type="dxa"/>
            <w:vAlign w:val="bottom"/>
          </w:tcPr>
          <w:p>
            <w:pPr>
              <w:spacing w:after="0"/>
              <w:rPr>
                <w:sz w:val="17"/>
                <w:szCs w:val="17"/>
                <w:color w:val="auto"/>
              </w:rPr>
            </w:pPr>
          </w:p>
        </w:tc>
        <w:tc>
          <w:tcPr>
            <w:tcW w:w="920" w:type="dxa"/>
            <w:vAlign w:val="bottom"/>
          </w:tcPr>
          <w:p>
            <w:pPr>
              <w:jc w:val="center"/>
              <w:ind w:right="239"/>
              <w:spacing w:after="0"/>
              <w:rPr>
                <w:sz w:val="20"/>
                <w:szCs w:val="20"/>
                <w:color w:val="auto"/>
              </w:rPr>
            </w:pPr>
            <w:r>
              <w:rPr>
                <w:rFonts w:ascii="Arial" w:cs="Arial" w:eastAsia="Arial" w:hAnsi="Arial"/>
                <w:sz w:val="16"/>
                <w:szCs w:val="16"/>
                <w:color w:val="auto"/>
                <w:w w:val="94"/>
              </w:rPr>
              <w:t>Loss</w:t>
            </w:r>
          </w:p>
        </w:tc>
        <w:tc>
          <w:tcPr>
            <w:tcW w:w="22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96"/>
        </w:trPr>
        <w:tc>
          <w:tcPr>
            <w:tcW w:w="260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2014</w:t>
            </w: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9,260,331</w:t>
            </w:r>
          </w:p>
        </w:tc>
        <w:tc>
          <w:tcPr>
            <w:tcW w:w="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9,260</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880,963</w:t>
            </w:r>
          </w:p>
        </w:tc>
        <w:tc>
          <w:tcPr>
            <w:tcW w:w="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90,914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12,182</w:t>
            </w:r>
          </w:p>
        </w:tc>
        <w:tc>
          <w:tcPr>
            <w:tcW w:w="2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7,141</w:t>
            </w:r>
          </w:p>
        </w:tc>
        <w:tc>
          <w:tcPr>
            <w:tcW w:w="2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Other comprehensive</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loss,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repurchased</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(710,662)</w:t>
            </w:r>
          </w:p>
        </w:tc>
        <w:tc>
          <w:tcPr>
            <w:tcW w:w="24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(711)</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(5,955)</w:t>
            </w:r>
          </w:p>
        </w:tc>
        <w:tc>
          <w:tcPr>
            <w:tcW w:w="2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(6,666)</w:t>
            </w: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Conversion of voting</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common stock to</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non-voting</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(131,776)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131,776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Dividends on</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common stock at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$0.04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(402)</w:t>
            </w:r>
          </w:p>
        </w:tc>
        <w:tc>
          <w:tcPr>
            <w:tcW w:w="2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Stock-based</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Issuance of restricted</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common stock</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174,000</w:t>
            </w:r>
          </w:p>
        </w:tc>
        <w:tc>
          <w:tcPr>
            <w:tcW w:w="24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174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Forfeiture of</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restricted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(16,749)</w:t>
            </w:r>
          </w:p>
        </w:tc>
        <w:tc>
          <w:tcPr>
            <w:tcW w:w="2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w:t>
            </w:r>
          </w:p>
        </w:tc>
        <w:tc>
          <w:tcPr>
            <w:tcW w:w="5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Arial" w:cs="Arial" w:eastAsia="Arial" w:hAnsi="Arial"/>
                <w:sz w:val="16"/>
                <w:szCs w:val="16"/>
                <w:color w:val="auto"/>
              </w:rPr>
              <w:t>Balance at June 30, 2015</w:t>
            </w: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8,575,144</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8,575</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1,012,739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85,506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18,921</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7,619</w:t>
            </w: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Other comprehensive</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loss, net of tax</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(618)</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Common stock</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repurchased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(322,900)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Conversion of voting</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common stock to</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non-voting</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common stock</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(214,944)</w:t>
            </w:r>
          </w:p>
        </w:tc>
        <w:tc>
          <w:tcPr>
            <w:tcW w:w="24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214,944</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Dividends on</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common stock at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$0.04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Stock-based</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compensation</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2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Issuance of restricted</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Cancellations and</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forfeiture of</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restricted common</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(47,510)</w:t>
            </w:r>
          </w:p>
        </w:tc>
        <w:tc>
          <w:tcPr>
            <w:tcW w:w="240" w:type="dxa"/>
            <w:vAlign w:val="bottom"/>
          </w:tcPr>
          <w:p>
            <w:pPr>
              <w:spacing w:after="0"/>
              <w:rPr>
                <w:sz w:val="17"/>
                <w:szCs w:val="17"/>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(48)</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7"/>
                <w:szCs w:val="17"/>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2600" w:type="dxa"/>
            <w:vAlign w:val="bottom"/>
          </w:tcPr>
          <w:p>
            <w:pPr>
              <w:ind w:left="660"/>
              <w:spacing w:after="0"/>
              <w:rPr>
                <w:sz w:val="20"/>
                <w:szCs w:val="20"/>
                <w:color w:val="auto"/>
              </w:rPr>
            </w:pPr>
            <w:r>
              <w:rPr>
                <w:rFonts w:ascii="Arial" w:cs="Arial" w:eastAsia="Arial" w:hAnsi="Arial"/>
                <w:sz w:val="16"/>
                <w:szCs w:val="16"/>
                <w:color w:val="auto"/>
              </w:rPr>
              <w:t>stock</w:t>
            </w:r>
          </w:p>
        </w:tc>
        <w:tc>
          <w:tcPr>
            <w:tcW w:w="5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2016</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8,089,790</w:t>
            </w: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8,089</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1,227,683</w:t>
            </w: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26,160</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116,591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5"/>
                <w:szCs w:val="15"/>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12,339</w:t>
            </w:r>
          </w:p>
        </w:tc>
        <w:tc>
          <w:tcPr>
            <w:tcW w:w="280" w:type="dxa"/>
            <w:vAlign w:val="bottom"/>
          </w:tcPr>
          <w:p>
            <w:pPr>
              <w:spacing w:after="0"/>
              <w:rPr>
                <w:sz w:val="15"/>
                <w:szCs w:val="15"/>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Other comprehensive</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income,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repurchased</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(645,238)</w:t>
            </w:r>
          </w:p>
        </w:tc>
        <w:tc>
          <w:tcPr>
            <w:tcW w:w="24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(645)</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(6,298)</w:t>
            </w:r>
          </w:p>
        </w:tc>
        <w:tc>
          <w:tcPr>
            <w:tcW w:w="2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Conversion of voting</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common stock to</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non-voting</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236,489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(236,489)</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Dividends on</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common stock at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$0.04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(357)</w:t>
            </w:r>
          </w:p>
        </w:tc>
        <w:tc>
          <w:tcPr>
            <w:tcW w:w="2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Stock-based</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Issuance of restricted</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common stock</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170,000</w:t>
            </w:r>
          </w:p>
        </w:tc>
        <w:tc>
          <w:tcPr>
            <w:tcW w:w="24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170</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w:t>
            </w:r>
          </w:p>
        </w:tc>
        <w:tc>
          <w:tcPr>
            <w:tcW w:w="2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Cancellations and</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forfeiture of</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restricted common</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stock</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3"/>
        </w:trPr>
        <w:tc>
          <w:tcPr>
            <w:tcW w:w="3100" w:type="dxa"/>
            <w:vAlign w:val="bottom"/>
            <w:gridSpan w:val="2"/>
          </w:tcPr>
          <w:p>
            <w:pPr>
              <w:ind w:left="500"/>
              <w:spacing w:after="0"/>
              <w:rPr>
                <w:sz w:val="20"/>
                <w:szCs w:val="20"/>
                <w:color w:val="auto"/>
              </w:rPr>
            </w:pPr>
            <w:r>
              <w:rPr>
                <w:rFonts w:ascii="Arial" w:cs="Arial" w:eastAsia="Arial" w:hAnsi="Arial"/>
                <w:sz w:val="16"/>
                <w:szCs w:val="16"/>
                <w:color w:val="auto"/>
              </w:rPr>
              <w:t>Stock options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ind w:left="660"/>
              <w:spacing w:after="0"/>
              <w:rPr>
                <w:sz w:val="20"/>
                <w:szCs w:val="20"/>
                <w:color w:val="auto"/>
              </w:rPr>
            </w:pPr>
            <w:r>
              <w:rPr>
                <w:rFonts w:ascii="Arial" w:cs="Arial" w:eastAsia="Arial" w:hAnsi="Arial"/>
                <w:sz w:val="16"/>
                <w:szCs w:val="16"/>
                <w:color w:val="auto"/>
              </w:rPr>
              <w:t>exercised, net</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6,375</w:t>
            </w:r>
          </w:p>
        </w:tc>
        <w:tc>
          <w:tcPr>
            <w:tcW w:w="24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6"/>
        </w:trPr>
        <w:tc>
          <w:tcPr>
            <w:tcW w:w="2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6"/>
                <w:szCs w:val="16"/>
                <w:color w:val="auto"/>
              </w:rPr>
              <w:t>Balance at June 30, 2017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7,840,460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7,841</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991,194</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77,455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38,142</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(1,632)</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122,797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1"/>
              </w:rPr>
              <w:t>Year Ended June 30,</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12,339</w:t>
            </w: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7,619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Loss (gain) recognized on real estate owned, other repossessed collateral and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premise and equipment, net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Accretion of fair value adjustments on loans,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(12,093)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(9,384)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fair value adjustments on deposits,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Accretion of fair value adjustments on borrowings,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subordinated debt issuance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Originations of loans held for sale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(122,924)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(130,010)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sales of loans held for sale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134,522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SBA and other loans held for sale,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Depreciation of premises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(benefit) expense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available-for-sale securities,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Changes in other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(19,526)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(45,160)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Proceeds from maturities and principal payments on available-for-sale securities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Loan purchases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(112,807)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(99,999)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(93,680)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(67,639)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(94,137)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subordinated debt, net of debt issuance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125,679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short-term borrowings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Repayment of FHLBB borrowings and wholesale repurchase agreements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Taxes paid through cancellation of common stock</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123,852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Cash and cash equivalents, end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163,283</w:t>
            </w: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151,157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89,850</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Supplemental schedule of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Income taxes paid,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Transfers from loans to real estate owned and other repossessed collateral,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757"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757" w:gutter="0" w:footer="0" w:header="0"/>
          <w:type w:val="continuous"/>
        </w:sectPr>
      </w:pPr>
    </w:p>
    <w:bookmarkStart w:id="61" w:name="page62"/>
    <w:bookmarkEnd w:id="6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accounting and reporting policies of Northeast Bancorp and Subsidiary (the “Company" or "Northeast") conform to accounting principles generally accepted in the United States of America ("US GAAP") and conform to practices within the financial services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a Maine corporation and a bank holding company registered with the Federal Reserve Bank of Boston ("FRB") under the Bank Holding Company Act of 1956. As a bank holding company, the Company is subject to the regulation and supervision of the FRB. The Company provides a full range of banking services to individual and corporate customers throughout south-central and western Maine and conducts loan purchasing and origination activities nationwide through its wholly-owned subsidiary, Northeast Bank (the "Bank"), a Maine state-chartered universal bank. The Bank is subject to supervision and regulation by applicable state and federal banking agencies, including the State of Maine Bureau of Financial Institutions, the Federal Deposit Insurance Corporation ("FDIC"), and the FRB. The Bank faces competition from banks and other financial institutions.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 Accounting</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29, 2010, the Company merged with FHB Formation LLC (the "Merger"). The Company applied the acquisition method of accounting to this business combination, which represented an acquisition by FHB Formation LLC ("FHB") of Northeast, with Northeast as the surviving company. Under the acquisition method, the acquiring entity in a business combination recognizes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In the Merger, amounts allocated to assets acquired and liabilities assumed were greater than the purchase price, which resulted in the recognition of a bargain purchase gain. Acquisition-related costs were expensed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Northeast Bancorp, and its wholly-owned subsidiary, Northeast Bank (including the Bank's wholly-owned subsidiaries). All significant intercompany transactions and balances have been eliminated in consolidation.</w:t>
      </w:r>
    </w:p>
    <w:p>
      <w:pPr>
        <w:spacing w:after="0" w:line="14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 xml:space="preserve">NBN Capital Trust II, NBN Capital Trust III and NBN Capital Trust IV are considered affiliates and are deconsolidated pursuant to criteria established by Financial Accounting Standards Board (“FASB”)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investments in these affiliates were $496 thousand in aggregate and are included in other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previously reported amounts have been reclassified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financial statements have been prepared in conformity with US GAAP. In preparing the financial statements, management is required to make estimates and assumptions that affect the reported amounts of assets and liabilities and the disclosure of contingent assets and liabilities as of the date of the statement of financial condition and income and expenses for the period. Actual results could differ significantly from those estimates.</w:t>
      </w:r>
    </w:p>
    <w:p>
      <w:pPr>
        <w:spacing w:after="0" w:line="166"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Material estimates that are particularly susceptible to significant change relate to the determination of the allowance for loan losses, the determination of fair values in conjunction with the application of loan acquisition accounting, and the on-going evaluation of assets for potential impairment.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 of Credit Risk</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Most of the Community Banking Division's business activity is with customers located within the State of Maine. However, the business activities of the Bank’s Loan Acquisition and Servicing Group ("LASG") and the SBA Division are diversified across the country. In all regions, the Company’s focus is to originate and purchase commercial real estate loans. Repayment of loans is expected from cash flows of the borrower. Losses on secured loans are limited by the value of the collateral upon default of the borrowers. The Company does not have any significant concentrations to any one industry or customer.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purposes of presentation in the consolidated statements of cash flows, cash and cash equivalents consist of cash and due from banks and short-term investments. The Company is required to maintain a certain reserve balance in the form of cash or deposits with other financial institutions. At June 30, 2017 and 2016, such reserve balances totaled $2.7 million and $4.0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Available-for-Sale Securities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Securities for which the Company has the positive intent and ability to hold to maturity are classified as held to maturity and carried at amortized cost. Those securities held for indefinite periods of time but not necessarily to maturity are classified as available for sale. Securities held for indefinite periods of time include securities that management intends to use as part of its asset/liability, liquidity, or capital management strategies and may be sold in response to changes in interest rates, maturities, asset/liability mix, liquidity needs, regulatory capital needs or other business factors. Securities available for sale are carried at estimated fair value with unrealized gains and losses reported on an after-tax basis in shareholders' equity as accumulated other comprehensive income or loss.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Interest and dividends on securities are recorded on the accrual method. Premiums and discounts on securities are amortized or accreted into interest income by the level-yield method over the remaining period to contractual maturity, adjusted for the effect of actual prepayments in the case of mortgage-backed securities. These estimates of prepayment assumptions are made based upon the actual performance of the underlying security, current interest rates, the general market consensus regarding changes in mortgage interest rates, the contractual repayment terms of the underlying loans, the priority rights of the investors to the cash flows from the mortgage securities and other economic conditions. When differences arise between anticipated prepayments and actual prepayments, the effective yield is recalculated to reflect actual payments to date and anticipated future payments. Unamortized premium or discount is adjusted to the amount that would have existed had the new effective yield been applied since purchase, with a corresponding charge or credit to interest income.</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Security transactions are recorded on the trade date. Realized gains and losses are determined using the specific identification method and are recorded in non-interest income.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evaluates securities for other-than-temporary impairment on a periodic basis. Factors considered in determining whether an impairment is other-than-temporary include: (1) the length of time and the extent to which the fair value has been less than cost, (2) the financial condition and near-term prospects of the issuer and (3) the intent and ability of the Company to hold the investment for a period of time sufficient to allow for any anticipated recovery in fair value. If the Company intends to sell an impaired security, the Company records an other-than-temporary loss in an amount equal to the entire difference between the fair value and amortized cost. If a security is determined to be other-than-temporarily impaired but the Company does not intend to sell the security, only the credit portion of the estimated loss is recognized in earnings, with the other portion of the loss recognized in other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 Stock</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periods presented, the Company has owned investments in the stock of the Federal Home Loan Bank of Boston ("FHLBB"). No ready market exists for these stocks, and they have no quoted market values. The Bank, as a member of the FHLBB, is required to maintain investments in the capital stock of the FHLBB equal to their membership base investments plus an activity-based investment determined according to the Bank's level of outstanding FHLBB advances. The Company reviews its investments in FHLBB stock periodically to determine if other-than-temporary impairment exists. The Company reviews recent public filings, rating agency analysis and other factors, when making the determination. As of June 30, 2017 and 2016, no impairment has been recognized.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 Held for Sale and Loan Servicing</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Residential real estate mortgage loans are designated as held for sale or held to maturity based on intent, which is determined when loans are underwritten. Loans originated and held for sale in the secondary market are carried at the lower of cost or fair value. The SBA Division loans are designated as held for sale based on intent to sell, which is determined on a quarterly basis. The guaranteed portions of the loans are transferred to held for sale and are carried at the lower of cost or fair value. Realized gains and losses on sales of residential loans are determined using the specific identification method, and realized gains and losses on sales of SBA loans are determined using the allocation of participating interests sold and retained. Direct loan origination costs and fees related to loans held for sale are deferred upon origination and are recognized as an adjustment to the gain or loss on the date of sale.</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its mortgage banking activities, the Company sells loans both on a servicing released and servicing retained basis. The Company recognizes as separate assets the rights to service mortgage loans for others, which is classified as servicing rights, net, on the consolidated balance sheet. The Company capitalizes mortgage servicing rights at their allocated cost (based on the relative fair values of the rights and the related loans) upon the sale of the related loans. The Company uses the amortization method to subsequently measure servicing assets. Mortgage servicing rights are amortized over the estimated weighted average life of the loans. The Company's assumptions with respect to prepayments, which affect the estimated average life of the loans, are adjusted quarterly and as necessary to reflect current circumstances. The Company evaluates the estimated life and fair value of its servicing portfolio based on data that is disaggregated to reflect note rate, type, and term on the underlying loans. The Company performs an assessment of capitalized mortgage servicing rights for impairment based on the current fair value of those rights. Fair value of the mortgage servicing rights is based on a valuation model that calculates the present value of estimated future net servicing income. The valuation model incorporates assumptions that market participants would use in estimating future net servicing income, such as the cost to service, the discount rate, prepayment speeds and default rates and losses. Impairment is recognized through a valuation allowance to the extent that fair value is less than the capitalized amount. If the Company later determines that all or a portion of the impairment no longer exists, a reduction of the allowance may be recorded as an increase to income.</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mortgage loans to be held for sale, the Company often offers interest rate lock commitments to prospective borrowers. The Company manages this interest rate risk by entering into offsetting forward sale agreements with third party investors for certain funded loans and loan commitments. The Company uses "best efforts" forward loan sale commitments to mitigate the risk of potential decreases in the values of loans that would result from the exercise of the derivative loan commitments. The gross effect of the derivative loan commitments and forward sale agreements is nominal at each date presented.</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its SBA Division activities, the Company recognizes the SBA servicing rights as separate assets, which is classified as servicing rights, net, on the consolidated balance sheet. The Company capitalizes SBA servicing rights at the net present value of the fee income and fee cost spread upon the sale of the related loans. The Company uses the amortization method to subsequently measure servicing assets. The SBA servicing rights are amortized over the estimated weighted average life of the loans. The Company's assumptions with respect to prepayments, which affect the estimated average life of the loans, are adjusted quarterly and as necessary to reflect current circumstances. The Company evaluates the estimated life and fair value of its servicing portfolio based on data that is disaggregated to reflect note rate, type, and term on the underlying loans. The Company performs an assessment of capitalized SBA servicing rights for impairment based on the current fair value of those rights. Fair value of the servicing rights is based on a valuation model that calculates the present value of estimated future net servicing income. The valuation model incorporates assumptions that market participants would use in estimating future net servicing income, such as the cost to service, the discount rate, prepayment speeds and default rates and losses. Impairment is recognized through a valuation allowance to the extent that fair value is less than the capitalized amount. If the Company later determines that all or a portion of the impairment no longer exists, a reduction of the allowance may be recorded as an increase to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any unamortized discount or premium is recognized in interest income. Interest income is accrued based upon the daily principal amount outstanding except for loans on nonaccrual status.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generally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and purchased loans. Risk characteristics relevant to each portfolio segment are as follows:</w:t>
      </w:r>
    </w:p>
    <w:p>
      <w:pPr>
        <w:spacing w:after="0" w:line="188"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Levels and trends in delinquencies and non-performing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years ended June 30, 2017 or 2016.</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Premises and Equipment</w:t>
      </w:r>
    </w:p>
    <w:p>
      <w:pPr>
        <w:spacing w:after="0" w:line="22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Premises and equipment are stated at cost less accumulated depreciation. Depreciation is computed by the straight-line method over the estimated useful lives of the assets. Premises and equipment under capital leases are amortized over the estimated useful lives of the assets or the respective lease terms, whichever is shorter. Maintenance and repairs are charged to expense as incurred and the cost of major renewals and betterments are capitalized.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Identifiable intangible assets subject to amortization are amortized over the estimated lives of the intangibles using a method that approximates the amount of economic benefits that are realized by the Company. Identifiable intangible assets are reviewed for impairment annually and whenever events or changes in circumstances indicate that the carrying amount of the assets may not be recoverable.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Owned and Other Repossessed Collateral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in control of the Company or acquired through foreclosure or repossession are held for sale and are initially recorded at fair value less cost to sell at the date control is established, resulting in a new cost basis. The amount by which the recorded investment in the loan exceeds the fair value (net of estimated cost to sell) of the foreclosed asset is charged to the allowance for loan losses. Subsequent declines in the fair value of the foreclosed asset below the new cost basis are recorded through the use of a valuation allowance or through a direct write-off. Subsequent increases in the fair value may only be recorded to the extent of any previously recognized valuation allowance. Rental revenue received and gains and losses recognized on foreclosed assets is included in other noninterest income, whereas operating expenses and changes in the valuation allowance relating to foreclosed assets are included in other noninterest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Company reviews long-lived assets, including premises and equipment, for impairment whenever events or changes in business circumstances indicate that the remaining useful life may warrant revision or that the carrying amount of the long-lived asset may not be fully recoverable. The Company performs undiscounted cash flow analyses to determine if impairment exists. If impairment is determined to exist, any related impairment loss is calculated based on fair value. Impairment losses on assets to be disposed of, if any, are based on the estimated proceeds to be received, less costs of disposal.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Bank-Owned Life Insurance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Increases in the cash surrender value of life insurance policies, as well as death benefits received net of any cash surrender value, are recorded in other noninterest income, and are not subject to income taxes. The cash surrender value of the policies not previously endorsed to participants are recorded as assets of the Company. Any amounts owed to participants relating to these policies are recorded as liabilities of the Company. The Company reviews the financial strength of the insurance carriers prior to the purchase of life insurance policies and no less than annually thereafter.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Company's policy is to recognize interest and penalties assessed on uncertain tax positions in income tax expense.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stock-based compensation plans provide for awards of stock options, restricted stock and other stock-based compensation to directors, officers and employees. The cost of employee services received in exchange for awards of equity instruments is based on the grant-date fair value of those awards. Compensation cost is recognized over the requisite service period as a component of compensation expense. For awards with graded-vesting, compensation cost is recognized on a straight-line basis over the requisite service period for the entire award. The Company uses the Black-Scholes model to estimate the fair value of stock options, while the market price of the Company's common stock at the date of grant is used for restricted stock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Comprehensive Income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Comprehensive income consists of net income and other comprehensive income (loss). Other comprehensive income (loss) includes unrealized gains and losses on securities available for sale, unrealized losses related to factors other than credit on debt securities, unrealized gains and losses on cash flow hedges and deferred gains on hedge accounting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(inclusive of participating securities). Diluted earnings per share have been calculated in a manner similar to that of basic earnings per share except that the weighted average number of common shares outstanding is increased to include the number of additional common shares that would have been outstanding if all potentially dilutive common shares (such as those resulting from the exercise of stock options or the attainment of performance measures) were issued during the period, computed using the treasury stock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Derivative instruments are carried at fair value in the Company's financial statements. The accounting for changes in the fair value of a derivative instrument is determined by whether it has been designated and qualifies as part of a hedging relationship, and further, by the type of hedging relationship. For those derivative instruments that are designated and qualify as hedging instruments, the Company designates the hedging instrument, based upon the exposure being hedged, as either a fair value hedge or a cash flow hedge. For derivative instruments that are designated and qualify as a cash flow hedge (i.e., hedging the exposure to variability in expected future cash flows that is attributable to a particular risk), the effective portion of the gain or loss on the derivative instrument is reported as a component of other comprehensive income, net of related tax, and reclassified into earnings in the same period or periods during which the hedged transactions affect earnings. The remaining gain or loss on the derivative instrument in excess of the cumulative change in the present value of future cash flows of the hedged item (i.e., the ineffective portion), if any, is recognized in current earnings during the period. For derivative instruments designated and qualifying as a fair value hedge (i.e., hedging the exposure to changes in the fair value of an asset or liability or an identified portion thereof that is attributable to the hedged risk), the gain or loss on the derivative instrument, as well as the offsetting gain or loss on the hedged item attributable to the hedged risk, are recognized in current earnings during the period of the change in fair values. At the inception of a hedge, the Company documents certain items, including but not limited to the following: the relationship between hedging instruments and hedged items, Company risk management objectives, hedging strategies, and the evaluation of hedge transaction effectiveness. Documentation includes linking all derivatives designated as fair value or cash flow hedges to specific assets and liabilities on the balance sheet or to specific forecasted transactions.</w:t>
      </w:r>
    </w:p>
    <w:p>
      <w:pPr>
        <w:spacing w:after="0" w:line="17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Hedge accounting is discontinued prospectively when (1) a derivative is no longer highly effective in offsetting changes in the fair value or cash flow of a hedged item, (2) a derivative expires or is sold, (3) a derivative is de-designated as a hedge, because it is unlikely that a forecasted transaction will occur, or</w:t>
      </w:r>
    </w:p>
    <w:p>
      <w:pPr>
        <w:ind w:right="80" w:firstLine="8"/>
        <w:spacing w:after="0" w:line="261"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determined that designation of a derivative as a hedge is no longer appropriate. For derivative instruments not designated as hedging instruments, the gain or loss on the derivative is recognized in current earnings during the period of change.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Transfer of Financial Assets</w:t>
      </w:r>
    </w:p>
    <w:p>
      <w:pPr>
        <w:spacing w:after="0" w:line="225"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There are no agreements to repurchase before their maturity.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Transfers of a portion of a loan must meet the criteria of a participating interest. If it does not meet the criteria of a participating interest, the transfer must be accounted for as a secured borrowing. In order to meet the criteria for a participating interest, all cash flows from the loan must be divided proportionately, the rights of each loan holder must have the same priority, and the loan holders must have no recourse to the transferor other than standard representations and warranties and no loan holder has the right to pledge or exchange the entire loan.</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sells financial assets in the normal course of business, the majority of which are related to the SBA-guaranteed portion of loans, as well as residential mortgage loan sales through established programs, commercial loan sales through participation agreements, and other individual or portfolio loan and securities sales. In accordance with accounting guidance for asset transfers, the Company considers any ongoing involvement with transferred assets in determining whether the assets can be derecognized from the balance sheet. With the exception of servicing and certain performance-based guarantees, the Company's continuing involvement with financial assets sold is minimal and generally limited to market customary representation and warranty clauses.</w:t>
      </w:r>
    </w:p>
    <w:p>
      <w:pPr>
        <w:spacing w:after="0" w:line="15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When the Company sells financial assets, it may retain servicing rights and/or other interests in the financial assets. The gain or loss on sale depends on the previous carrying amount of the transferred financial assets, the servicing right recognized, and the consideration received and any liabilities incurred in exchange for the transferred assets. Upon transfer, any servicing assets and other interests held by the Company are carried at the lower of cost or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operations are considered by management to be one operating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w:t>
      </w:r>
      <w:r>
        <w:rPr>
          <w:rFonts w:ascii="Arial" w:cs="Arial" w:eastAsia="Arial" w:hAnsi="Arial"/>
          <w:sz w:val="17"/>
          <w:szCs w:val="17"/>
          <w:color w:val="auto"/>
        </w:rPr>
        <w:t>(“ASU 2015-14”) was issued in August 2015 which defers adoption to annual reporting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2017. The timing of the Company’s revenue recognition is not expected to materially change. The Company’s largest portions of revenue, interest and fees on loans and gain on sales of loans, are specifically excluded from the scope of the guidance, and the Company currently recognizes the majority of the remaining revenue sources in a manner that management believes is consistent with the new guidance. Because of this, management believes that revenue recognized under the new guidance will generally approximate revenue recognized under current GAAP. These observations are subject to change as the evaluation is completed.</w:t>
      </w:r>
    </w:p>
    <w:p>
      <w:pPr>
        <w:spacing w:after="0" w:line="1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This guidance changes how entities account for equity investments that do not result in consolidation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This guidance is effective for fiscal years beginning after December 15, 2017, including interim periods within the fiscal year. Early adoption is permitted for only one of the six amendments. The Company is currently evaluating the impact of the adoption of ASU 2016-01 on its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to determine the potential impact it will have on its consolidated financial statements. The Company’s assets and liabilities will increase based on the present value of the remaining lease payments for leases in place at the adoption date; however, this is not expected to be material to the Company’s results of operations.</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March 2016, the FASB issued ASU 2016-05, </w:t>
      </w:r>
      <w:r>
        <w:rPr>
          <w:rFonts w:ascii="Arial" w:cs="Arial" w:eastAsia="Arial" w:hAnsi="Arial"/>
          <w:sz w:val="17"/>
          <w:szCs w:val="17"/>
          <w:i w:val="1"/>
          <w:iCs w:val="1"/>
          <w:color w:val="auto"/>
        </w:rPr>
        <w:t>Derivatives and Hedging (Topic 815): Effect of Derivative Contract Novations on Existing Hedge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(“ASU 2016-05”). The new guidance clarifies that a change in the counterparty to a derivative instrument that has been designated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instrument under Topic 815 does not, in and of itself, require de-designation of that hedging relationship provided that all other hedge accounting criteria continue to be met. This guidance is effective for fiscal years beginning after December 15, 2016, and interim periods within those fiscal years. The adoption of this guidance is not expected to have a significant impact on the Company’s financial statements.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The new guidance simplifies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Entities will be required to recognize the income tax effects of awards in the income statement when the awards vest or are settled. This guidance is effective for fiscal years beginning after December 15, 2016, and interim periods within those annual periods. The adoption of this guidance is not expected to have a significant impact on the Company’s financial statements.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(“ASU 2016-13”). This guidance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guidance replace the incurred loss impairment methodology in current US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evaluating the provisions of the guidance, and will closely monitor developments and additional guidance to determine the potential impact on the Company’s consolidated financial statements. Management is in the process of identifying the methodologies and the additional data requirements necessary to implement the guidance and plans to engage an existing third party service provider to assist in implementation.</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2016-15”). This guidance clarifies and provides guidance on several cash receipt and cash payment classification issues, including debt prepayment and extinguishment costs, settlement of zero-coupon debt instruments,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amendments in this guidance are effective for public business entities for fiscal years beginning after December 15, 2017, and interim periods within those fiscal years. Early adoption is permitted, including adoption in an interim period. The adoption of this guidance is not expected to have a significant impact on the Company’s financial statements.</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(“ASU 2016-18”). This guidance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guidance are effective for public business entities for fiscal years beginning after December 15, 2017, and interim periods within those fiscal years. Early adoption is permitted, including adoption in an interim period. The adoption of this guidance is not expected to have a significant impact on the Company’s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2017, the FASB issued ASU 2017-08, </w:t>
      </w:r>
      <w:r>
        <w:rPr>
          <w:rFonts w:ascii="Arial" w:cs="Arial" w:eastAsia="Arial" w:hAnsi="Arial"/>
          <w:sz w:val="18"/>
          <w:szCs w:val="18"/>
          <w:i w:val="1"/>
          <w:iCs w:val="1"/>
          <w:color w:val="auto"/>
        </w:rPr>
        <w:t>Receivables—Nonrefundable Fees and Other Costs (Subtopic 310-20)</w:t>
      </w:r>
      <w:r>
        <w:rPr>
          <w:rFonts w:ascii="Arial" w:cs="Arial" w:eastAsia="Arial" w:hAnsi="Arial"/>
          <w:sz w:val="18"/>
          <w:szCs w:val="18"/>
          <w:color w:val="auto"/>
        </w:rPr>
        <w:t xml:space="preserve"> (“ASU 2017-08”). This guidance amends the amortization period for certain purchased callable debt securities held at a premium, and shortens the amortization period for the premium to the earliest call date. Under current GAAP, entities generally amortize the premium as an adjustment of yield over the contractual life of the instrument. The amendments in this guidance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financial statements.</w:t>
      </w:r>
    </w:p>
    <w:p>
      <w:pPr>
        <w:spacing w:after="0" w:line="200" w:lineRule="exact"/>
        <w:rPr>
          <w:sz w:val="20"/>
          <w:szCs w:val="20"/>
          <w:color w:val="auto"/>
        </w:rPr>
      </w:pPr>
    </w:p>
    <w:p>
      <w:pPr>
        <w:spacing w:after="0" w:line="20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89"/>
              </w:rPr>
              <w:t>June 30, 2017</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33,523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97,641</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89"/>
              </w:rPr>
              <w:t>June 30, 2016</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43,330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100,375</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June 30, 2017, the Company held no securities of any single issuer (excluding the U. S. Government and federal agencies) with a book value that exceeded 10% of shareholders’ equity.</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When securities are sold, the adjusted cost of the specific security sold is used to compute the gain or loss on sale. There were no securities sold during fiscal 2017 or fiscal 2016. At June 30, 2017, no investment securities were pledged as collateral to secure outstanding FHLBB advances.</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19,571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81,854</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95,186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744"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744" w:gutter="0" w:footer="0" w:header="0"/>
          <w:type w:val="continuous"/>
        </w:sectPr>
      </w:pPr>
    </w:p>
    <w:bookmarkStart w:id="71" w:name="page72"/>
    <w:bookmarkEnd w:id="7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years ended June 30, 2017, 2016, and 2015.</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At June 30, 2017, the Company had seven securities in a continuous loss position for greater than twelve months. At June 30, 2017, all of the Company’s available-for-sale securities were issued or guaranteed by either government agencies or government-sponsored enterprises. The decline in fair value of the Company’s available-for-sale securities at June 30, 2017 is attributable to changes in interest rates.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June 30, 2017, the Company does not intend to sell and it is not more likely than not that the Company will be required to sell the investment securities before recovery of its amortized cost. As such, management does not believe any of the Company’s available-for-sale securities are other-than-temporarily impaired at June 30, 2017.</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investments measured at net asset value include a fund that seeks to invest in securities either issued or guaranteed by the U.S. government or its agencies, as well as a fund that primarily invests in the federally guaranteed portion of SBA 7(a) loans that adjust quarterly or monthly and are indexed to the Prime Rate. The underlying composition of these funds is primarily government agencies, other investment-grade investments, or the guaranteed portion of SBA 7(a) loans, as applicable. As of June 30, 2017, the effective duration of the fund that seeks to invest in securities either issued or guaranteed by the U.S. government or its agencies is 4.97 years.</w:t>
      </w:r>
    </w:p>
    <w:p>
      <w:pPr>
        <w:spacing w:after="0" w:line="18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June 30, 2017. Actual maturities may differ from contractual maturities because borrowers may have the right to call or prepay obligations with or without call or prepayment penalties.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Amortized 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26,306</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26,225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36,496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36,297</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ten years</w:t>
            </w: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17,588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17,180</w:t>
            </w:r>
          </w:p>
        </w:tc>
      </w:tr>
      <w:tr>
        <w:trPr>
          <w:trHeight w:val="25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June 30, 2017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2016</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Originated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95,950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13,931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18,012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18,012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241,724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189,616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426,568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1,186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175,654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145,758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145,956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532,807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246,388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779,195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452,727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692,436</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loans include deferred loan origination costs, net, of $507 thousand as of June 30, 2017 and loan origination fees, net, of $58 thousand as of June 30, 2016.</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Loans pledged as collateral with the FHLBB for outstanding borrowings and additional borrowing capacity totaled $163.5 million and $106.2 million at June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June 30, 2017, the Company sold a commercial loan portfolio of $18.3 million for a net gain of $365 thousand.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Related Party Loans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Certain of the Company's related parties are credit customers of the Company in the ordinary course of business. All loans and commitments included in such transactions are on such terms, including interest rates, repayment terms and collateral, as those prevailing at the time for comparable transactions with persons who are not affiliated with the Bank and do not involve more than a normal risk of collectability or present other features unfavorable to the Bank.</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2017 and 2016, the outstanding loan balances to directors, officers, principal shareholders and their associates were $208 thousand and $282 thousand, respectively. All loans to these related parties were current and accruing at those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2017</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574</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81,646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83,759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253,890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172,035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525,613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Residential real estate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1,082</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236,632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240,198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765,811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2016</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1,555</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90,624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93,391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189,296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189,616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145,743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5,747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449,228</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233,546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3,406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236,303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685,531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9"/>
          </w:tcPr>
          <w:p>
            <w:pPr>
              <w:ind w:left="340"/>
              <w:spacing w:after="0"/>
              <w:rPr>
                <w:sz w:val="20"/>
                <w:szCs w:val="20"/>
                <w:color w:val="auto"/>
              </w:rPr>
            </w:pPr>
            <w:r>
              <w:rPr>
                <w:rFonts w:ascii="Arial" w:cs="Arial" w:eastAsia="Arial" w:hAnsi="Arial"/>
                <w:sz w:val="18"/>
                <w:szCs w:val="18"/>
                <w:color w:val="auto"/>
              </w:rPr>
              <w:t>Year Ended June 30, 2017</w:t>
            </w: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right"/>
              <w:ind w:right="300"/>
              <w:spacing w:after="0" w:line="195" w:lineRule="exact"/>
              <w:rPr>
                <w:sz w:val="20"/>
                <w:szCs w:val="20"/>
                <w:color w:val="auto"/>
              </w:rPr>
            </w:pPr>
            <w:r>
              <w:rPr>
                <w:rFonts w:ascii="Arial" w:cs="Arial" w:eastAsia="Arial" w:hAnsi="Arial"/>
                <w:sz w:val="18"/>
                <w:szCs w:val="18"/>
                <w:color w:val="auto"/>
                <w:w w:val="99"/>
              </w:rPr>
              <w:t>Commercial</w:t>
            </w:r>
          </w:p>
        </w:tc>
        <w:tc>
          <w:tcPr>
            <w:tcW w:w="118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gridSpan w:val="5"/>
          </w:tcPr>
          <w:p>
            <w:pPr>
              <w:jc w:val="right"/>
              <w:spacing w:after="0"/>
              <w:rPr>
                <w:sz w:val="20"/>
                <w:szCs w:val="20"/>
                <w:color w:val="auto"/>
              </w:rPr>
            </w:pPr>
            <w:r>
              <w:rPr>
                <w:rFonts w:ascii="Arial" w:cs="Arial" w:eastAsia="Arial" w:hAnsi="Arial"/>
                <w:sz w:val="18"/>
                <w:szCs w:val="18"/>
                <w:color w:val="auto"/>
                <w:w w:val="83"/>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1020" w:type="dxa"/>
            <w:vAlign w:val="bottom"/>
            <w:gridSpan w:val="2"/>
            <w:shd w:val="clear" w:color="auto" w:fill="CCEEFF"/>
          </w:tcPr>
          <w:p>
            <w:pPr>
              <w:jc w:val="right"/>
              <w:ind w:right="777"/>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r>
      <w:tr>
        <w:trPr>
          <w:trHeight w:val="250"/>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73" w:name="page74"/>
    <w:bookmarkEnd w:id="7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9"/>
          </w:tcPr>
          <w:p>
            <w:pPr>
              <w:jc w:val="right"/>
              <w:ind w:right="1020"/>
              <w:spacing w:after="0"/>
              <w:rPr>
                <w:sz w:val="20"/>
                <w:szCs w:val="20"/>
                <w:color w:val="auto"/>
              </w:rPr>
            </w:pPr>
            <w:r>
              <w:rPr>
                <w:rFonts w:ascii="Arial" w:cs="Arial" w:eastAsia="Arial" w:hAnsi="Arial"/>
                <w:sz w:val="18"/>
                <w:szCs w:val="18"/>
                <w:color w:val="auto"/>
              </w:rPr>
              <w:t>Year Ended June 30, 2016</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Unallocated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694</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50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547</w:t>
            </w:r>
          </w:p>
        </w:tc>
        <w:tc>
          <w:tcPr>
            <w:tcW w:w="44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r>
      <w:tr>
        <w:trPr>
          <w:trHeight w:val="250"/>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7"/>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jc w:val="right"/>
              <w:ind w:right="1020"/>
              <w:spacing w:after="0"/>
              <w:rPr>
                <w:sz w:val="20"/>
                <w:szCs w:val="20"/>
                <w:color w:val="auto"/>
              </w:rPr>
            </w:pPr>
            <w:r>
              <w:rPr>
                <w:rFonts w:ascii="Arial" w:cs="Arial" w:eastAsia="Arial" w:hAnsi="Arial"/>
                <w:sz w:val="18"/>
                <w:szCs w:val="18"/>
                <w:color w:val="auto"/>
              </w:rPr>
              <w:t>Year Ended June 30, 2015</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Unallocated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50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335</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50"/>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color w:val="auto"/>
                <w:w w:val="92"/>
              </w:rPr>
              <w:t>June 30, 2017</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14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5,676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1,759</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92,014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254,521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97,690</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256,280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color w:val="auto"/>
                <w:w w:val="92"/>
              </w:rPr>
              <w:t>June 30, 2016</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14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5,039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1,686</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187,930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111,403</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189,616</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4" w:name="page75"/>
    <w:bookmarkEnd w:id="7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7"/>
              </w:rPr>
              <w:t>June 30, 2017</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2016</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Unpaid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Investment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ind w:left="2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1,870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1,125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7"/>
              </w:rPr>
              <w:t>Impaired loans with a valuation allowance: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3,929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4,673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impaired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6"/>
          </w:tcPr>
          <w:p>
            <w:pPr>
              <w:jc w:val="center"/>
              <w:ind w:right="320"/>
              <w:spacing w:after="0"/>
              <w:rPr>
                <w:sz w:val="20"/>
                <w:szCs w:val="20"/>
                <w:color w:val="auto"/>
              </w:rPr>
            </w:pPr>
            <w:r>
              <w:rPr>
                <w:rFonts w:ascii="Arial" w:cs="Arial" w:eastAsia="Arial" w:hAnsi="Arial"/>
                <w:sz w:val="18"/>
                <w:szCs w:val="18"/>
                <w:color w:val="auto"/>
                <w:w w:val="87"/>
              </w:rPr>
              <w:t>Year Ended June 30,</w:t>
            </w:r>
          </w:p>
        </w:tc>
      </w:tr>
      <w:tr>
        <w:trPr>
          <w:trHeight w:val="210"/>
        </w:trPr>
        <w:tc>
          <w:tcPr>
            <w:tcW w:w="57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2017</w:t>
            </w:r>
          </w:p>
        </w:tc>
        <w:tc>
          <w:tcPr>
            <w:tcW w:w="13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6"/>
              </w:rPr>
              <w:t>Interest</w:t>
            </w:r>
          </w:p>
        </w:tc>
        <w:tc>
          <w:tcPr>
            <w:tcW w:w="80" w:type="dxa"/>
            <w:vAlign w:val="bottom"/>
          </w:tcPr>
          <w:p>
            <w:pPr>
              <w:spacing w:after="0"/>
              <w:rPr>
                <w:sz w:val="16"/>
                <w:szCs w:val="16"/>
                <w:color w:val="auto"/>
              </w:rPr>
            </w:pPr>
          </w:p>
        </w:tc>
      </w:t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Recorded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Income</w:t>
            </w:r>
          </w:p>
        </w:tc>
      </w:tr>
      <w:tr>
        <w:trPr>
          <w:trHeight w:val="230"/>
        </w:trPr>
        <w:tc>
          <w:tcPr>
            <w:tcW w:w="5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Investment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Recognized</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Originated: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Residential real estate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Residential real estate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r>
      <w:tr>
        <w:trPr>
          <w:trHeight w:val="216"/>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Purchased: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ind w:left="180"/>
              <w:spacing w:after="0"/>
              <w:rPr>
                <w:sz w:val="20"/>
                <w:szCs w:val="20"/>
                <w:color w:val="auto"/>
              </w:rPr>
            </w:pPr>
            <w:r>
              <w:rPr>
                <w:rFonts w:ascii="Arial" w:cs="Arial" w:eastAsia="Arial" w:hAnsi="Arial"/>
                <w:sz w:val="18"/>
                <w:szCs w:val="18"/>
                <w:color w:val="auto"/>
              </w:rPr>
              <w:t>Total impaired loans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18,534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765</w:t>
            </w: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528"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528" w:gutter="0" w:footer="0" w:header="0"/>
          <w:type w:val="continuous"/>
        </w:sectPr>
      </w:pPr>
    </w:p>
    <w:bookmarkStart w:id="75" w:name="page76"/>
    <w:bookmarkEnd w:id="7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color w:val="auto"/>
                <w:w w:val="87"/>
              </w:rPr>
              <w:t>Year Ended June 30,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2016</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1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40" w:type="dxa"/>
            <w:vAlign w:val="bottom"/>
          </w:tcPr>
          <w:p>
            <w:pPr>
              <w:ind w:left="18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14,952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12,731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Loans rated 1-6: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an annual basis, or more often if needed, the Company formally reviews the credit quality and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2017</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0"/>
              <w:spacing w:after="0" w:line="172"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30"/>
              <w:spacing w:after="0" w:line="172" w:lineRule="exact"/>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4"/>
                <w:szCs w:val="14"/>
                <w:color w:val="auto"/>
              </w:rPr>
            </w:pPr>
          </w:p>
        </w:tc>
        <w:tc>
          <w:tcPr>
            <w:tcW w:w="1120" w:type="dxa"/>
            <w:vAlign w:val="bottom"/>
          </w:tcPr>
          <w:p>
            <w:pPr>
              <w:jc w:val="center"/>
              <w:ind w:right="10"/>
              <w:spacing w:after="0" w:line="172" w:lineRule="exact"/>
              <w:rPr>
                <w:sz w:val="20"/>
                <w:szCs w:val="20"/>
                <w:color w:val="auto"/>
              </w:rPr>
            </w:pPr>
            <w:r>
              <w:rPr>
                <w:rFonts w:ascii="Arial" w:cs="Arial" w:eastAsia="Arial" w:hAnsi="Arial"/>
                <w:sz w:val="18"/>
                <w:szCs w:val="18"/>
                <w:color w:val="auto"/>
                <w:w w:val="92"/>
              </w:rPr>
              <w:t>Residential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10"/>
              <w:spacing w:after="0" w:line="253" w:lineRule="exact"/>
              <w:rPr>
                <w:sz w:val="20"/>
                <w:szCs w:val="20"/>
                <w:color w:val="auto"/>
              </w:rPr>
            </w:pPr>
            <w:r>
              <w:rPr>
                <w:rFonts w:ascii="Arial" w:cs="Arial" w:eastAsia="Arial" w:hAnsi="Arial"/>
                <w:sz w:val="18"/>
                <w:szCs w:val="18"/>
                <w:color w:val="auto"/>
                <w:w w:val="83"/>
              </w:rPr>
              <w:t>Real Estate</w:t>
            </w:r>
            <w:r>
              <w:rPr>
                <w:rFonts w:ascii="Arial" w:cs="Arial" w:eastAsia="Arial" w:hAnsi="Arial"/>
                <w:sz w:val="29"/>
                <w:szCs w:val="29"/>
                <w:color w:val="auto"/>
                <w:w w:val="83"/>
                <w:vertAlign w:val="superscript"/>
              </w:rPr>
              <w:t>(1)</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229,980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Special mention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Doubtful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256,281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174,468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246,388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688,069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2016</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0"/>
              <w:spacing w:after="0" w:line="172"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30"/>
              <w:spacing w:after="0" w:line="172" w:lineRule="exact"/>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4"/>
                <w:szCs w:val="14"/>
                <w:color w:val="auto"/>
              </w:rPr>
            </w:pPr>
          </w:p>
        </w:tc>
        <w:tc>
          <w:tcPr>
            <w:tcW w:w="1120" w:type="dxa"/>
            <w:vAlign w:val="bottom"/>
          </w:tcPr>
          <w:p>
            <w:pPr>
              <w:jc w:val="center"/>
              <w:ind w:right="10"/>
              <w:spacing w:after="0" w:line="172" w:lineRule="exact"/>
              <w:rPr>
                <w:sz w:val="20"/>
                <w:szCs w:val="20"/>
                <w:color w:val="auto"/>
              </w:rPr>
            </w:pPr>
            <w:r>
              <w:rPr>
                <w:rFonts w:ascii="Arial" w:cs="Arial" w:eastAsia="Arial" w:hAnsi="Arial"/>
                <w:sz w:val="18"/>
                <w:szCs w:val="18"/>
                <w:color w:val="auto"/>
                <w:w w:val="92"/>
              </w:rPr>
              <w:t>Residential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10"/>
              <w:spacing w:after="0" w:line="253" w:lineRule="exact"/>
              <w:rPr>
                <w:sz w:val="20"/>
                <w:szCs w:val="20"/>
                <w:color w:val="auto"/>
              </w:rPr>
            </w:pPr>
            <w:r>
              <w:rPr>
                <w:rFonts w:ascii="Arial" w:cs="Arial" w:eastAsia="Arial" w:hAnsi="Arial"/>
                <w:sz w:val="18"/>
                <w:szCs w:val="18"/>
                <w:color w:val="auto"/>
                <w:w w:val="83"/>
              </w:rPr>
              <w:t>Real Estate</w:t>
            </w:r>
            <w:r>
              <w:rPr>
                <w:rFonts w:ascii="Arial" w:cs="Arial" w:eastAsia="Arial" w:hAnsi="Arial"/>
                <w:sz w:val="29"/>
                <w:szCs w:val="29"/>
                <w:color w:val="auto"/>
                <w:w w:val="83"/>
                <w:vertAlign w:val="superscript"/>
              </w:rPr>
              <w:t>(1)</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227,895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Special mention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Doubtful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189,616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145,758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8,650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239,709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20" w:right="60" w:hanging="5288"/>
        <w:spacing w:after="0" w:line="810"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loans made for commercial purposes, but secured by residential collateral, are rated under the Company’s risk-rating system.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7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Year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2016</w:t>
            </w:r>
          </w:p>
        </w:tc>
        <w:tc>
          <w:tcPr>
            <w:tcW w:w="11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3400" w:type="dxa"/>
            <w:vAlign w:val="bottom"/>
          </w:tcPr>
          <w:p>
            <w:pPr>
              <w:spacing w:after="0"/>
              <w:rPr>
                <w:sz w:val="16"/>
                <w:szCs w:val="16"/>
                <w:color w:val="auto"/>
              </w:rPr>
            </w:pPr>
          </w:p>
        </w:tc>
        <w:tc>
          <w:tcPr>
            <w:tcW w:w="106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95"/>
              </w:rPr>
              <w:t>Number of</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6"/>
                <w:szCs w:val="16"/>
                <w:color w:val="auto"/>
              </w:rPr>
            </w:pPr>
          </w:p>
        </w:tc>
        <w:tc>
          <w:tcPr>
            <w:tcW w:w="106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1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Contracts</w:t>
            </w: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Investment</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Contracts</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Investment</w:t>
            </w: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3"/>
          </w:tcPr>
          <w:p>
            <w:pPr>
              <w:ind w:left="38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Adjusted interest rate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424</w:t>
            </w:r>
          </w:p>
        </w:tc>
        <w:tc>
          <w:tcPr>
            <w:tcW w:w="10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1,297</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Principal deferment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1,978</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8,256</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1,426</w:t>
            </w:r>
          </w:p>
        </w:tc>
      </w:tr>
      <w:tr>
        <w:trPr>
          <w:trHeight w:val="20"/>
        </w:trPr>
        <w:tc>
          <w:tcPr>
            <w:tcW w:w="3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Year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6"/>
                <w:szCs w:val="16"/>
                <w:color w:val="auto"/>
              </w:rPr>
            </w:pPr>
          </w:p>
        </w:tc>
        <w:tc>
          <w:tcPr>
            <w:tcW w:w="11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tcPr>
          <w:p>
            <w:pPr>
              <w:jc w:val="center"/>
              <w:ind w:left="150"/>
              <w:spacing w:after="0"/>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Investment</w:t>
            </w:r>
          </w:p>
        </w:tc>
        <w:tc>
          <w:tcPr>
            <w:tcW w:w="1120" w:type="dxa"/>
            <w:vAlign w:val="bottom"/>
          </w:tcPr>
          <w:p>
            <w:pPr>
              <w:jc w:val="center"/>
              <w:ind w:left="170"/>
              <w:spacing w:after="0"/>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Investment</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88"/>
              </w:rPr>
              <w:t>Contracts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Pre-Modification</w:t>
            </w: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Post-Modification</w:t>
            </w:r>
          </w:p>
        </w:tc>
        <w:tc>
          <w:tcPr>
            <w:tcW w:w="1120" w:type="dxa"/>
            <w:vAlign w:val="bottom"/>
          </w:tcPr>
          <w:p>
            <w:pPr>
              <w:jc w:val="center"/>
              <w:ind w:left="150"/>
              <w:spacing w:after="0"/>
              <w:rPr>
                <w:sz w:val="20"/>
                <w:szCs w:val="20"/>
                <w:color w:val="auto"/>
              </w:rPr>
            </w:pPr>
            <w:r>
              <w:rPr>
                <w:rFonts w:ascii="Arial" w:cs="Arial" w:eastAsia="Arial" w:hAnsi="Arial"/>
                <w:sz w:val="18"/>
                <w:szCs w:val="18"/>
                <w:color w:val="auto"/>
                <w:w w:val="88"/>
              </w:rPr>
              <w:t>Contracts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Pre-Modification</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Post-Modification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thousands)</w:t>
            </w: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1,084</w:t>
            </w: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Commercial and</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industrial</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1,867</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1,937</w:t>
            </w:r>
          </w:p>
        </w:tc>
        <w:tc>
          <w:tcPr>
            <w:tcW w:w="1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Consumer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originated portfolio</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4,895</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4,946</w:t>
            </w: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Commercial and</w:t>
            </w:r>
          </w:p>
        </w:tc>
        <w:tc>
          <w:tcPr>
            <w:tcW w:w="4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industrial</w:t>
            </w:r>
          </w:p>
        </w:tc>
        <w:tc>
          <w:tcPr>
            <w:tcW w:w="114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6"/>
              </w:rPr>
              <w:t>Total purchased portfolio</w:t>
            </w:r>
          </w:p>
        </w:tc>
        <w:tc>
          <w:tcPr>
            <w:tcW w:w="1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4,989</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5,040</w:t>
            </w: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there were no further commitments to lend to borrowers associated with loans modified in a TDR.</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considers TDRs past due 90 days or more to be in payment default. No loans modified in a TDR in the last twelve months defaulted during the year ended June 30, 2017, compared to one loan during the twelve months ended June 30, 2016, with an aggregate balance of $8 thousand.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Year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Year Ended</w:t>
            </w:r>
          </w:p>
        </w:tc>
      </w:tr>
      <w:tr>
        <w:trPr>
          <w:trHeight w:val="230"/>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June 30, 2016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June 30, 2015</w:t>
            </w:r>
          </w:p>
        </w:tc>
      </w:tr>
      <w:tr>
        <w:trPr>
          <w:trHeight w:val="210"/>
        </w:trPr>
        <w:tc>
          <w:tcPr>
            <w:tcW w:w="4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175,274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148,394</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128,452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(4,518)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(2,042)</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126,410</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Accretable yield</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(57,949)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(46,345)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(43,756)</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112,807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8" w:name="page79"/>
    <w:bookmarkEnd w:id="7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loans accounted for under ASC 310-30 that were acquired by the Company are not accounted for using the income recognition model because the Company cannot reasonably estimate cash flows expected to be collected. When acquired these loans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of and for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As of and 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As of and for the</w:t>
            </w:r>
          </w:p>
        </w:tc>
      </w:tr>
      <w:tr>
        <w:trPr>
          <w:trHeight w:val="216"/>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Year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Year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Year</w:t>
            </w:r>
          </w:p>
        </w:tc>
      </w:tr>
      <w:tr>
        <w:trPr>
          <w:trHeight w:val="216"/>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r>
      <w:tr>
        <w:trPr>
          <w:trHeight w:val="230"/>
        </w:trPr>
        <w:tc>
          <w:tcPr>
            <w:tcW w:w="4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30, 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2015</w:t>
            </w:r>
          </w:p>
        </w:tc>
      </w:tr>
      <w:tr>
        <w:trPr>
          <w:trHeight w:val="210"/>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6"/>
              </w:rPr>
              <w:t>(Dollars 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4,512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6,127</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Year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Year Ended</w:t>
            </w:r>
          </w:p>
        </w:tc>
        <w:tc>
          <w:tcPr>
            <w:tcW w:w="80" w:type="dxa"/>
            <w:vAlign w:val="bottom"/>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Year Ended June 30,</w:t>
            </w:r>
          </w:p>
        </w:tc>
      </w:tr>
      <w:tr>
        <w:trPr>
          <w:trHeight w:val="230"/>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June 30, 2016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111,449</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109,040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57,949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46,345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43,756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(16,886)</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2"/>
              </w:rPr>
              <w:t>Reclassifications from non-accretable difference to accretable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7,079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(24,618)</w:t>
            </w:r>
          </w:p>
        </w:tc>
      </w:tr>
      <w:tr>
        <w:trPr>
          <w:trHeight w:val="20"/>
        </w:trPr>
        <w:tc>
          <w:tcPr>
            <w:tcW w:w="4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131,197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124,151</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111,449</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June 30, 2017</w:t>
            </w:r>
          </w:p>
        </w:tc>
        <w:tc>
          <w:tcPr>
            <w:tcW w:w="18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June 30, 2016</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271,709</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267,985</w:t>
            </w:r>
          </w:p>
        </w:tc>
        <w:tc>
          <w:tcPr>
            <w:tcW w:w="80" w:type="dxa"/>
            <w:vAlign w:val="bottom"/>
            <w:shd w:val="clear" w:color="auto" w:fill="CCEEFF"/>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1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239,583</w:t>
            </w: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237,054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Capitalized servicing rights as of June 30, 2017 totaled $2.8 million, compared to $1.8 million as of June 30, 2016, and are classified as servicing rights, net, on the consolidated balance sheets.</w:t>
      </w:r>
    </w:p>
    <w:p>
      <w:pPr>
        <w:spacing w:after="0" w:line="17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Mortgage loans sold in the year ended June 30, 2017 totaled $74.7 million, compared to $89.1 million in the year ended June 30, 2016. Mortgage loans serviced for others totaled $10.7 million at June 30, 2017 and $12.9 million at June 30, 2016. Additionally, the Company was servicing commercial loans participated out to various other institutions amounting to $25.2 million and $35.9 million at June 30, 2017 and June 30, 2016, respectively.</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SBA loans sold during the year ended June 30, 2017 totaled $53.8 million, compared to $39.1 million in the year ended June 30, 2016. SBA loans serviced for others totaled $144.4 million at June 30, 2017 and $80.8 million at June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June 30, 2017, the Company sold a commercial loan portfolio of $18.3 million, where servicing was not retained.</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in the accompanying consolidated balance sheets. The risks inherent in mortgage servicing assets and SBA servicing assets relate primarily to changes in prepayments that result from shifts in interest rates.</w:t>
      </w:r>
    </w:p>
    <w:p>
      <w:pPr>
        <w:sectPr>
          <w:pgSz w:w="11900" w:h="16838" w:orient="portrait"/>
          <w:cols w:equalWidth="0" w:num="1">
            <w:col w:w="11340"/>
          </w:cols>
          <w:pgMar w:left="240" w:top="118" w:right="319" w:bottom="1440" w:gutter="0" w:footer="0" w:header="0"/>
        </w:sect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type w:val="continuous"/>
        </w:sectPr>
      </w:pPr>
    </w:p>
    <w:bookmarkStart w:id="79" w:name="page80"/>
    <w:bookmarkEnd w:id="7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Contractually specified servicing fees were $988 thousand, $649 thousand, and $471 thousand for the years ended June 30, 2017, 2016 and 2015, respectively, and were included as a component of fees for other services to customers within non-interest income.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significant assumptions used in the valuation for mortgage servicing rights as of June 30, 2017 included a weighted average discount rate of 7.3% and a weighted average prepayment speed assumption of 14.5%. For the SBA servicing rights, the significant assumptions used in the valuation included a discount rate, ranging from 9.4% to 13.6% and a weighted average prepayment speed assumption of 7.9%.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Residential mortgage servicing rights activity was as follows: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7"/>
              </w:rPr>
              <w:t>June 30, 2017</w:t>
            </w:r>
          </w:p>
        </w:tc>
      </w:tr>
      <w:tr>
        <w:trPr>
          <w:trHeight w:val="195"/>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3"/>
              </w:rPr>
              <w:t>(Dollars in</w:t>
            </w: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7"/>
              </w:rPr>
              <w:t>thousands)</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2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413"/>
        </w:trPr>
        <w:tc>
          <w:tcPr>
            <w:tcW w:w="7500" w:type="dxa"/>
            <w:vAlign w:val="bottom"/>
            <w:gridSpan w:val="2"/>
          </w:tcPr>
          <w:p>
            <w:pPr>
              <w:spacing w:after="0"/>
              <w:rPr>
                <w:sz w:val="20"/>
                <w:szCs w:val="20"/>
                <w:color w:val="auto"/>
              </w:rPr>
            </w:pPr>
            <w:r>
              <w:rPr>
                <w:rFonts w:ascii="Arial" w:cs="Arial" w:eastAsia="Arial" w:hAnsi="Arial"/>
                <w:sz w:val="18"/>
                <w:szCs w:val="18"/>
                <w:color w:val="auto"/>
              </w:rPr>
              <w:t>SBA servicing rights activity was as follows: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7"/>
              </w:rPr>
              <w:t>June 30, 2017</w:t>
            </w:r>
          </w:p>
        </w:tc>
      </w:tr>
      <w:tr>
        <w:trPr>
          <w:trHeight w:val="195"/>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3"/>
              </w:rPr>
              <w:t>(Dollars in</w:t>
            </w: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7"/>
              </w:rPr>
              <w:t>thousands)</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Disposals</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June 30, 2016</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Balance, June 30,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Premises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consists of the following:</w:t>
      </w:r>
    </w:p>
    <w:p>
      <w:pPr>
        <w:sectPr>
          <w:pgSz w:w="11900" w:h="16838" w:orient="portrait"/>
          <w:cols w:equalWidth="0" w:num="1">
            <w:col w:w="11380"/>
          </w:cols>
          <w:pgMar w:left="240" w:top="118" w:right="27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June 30, 2017</w:t>
            </w:r>
          </w:p>
        </w:tc>
        <w:tc>
          <w:tcPr>
            <w:tcW w:w="200" w:type="dxa"/>
            <w:vAlign w:val="bottom"/>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June 30, 2016</w:t>
            </w:r>
          </w:p>
        </w:tc>
      </w:tr>
      <w:tr>
        <w:trPr>
          <w:trHeight w:val="195"/>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(Dollars in thousands)</w:t>
            </w:r>
          </w:p>
        </w:tc>
        <w:tc>
          <w:tcPr>
            <w:tcW w:w="440" w:type="dxa"/>
            <w:vAlign w:val="bottom"/>
          </w:tcPr>
          <w:p>
            <w:pPr>
              <w:spacing w:after="0"/>
              <w:rPr>
                <w:sz w:val="16"/>
                <w:szCs w:val="16"/>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Land</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1,755</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1,760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2"/>
              </w:rPr>
              <w:t>Assets recorded under capital lease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1,850</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1,850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Leasehold and building</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8"/>
        </w:trPr>
        <w:tc>
          <w:tcPr>
            <w:tcW w:w="2680" w:type="dxa"/>
            <w:vAlign w:val="bottom"/>
          </w:tcPr>
          <w:p>
            <w:pPr>
              <w:ind w:left="180"/>
              <w:spacing w:after="0"/>
              <w:rPr>
                <w:sz w:val="20"/>
                <w:szCs w:val="20"/>
                <w:color w:val="auto"/>
              </w:rPr>
            </w:pPr>
            <w:r>
              <w:rPr>
                <w:rFonts w:ascii="Arial" w:cs="Arial" w:eastAsia="Arial" w:hAnsi="Arial"/>
                <w:sz w:val="18"/>
                <w:szCs w:val="18"/>
                <w:color w:val="auto"/>
              </w:rPr>
              <w:t>improvements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3,150</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687768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687768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413"/>
        <w:spacing w:after="0"/>
        <w:rPr>
          <w:sz w:val="20"/>
          <w:szCs w:val="20"/>
          <w:color w:val="auto"/>
        </w:rPr>
      </w:pPr>
      <w:r>
        <w:rPr>
          <w:rFonts w:ascii="Arial" w:cs="Arial" w:eastAsia="Arial" w:hAnsi="Arial"/>
          <w:sz w:val="16"/>
          <w:szCs w:val="16"/>
          <w:color w:val="auto"/>
        </w:rPr>
        <w:t>Estimated Useful Life</w:t>
      </w:r>
    </w:p>
    <w:p>
      <w:pPr>
        <w:spacing w:after="0" w:line="46" w:lineRule="exact"/>
        <w:rPr>
          <w:sz w:val="20"/>
          <w:szCs w:val="20"/>
          <w:color w:val="auto"/>
        </w:rPr>
      </w:pPr>
    </w:p>
    <w:p>
      <w:pPr>
        <w:ind w:left="447"/>
        <w:spacing w:after="0"/>
        <w:rPr>
          <w:sz w:val="20"/>
          <w:szCs w:val="20"/>
          <w:color w:val="auto"/>
        </w:rPr>
      </w:pPr>
      <w:r>
        <w:rPr>
          <w:rFonts w:ascii="Arial" w:cs="Arial" w:eastAsia="Arial" w:hAnsi="Arial"/>
          <w:sz w:val="18"/>
          <w:szCs w:val="18"/>
          <w:color w:val="auto"/>
        </w:rPr>
        <w:t>(In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-130810</wp:posOffset>
            </wp:positionV>
            <wp:extent cx="32588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7"/>
        <w:spacing w:after="0"/>
        <w:rPr>
          <w:sz w:val="20"/>
          <w:szCs w:val="20"/>
          <w:color w:val="auto"/>
        </w:rPr>
      </w:pPr>
      <w:r>
        <w:rPr>
          <w:rFonts w:ascii="Arial" w:cs="Arial" w:eastAsia="Arial" w:hAnsi="Arial"/>
          <w:sz w:val="18"/>
          <w:szCs w:val="18"/>
          <w:color w:val="auto"/>
        </w:rPr>
        <w:t>n/a</w:t>
      </w:r>
    </w:p>
    <w:p>
      <w:pPr>
        <w:spacing w:after="0" w:line="9" w:lineRule="exact"/>
        <w:rPr>
          <w:sz w:val="20"/>
          <w:szCs w:val="20"/>
          <w:color w:val="auto"/>
        </w:rPr>
      </w:pPr>
    </w:p>
    <w:p>
      <w:pPr>
        <w:jc w:val="center"/>
        <w:ind w:right="2773"/>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jc w:val="center"/>
        <w:ind w:right="2773"/>
        <w:spacing w:after="0"/>
        <w:rPr>
          <w:sz w:val="20"/>
          <w:szCs w:val="20"/>
          <w:color w:val="auto"/>
        </w:rPr>
      </w:pPr>
      <w:r>
        <w:rPr>
          <w:rFonts w:ascii="Arial" w:cs="Arial" w:eastAsia="Arial" w:hAnsi="Arial"/>
          <w:sz w:val="18"/>
          <w:szCs w:val="18"/>
          <w:color w:val="auto"/>
        </w:rPr>
        <w:t>Term of lease</w:t>
      </w:r>
    </w:p>
    <w:p>
      <w:pPr>
        <w:spacing w:after="0" w:line="103" w:lineRule="exact"/>
        <w:rPr>
          <w:sz w:val="20"/>
          <w:szCs w:val="20"/>
          <w:color w:val="auto"/>
        </w:rPr>
      </w:pPr>
    </w:p>
    <w:p>
      <w:pPr>
        <w:ind w:left="587" w:hanging="587"/>
        <w:spacing w:after="0"/>
        <w:tabs>
          <w:tab w:leader="none" w:pos="5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39 (or term of lease, if shorter)</w:t>
      </w:r>
    </w:p>
    <w:p>
      <w:pPr>
        <w:spacing w:after="0" w:line="140" w:lineRule="exact"/>
        <w:rPr>
          <w:sz w:val="20"/>
          <w:szCs w:val="20"/>
          <w:color w:val="auto"/>
        </w:rPr>
      </w:pPr>
    </w:p>
    <w:p>
      <w:pPr>
        <w:sectPr>
          <w:pgSz w:w="11900" w:h="16838" w:orient="portrait"/>
          <w:cols w:equalWidth="0" w:num="2">
            <w:col w:w="6653" w:space="720"/>
            <w:col w:w="4007"/>
          </w:cols>
          <w:pgMar w:left="240" w:top="118" w:right="2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7,962</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ind w:right="2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15,796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15,828</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8,027</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Net premises and equipment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6,937</w:t>
            </w: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7,801</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and amortization of premises and equipment included in occupancy and equipment expense was $1.4 million for the year ended June 30, 2017, $1.6 million for the year ended June 30, 2016 and $1.7 million for the year ended June 30, 2015.</w:t>
      </w:r>
    </w:p>
    <w:p>
      <w:pPr>
        <w:sectPr>
          <w:pgSz w:w="11900" w:h="16838" w:orient="portrait"/>
          <w:cols w:equalWidth="0" w:num="1">
            <w:col w:w="11380"/>
          </w:cols>
          <w:pgMar w:left="240" w:top="118" w:right="27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80" w:name="page81"/>
    <w:bookmarkEnd w:id="8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2017 and 2016, intangible assets consisted of a core deposit intangible. The Company’s core deposit intangible is being amortized on an accelerated basis over 9.5 years, with an estimated remaining life of 3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The changes in the carrying amount of the core deposit intangible follow:</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0" w:type="dxa"/>
            <w:vAlign w:val="bottom"/>
            <w:gridSpan w:val="7"/>
          </w:tcPr>
          <w:p>
            <w:pPr>
              <w:jc w:val="right"/>
              <w:ind w:right="920"/>
              <w:spacing w:after="0"/>
              <w:rPr>
                <w:sz w:val="20"/>
                <w:szCs w:val="20"/>
                <w:color w:val="auto"/>
              </w:rPr>
            </w:pPr>
            <w:r>
              <w:rPr>
                <w:rFonts w:ascii="Arial" w:cs="Arial" w:eastAsia="Arial" w:hAnsi="Arial"/>
                <w:sz w:val="18"/>
                <w:szCs w:val="18"/>
                <w:color w:val="auto"/>
              </w:rPr>
              <w:t>June 30, 2017</w:t>
            </w:r>
          </w:p>
        </w:tc>
      </w:tr>
      <w:tr>
        <w:trPr>
          <w:trHeight w:val="195"/>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right"/>
              <w:ind w:right="310"/>
              <w:spacing w:after="0" w:line="195" w:lineRule="exact"/>
              <w:rPr>
                <w:sz w:val="20"/>
                <w:szCs w:val="20"/>
                <w:color w:val="auto"/>
              </w:rPr>
            </w:pPr>
            <w:r>
              <w:rPr>
                <w:rFonts w:ascii="Arial" w:cs="Arial" w:eastAsia="Arial" w:hAnsi="Arial"/>
                <w:sz w:val="18"/>
                <w:szCs w:val="18"/>
                <w:color w:val="auto"/>
                <w:w w:val="91"/>
              </w:rPr>
              <w:t>(Dollars in</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6"/>
          </w:tcPr>
          <w:p>
            <w:pPr>
              <w:jc w:val="right"/>
              <w:ind w:right="1020"/>
              <w:spacing w:after="0"/>
              <w:rPr>
                <w:sz w:val="20"/>
                <w:szCs w:val="20"/>
                <w:color w:val="auto"/>
              </w:rPr>
            </w:pPr>
            <w:r>
              <w:rPr>
                <w:rFonts w:ascii="Arial" w:cs="Arial" w:eastAsia="Arial" w:hAnsi="Arial"/>
                <w:sz w:val="18"/>
                <w:szCs w:val="18"/>
                <w:color w:val="auto"/>
                <w:w w:val="85"/>
              </w:rPr>
              <w:t>thousands)</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tcBorders>
              <w:top w:val="single" w:sz="8" w:color="auto"/>
              <w:right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13"/>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components of core deposit intangible follow:</w:t>
            </w:r>
          </w:p>
        </w:tc>
        <w:tc>
          <w:tcPr>
            <w:tcW w:w="20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2"/>
              </w:rPr>
              <w:t>June 30, 2017</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w w:val="94"/>
              </w:rPr>
              <w:t>June 30, 2016</w:t>
            </w:r>
          </w:p>
        </w:tc>
        <w:tc>
          <w:tcPr>
            <w:tcW w:w="80" w:type="dxa"/>
            <w:vAlign w:val="bottom"/>
          </w:tcPr>
          <w:p>
            <w:pPr>
              <w:spacing w:after="0"/>
              <w:rPr>
                <w:sz w:val="24"/>
                <w:szCs w:val="24"/>
                <w:color w:val="auto"/>
              </w:rPr>
            </w:pPr>
          </w:p>
        </w:tc>
      </w:tr>
      <w:tr>
        <w:trPr>
          <w:trHeight w:val="210"/>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8"/>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Gross carrying amount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6,348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6,348</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(5,048)</w:t>
            </w:r>
          </w:p>
        </w:tc>
        <w:tc>
          <w:tcPr>
            <w:tcW w:w="1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(4,616)</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ind w:left="340"/>
              <w:spacing w:after="0"/>
              <w:rPr>
                <w:sz w:val="20"/>
                <w:szCs w:val="20"/>
                <w:color w:val="auto"/>
              </w:rPr>
            </w:pPr>
            <w:r>
              <w:rPr>
                <w:rFonts w:ascii="Arial" w:cs="Arial" w:eastAsia="Arial" w:hAnsi="Arial"/>
                <w:sz w:val="18"/>
                <w:szCs w:val="18"/>
                <w:color w:val="auto"/>
              </w:rPr>
              <w:t>Intangible asset,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1,732</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Expected annual amortization expense associated with the core deposit intangible over the period of estimated economic benefit is as follows:</w:t>
      </w:r>
    </w:p>
    <w:p>
      <w:pPr>
        <w:sectPr>
          <w:pgSz w:w="11900" w:h="16838" w:orient="portrait"/>
          <w:cols w:equalWidth="0" w:num="1">
            <w:col w:w="10680"/>
          </w:cols>
          <w:pgMar w:left="240" w:top="118" w:right="979" w:bottom="123"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deposits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Money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Regular savings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certificates of less than $100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Time certificates of greater than or equal to $100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51764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Total deposits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Expected Amortization</w:t>
      </w:r>
    </w:p>
    <w:p>
      <w:pPr>
        <w:spacing w:after="0" w:line="23"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Expense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-130810</wp:posOffset>
            </wp:positionV>
            <wp:extent cx="13290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433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433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434</w:t>
      </w:r>
    </w:p>
    <w:p>
      <w:pPr>
        <w:spacing w:after="0" w:line="9" w:lineRule="exact"/>
        <w:rPr>
          <w:sz w:val="20"/>
          <w:szCs w:val="20"/>
          <w:color w:val="auto"/>
        </w:rPr>
      </w:pPr>
    </w:p>
    <w:p>
      <w:pPr>
        <w:ind w:left="6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14605</wp:posOffset>
            </wp:positionV>
            <wp:extent cx="13290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31750</wp:posOffset>
            </wp:positionV>
            <wp:extent cx="13290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June 30, 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June 30, 2016</w:t>
            </w:r>
          </w:p>
        </w:tc>
        <w:tc>
          <w:tcPr>
            <w:tcW w:w="20" w:type="dxa"/>
            <w:vAlign w:val="bottom"/>
          </w:tcPr>
          <w:p>
            <w:pPr>
              <w:spacing w:after="0"/>
              <w:rPr>
                <w:sz w:val="20"/>
                <w:szCs w:val="20"/>
                <w:color w:val="auto"/>
              </w:rPr>
            </w:pPr>
          </w:p>
        </w:tc>
      </w:tr>
      <w:tr>
        <w:trPr>
          <w:trHeight w:val="195"/>
        </w:trPr>
        <w:tc>
          <w:tcPr>
            <w:tcW w:w="180" w:type="dxa"/>
            <w:vAlign w:val="bottom"/>
          </w:tcPr>
          <w:p>
            <w:pPr>
              <w:spacing w:after="0"/>
              <w:rPr>
                <w:sz w:val="16"/>
                <w:szCs w:val="16"/>
                <w:color w:val="auto"/>
              </w:rPr>
            </w:pPr>
          </w:p>
        </w:tc>
        <w:tc>
          <w:tcPr>
            <w:tcW w:w="3120" w:type="dxa"/>
            <w:vAlign w:val="bottom"/>
            <w:gridSpan w:val="5"/>
          </w:tcPr>
          <w:p>
            <w:pPr>
              <w:ind w:left="660"/>
              <w:spacing w:after="0" w:line="195" w:lineRule="exact"/>
              <w:rPr>
                <w:sz w:val="20"/>
                <w:szCs w:val="20"/>
                <w:color w:val="auto"/>
              </w:rPr>
            </w:pPr>
            <w:r>
              <w:rPr>
                <w:rFonts w:ascii="Arial" w:cs="Arial" w:eastAsia="Arial" w:hAnsi="Arial"/>
                <w:sz w:val="18"/>
                <w:szCs w:val="18"/>
                <w:color w:val="auto"/>
              </w:rPr>
              <w:t>(Dollars in thousands)</w:t>
            </w:r>
          </w:p>
        </w:tc>
      </w:tr>
      <w:tr>
        <w:trPr>
          <w:trHeight w:val="216"/>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69,827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66,686</w:t>
            </w:r>
          </w:p>
        </w:tc>
      </w:tr>
      <w:tr>
        <w:trPr>
          <w:trHeight w:val="216"/>
        </w:trPr>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71,247</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71,148</w:t>
            </w:r>
          </w:p>
        </w:tc>
      </w:tr>
      <w:tr>
        <w:trPr>
          <w:trHeight w:val="216"/>
        </w:trPr>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374,569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275,437</w:t>
            </w:r>
          </w:p>
        </w:tc>
      </w:tr>
      <w:tr>
        <w:trPr>
          <w:trHeight w:val="216"/>
        </w:trPr>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37,170</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36,070</w:t>
            </w:r>
          </w:p>
        </w:tc>
      </w:tr>
      <w:tr>
        <w:trPr>
          <w:trHeight w:val="216"/>
        </w:trPr>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65,578</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72,190</w:t>
            </w:r>
          </w:p>
        </w:tc>
      </w:tr>
      <w:tr>
        <w:trPr>
          <w:trHeight w:val="230"/>
        </w:trPr>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271,459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278,901</w:t>
            </w:r>
          </w:p>
        </w:tc>
      </w:tr>
      <w:tr>
        <w:trPr>
          <w:trHeight w:val="210"/>
        </w:trPr>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889,850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800,432</w:t>
            </w:r>
          </w:p>
        </w:tc>
        <w:tc>
          <w:tcPr>
            <w:tcW w:w="20" w:type="dxa"/>
            <w:vAlign w:val="bottom"/>
          </w:tcPr>
          <w:p>
            <w:pPr>
              <w:spacing w:after="0"/>
              <w:rPr>
                <w:sz w:val="18"/>
                <w:szCs w:val="18"/>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80" w:space="720"/>
            <w:col w:w="3780"/>
          </w:cols>
          <w:pgMar w:left="240" w:top="118" w:right="979" w:bottom="123"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time deposits greater than $250 thousand as of June 30, 2017 and June 30, 2016.</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scheduled maturities of time certificates by fiscal year are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June 30, 2017</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9861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thousands)</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219,901</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74,646</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23,540</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7,464</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11,486</w:t>
      </w:r>
    </w:p>
    <w:p>
      <w:pPr>
        <w:spacing w:after="0" w:line="9" w:lineRule="exact"/>
        <w:rPr>
          <w:sz w:val="20"/>
          <w:szCs w:val="20"/>
          <w:color w:val="auto"/>
        </w:rPr>
      </w:pPr>
    </w:p>
    <w:p>
      <w:pPr>
        <w:ind w:left="980" w:hanging="977"/>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337,037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9861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9861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6880" w:space="620"/>
            <w:col w:w="3180"/>
          </w:cols>
          <w:pgMar w:left="240" w:top="118" w:right="979" w:bottom="123" w:gutter="0" w:footer="0" w:header="0"/>
          <w:type w:val="continuous"/>
        </w:sect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80"/>
          </w:cols>
          <w:pgMar w:left="240" w:top="118" w:right="979" w:bottom="123" w:gutter="0" w:footer="0" w:header="0"/>
          <w:type w:val="continuous"/>
        </w:sectPr>
      </w:pPr>
    </w:p>
    <w:bookmarkStart w:id="81" w:name="page82"/>
    <w:bookmarkEnd w:id="81"/>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ectPr>
          <w:pgSz w:w="11900" w:h="16838" w:orient="portrait"/>
          <w:cols w:equalWidth="0" w:num="1">
            <w:col w:w="11340"/>
          </w:cols>
          <w:pgMar w:left="240" w:top="118" w:right="31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 Advances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advances from the Federal Home Loan Bank of Boston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Maturity</w:t>
            </w:r>
          </w:p>
        </w:tc>
        <w:tc>
          <w:tcPr>
            <w:tcW w:w="260" w:type="dxa"/>
            <w:vAlign w:val="bottom"/>
          </w:tcPr>
          <w:p>
            <w:pPr>
              <w:spacing w:after="0"/>
              <w:rPr>
                <w:sz w:val="24"/>
                <w:szCs w:val="24"/>
                <w:color w:val="auto"/>
              </w:rPr>
            </w:pPr>
          </w:p>
        </w:tc>
        <w:tc>
          <w:tcPr>
            <w:tcW w:w="2540" w:type="dxa"/>
            <w:vAlign w:val="bottom"/>
            <w:gridSpan w:val="5"/>
          </w:tcPr>
          <w:p>
            <w:pPr>
              <w:jc w:val="right"/>
              <w:ind w:right="520"/>
              <w:spacing w:after="0"/>
              <w:rPr>
                <w:sz w:val="20"/>
                <w:szCs w:val="20"/>
                <w:color w:val="auto"/>
              </w:rPr>
            </w:pPr>
            <w:r>
              <w:rPr>
                <w:rFonts w:ascii="Arial" w:cs="Arial" w:eastAsia="Arial" w:hAnsi="Arial"/>
                <w:sz w:val="18"/>
                <w:szCs w:val="18"/>
                <w:color w:val="auto"/>
                <w:w w:val="99"/>
              </w:rPr>
              <w:t>Unpaid Principal Balance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6"/>
          </w:tcPr>
          <w:p>
            <w:pPr>
              <w:ind w:left="380"/>
              <w:spacing w:after="0"/>
              <w:rPr>
                <w:sz w:val="20"/>
                <w:szCs w:val="20"/>
                <w:color w:val="auto"/>
              </w:rPr>
            </w:pPr>
            <w:r>
              <w:rPr>
                <w:rFonts w:ascii="Arial" w:cs="Arial" w:eastAsia="Arial" w:hAnsi="Arial"/>
                <w:sz w:val="18"/>
                <w:szCs w:val="18"/>
                <w:color w:val="auto"/>
              </w:rPr>
              <w:t>Carrying Amount</w:t>
            </w:r>
            <w:r>
              <w:rPr>
                <w:rFonts w:ascii="Arial" w:cs="Arial" w:eastAsia="Arial" w:hAnsi="Arial"/>
                <w:sz w:val="30"/>
                <w:szCs w:val="30"/>
                <w:color w:val="auto"/>
                <w:vertAlign w:val="superscript"/>
              </w:rPr>
              <w:t>(1)</w:t>
            </w:r>
          </w:p>
        </w:tc>
      </w:tr>
      <w:tr>
        <w:trPr>
          <w:trHeight w:val="21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By Fiscal</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r>
      <w:tr>
        <w:trPr>
          <w:trHeight w:val="210"/>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Year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25,000</w:t>
            </w:r>
          </w:p>
        </w:tc>
        <w:tc>
          <w:tcPr>
            <w:tcW w:w="360" w:type="dxa"/>
            <w:vAlign w:val="bottom"/>
            <w:gridSpan w:val="2"/>
          </w:tcPr>
          <w:p>
            <w:pPr>
              <w:jc w:val="right"/>
              <w:ind w:right="105"/>
              <w:spacing w:after="0" w:line="19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25,037</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5,038</w:t>
            </w:r>
          </w:p>
        </w:tc>
      </w:tr>
      <w:tr>
        <w:trPr>
          <w:trHeight w:val="210"/>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30,075</w:t>
            </w:r>
          </w:p>
        </w:tc>
        <w:tc>
          <w:tcPr>
            <w:tcW w:w="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615759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615759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20"/>
        <w:spacing w:after="0"/>
        <w:rPr>
          <w:sz w:val="20"/>
          <w:szCs w:val="20"/>
          <w:color w:val="auto"/>
        </w:rPr>
      </w:pPr>
      <w:r>
        <w:rPr>
          <w:rFonts w:ascii="Arial" w:cs="Arial" w:eastAsia="Arial" w:hAnsi="Arial"/>
          <w:sz w:val="16"/>
          <w:szCs w:val="16"/>
          <w:color w:val="auto"/>
        </w:rPr>
        <w:t>Weighted Average Interest Rate</w:t>
      </w:r>
    </w:p>
    <w:p>
      <w:pPr>
        <w:spacing w:after="0" w:line="46" w:lineRule="exact"/>
        <w:rPr>
          <w:sz w:val="20"/>
          <w:szCs w:val="20"/>
          <w:color w:val="auto"/>
        </w:rPr>
      </w:pPr>
    </w:p>
    <w:p>
      <w:pPr>
        <w:ind w:left="220"/>
        <w:spacing w:after="0"/>
        <w:tabs>
          <w:tab w:leader="none" w:pos="168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17240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14605</wp:posOffset>
            </wp:positionV>
            <wp:extent cx="17240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31" w:lineRule="exact"/>
        <w:rPr>
          <w:sz w:val="20"/>
          <w:szCs w:val="20"/>
          <w:color w:val="auto"/>
        </w:rPr>
      </w:pPr>
    </w:p>
    <w:p>
      <w:pPr>
        <w:ind w:left="2180" w:hanging="1223"/>
        <w:spacing w:after="0"/>
        <w:tabs>
          <w:tab w:leader="none" w:pos="2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2.10%</w:t>
      </w:r>
    </w:p>
    <w:p>
      <w:pPr>
        <w:spacing w:after="0" w:line="4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1.94%</w:t>
      </w:r>
      <w:r>
        <w:rPr>
          <w:rFonts w:ascii="Arial" w:cs="Arial" w:eastAsia="Arial" w:hAnsi="Arial"/>
          <w:sz w:val="16"/>
          <w:szCs w:val="16"/>
          <w:color w:val="auto"/>
        </w:rPr>
        <w:t>4.29%</w:t>
      </w:r>
    </w:p>
    <w:p>
      <w:pPr>
        <w:spacing w:after="0" w:line="48"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1.94%</w:t>
      </w:r>
      <w:r>
        <w:rPr>
          <w:rFonts w:ascii="Arial" w:cs="Arial" w:eastAsia="Arial" w:hAnsi="Arial"/>
          <w:sz w:val="16"/>
          <w:szCs w:val="16"/>
          <w:color w:val="auto"/>
        </w:rPr>
        <w:t>2.46%</w:t>
      </w:r>
    </w:p>
    <w:p>
      <w:pPr>
        <w:spacing w:after="0" w:line="223" w:lineRule="exact"/>
        <w:rPr>
          <w:sz w:val="20"/>
          <w:szCs w:val="20"/>
          <w:color w:val="auto"/>
        </w:rPr>
      </w:pPr>
    </w:p>
    <w:p>
      <w:pPr>
        <w:sectPr>
          <w:pgSz w:w="11900" w:h="16838" w:orient="portrait"/>
          <w:cols w:equalWidth="0" w:num="2">
            <w:col w:w="6640" w:space="400"/>
            <w:col w:w="4300"/>
          </w:cols>
          <w:pgMar w:left="240" w:top="118" w:right="319" w:bottom="1440" w:gutter="0" w:footer="0" w:header="0"/>
          <w:type w:val="continuous"/>
        </w:sectPr>
      </w:pPr>
    </w:p>
    <w:p>
      <w:pPr>
        <w:spacing w:after="0" w:line="56" w:lineRule="exact"/>
        <w:rPr>
          <w:sz w:val="20"/>
          <w:szCs w:val="20"/>
          <w:color w:val="auto"/>
        </w:rPr>
      </w:pPr>
    </w:p>
    <w:p>
      <w:pPr>
        <w:jc w:val="right"/>
        <w:ind w:right="2740"/>
        <w:spacing w:after="0"/>
        <w:rPr>
          <w:sz w:val="20"/>
          <w:szCs w:val="20"/>
          <w:color w:val="auto"/>
        </w:rPr>
      </w:pPr>
      <w:r>
        <w:rPr>
          <w:rFonts w:ascii="Arial" w:cs="Arial" w:eastAsia="Arial" w:hAnsi="Arial"/>
          <w:sz w:val="16"/>
          <w:szCs w:val="16"/>
          <w:color w:val="auto"/>
        </w:rPr>
        <w:t>(1)The difference between the carrying amount and the unpaid principal balance is the result of purchase accounting.</w:t>
      </w:r>
    </w:p>
    <w:p>
      <w:pPr>
        <w:spacing w:after="0" w:line="46" w:lineRule="exact"/>
        <w:rPr>
          <w:sz w:val="20"/>
          <w:szCs w:val="20"/>
          <w:color w:val="auto"/>
        </w:rPr>
      </w:pPr>
    </w:p>
    <w:p>
      <w:pPr>
        <w:jc w:val="right"/>
        <w:ind w:right="2760"/>
        <w:spacing w:after="0"/>
        <w:rPr>
          <w:sz w:val="20"/>
          <w:szCs w:val="20"/>
          <w:color w:val="auto"/>
        </w:rPr>
      </w:pPr>
      <w:r>
        <w:rPr>
          <w:rFonts w:ascii="Arial" w:cs="Arial" w:eastAsia="Arial" w:hAnsi="Arial"/>
          <w:sz w:val="17"/>
          <w:szCs w:val="17"/>
          <w:color w:val="auto"/>
        </w:rPr>
        <w:t>The premium or discount is being amortized or accreted as interest expense over the instrument’s contractual life.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no FHLBB advances were subject to call provisions and as such, they may not be called prior to the stated maturity.</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Certain mortgage loans, free of liens, pledges and encumbrances have been pledged under a blanket agreement to secure these advances. The Company is required to own stock in the Federal Home Loan Bank of Boston in order to borrow from the FHLBB.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the Company had approximately $67.9 million of additional capacity to borrow from the FHLBB.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Lease Obligation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fiscal 2006, the Company recognized a capital lease obligation for its Lewiston, Maine, headquarters. The present value of the lease payments over fifteen years exceeded 90% of the fair value of the property.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The outstanding capital lease obligations are as follows for years ending June 30:</w:t>
            </w: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Capital Lease Obligation</w:t>
            </w:r>
          </w:p>
        </w:tc>
      </w:tr>
      <w:tr>
        <w:trPr>
          <w:trHeight w:val="210"/>
        </w:trPr>
        <w:tc>
          <w:tcPr>
            <w:tcW w:w="69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7"/>
              </w:rPr>
              <w:t>(Dollars 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Imputed interest</w:t>
            </w:r>
          </w:p>
        </w:tc>
        <w:tc>
          <w:tcPr>
            <w:tcW w:w="140" w:type="dxa"/>
            <w:vAlign w:val="bottom"/>
          </w:tcPr>
          <w:p>
            <w:pPr>
              <w:spacing w:after="0"/>
              <w:rPr>
                <w:sz w:val="18"/>
                <w:szCs w:val="18"/>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r>
      <w:tr>
        <w:trPr>
          <w:trHeight w:val="25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Subordinated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Trust Preferred Securities and Junior Subordinated Debentures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NBN Capital Trust II and NBN Capital Trust III were created in December 2003. NBN Capital Trust IV was created in December 2004. Each such trust is a Delaware statutory trust (together, the "Private Trusts"). The exclusive purpose of the Private Trusts was (i) issuing and selling common securities and preferred securities in a private placement offering (the "Private Trust Securities"), (ii) using the proceeds of the sale of the Private Trust Securities to acquire Junior Subordinated Deferrable Interest Notes ("Junior Subordinated Debentures"); and (iii) engaging only in those other activities necessary, convenient or incidental thereto. Accordingly, the Junior Subordinated Debentures are the sole assets of each of the Private Trusts.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type w:val="continuous"/>
        </w:sectPr>
      </w:pPr>
    </w:p>
    <w:bookmarkStart w:id="82" w:name="page83"/>
    <w:bookmarkEnd w:id="8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following table summarizes the Junior Subordinated Debentures issued by the Company to each affiliated trust and the Private Trust Securities issued by each affiliated trust as of June 30, 2017 and June 30, 2016. Amounts include the junior subordinated debentures acquired by the affiliated trusts from the Company with the capital contributed by the Company in exchange for the common securities of such trust, which were $93 thousand each for NBN Capital Trust II and III and $310 thousand for NBN Capital Trust IV. The trust preferred securities (the "Preferred Securities") were sold in two separate private placement offerings. The Company has the right to redeem the Junior Subordinated Debentures, in whole or in part, on or after March 30, 2009, for NBN Capital Trust II and III, and on or after February 23, 2010, for NBN Capital Trust IV, at the redemption price specified in the associated Indenture, plus accrued but unpaid interest to the redemption date.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06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5"/>
              </w:rPr>
              <w:t>Maturity Date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ind w:left="140"/>
              <w:spacing w:after="0"/>
              <w:rPr>
                <w:sz w:val="20"/>
                <w:szCs w:val="20"/>
                <w:color w:val="auto"/>
              </w:rPr>
            </w:pPr>
            <w:r>
              <w:rPr>
                <w:rFonts w:ascii="Arial" w:cs="Arial" w:eastAsia="Arial" w:hAnsi="Arial"/>
                <w:sz w:val="18"/>
                <w:szCs w:val="18"/>
                <w:color w:val="auto"/>
              </w:rPr>
              <w:t>Unpaid Principal Balance</w:t>
            </w:r>
          </w:p>
        </w:tc>
        <w:tc>
          <w:tcPr>
            <w:tcW w:w="240" w:type="dxa"/>
            <w:vAlign w:val="bottom"/>
          </w:tcPr>
          <w:p>
            <w:pPr>
              <w:spacing w:after="0"/>
              <w:rPr>
                <w:sz w:val="24"/>
                <w:szCs w:val="24"/>
                <w:color w:val="auto"/>
              </w:rPr>
            </w:pPr>
          </w:p>
        </w:tc>
        <w:tc>
          <w:tcPr>
            <w:tcW w:w="2360" w:type="dxa"/>
            <w:vAlign w:val="bottom"/>
            <w:gridSpan w:val="6"/>
          </w:tcPr>
          <w:p>
            <w:pPr>
              <w:ind w:left="280"/>
              <w:spacing w:after="0"/>
              <w:rPr>
                <w:sz w:val="20"/>
                <w:szCs w:val="20"/>
                <w:color w:val="auto"/>
              </w:rPr>
            </w:pPr>
            <w:r>
              <w:rPr>
                <w:rFonts w:ascii="Arial" w:cs="Arial" w:eastAsia="Arial" w:hAnsi="Arial"/>
                <w:sz w:val="18"/>
                <w:szCs w:val="18"/>
                <w:color w:val="auto"/>
              </w:rPr>
              <w:t>Carrying Amount</w:t>
            </w:r>
            <w:r>
              <w:rPr>
                <w:rFonts w:ascii="Arial" w:cs="Arial" w:eastAsia="Arial" w:hAnsi="Arial"/>
                <w:sz w:val="30"/>
                <w:szCs w:val="30"/>
                <w:color w:val="auto"/>
                <w:vertAlign w:val="superscript"/>
              </w:rPr>
              <w:t>(1)</w:t>
            </w:r>
          </w:p>
        </w:tc>
      </w:tr>
      <w:tr>
        <w:trPr>
          <w:trHeight w:val="210"/>
        </w:trPr>
        <w:tc>
          <w:tcPr>
            <w:tcW w:w="306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10"/>
        </w:trPr>
        <w:tc>
          <w:tcPr>
            <w:tcW w:w="3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NBN Capital Trust II</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NBN Capital Trust III</w:t>
            </w:r>
          </w:p>
        </w:tc>
        <w:tc>
          <w:tcPr>
            <w:tcW w:w="2900" w:type="dxa"/>
            <w:vAlign w:val="bottom"/>
          </w:tcPr>
          <w:p>
            <w:pPr>
              <w:jc w:val="center"/>
              <w:spacing w:after="0"/>
              <w:rPr>
                <w:sz w:val="20"/>
                <w:szCs w:val="20"/>
                <w:color w:val="auto"/>
              </w:rPr>
            </w:pPr>
            <w:r>
              <w:rPr>
                <w:rFonts w:ascii="Arial" w:cs="Arial" w:eastAsia="Arial" w:hAnsi="Arial"/>
                <w:sz w:val="18"/>
                <w:szCs w:val="18"/>
                <w:color w:val="auto"/>
                <w:w w:val="91"/>
              </w:rPr>
              <w:t>March 30, 2034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NBN Capital Trust IV</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23, 2035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w:t>
            </w:r>
          </w:p>
        </w:tc>
      </w:tr>
      <w:tr>
        <w:trPr>
          <w:trHeight w:val="20"/>
        </w:trPr>
        <w:tc>
          <w:tcPr>
            <w:tcW w:w="306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16,496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16,496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9,011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8,819</w:t>
            </w:r>
          </w:p>
        </w:tc>
      </w:tr>
      <w:tr>
        <w:trPr>
          <w:trHeight w:val="20"/>
        </w:trPr>
        <w:tc>
          <w:tcPr>
            <w:tcW w:w="3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NBN Capital Trust II and III pay a variable rate based on three month LIBOR plus 2.80%, and NBN Capital Trust IV pays a variable rate based on three month LIBOR plus 1.89%. Accordingly, the Preferred Securities of the Private Trusts currently pay quarterly distributions at an annual rate of 3.45% for the stated liquidation amount of $1,000 per Preferred Security for NBN Capital Trust II and III and an annual rate of 2.54% for the stated liquidation amount of $1,000 per Preferred Security for NBN Capital Trust IV. The Company has fully and unconditionally guaranteed all of the obligations of each trust. The guaranty covers the quarterly distributions and payments on liquidation or redemption of the Private Trust Securities, but only to the extent of funds held by the trusts.</w:t>
      </w:r>
    </w:p>
    <w:p>
      <w:pPr>
        <w:spacing w:after="0" w:line="193"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Junior Subordinated Debentures each have variable rates indexed to three-month LIBOR. During the fiscal year ended June 30, 2015, the Company purchased two interest rate caps to hedge the interest rate risk on notional amounts of $6 million and $10 million, respectively, of the Company's Junior Subordinated Debentures. Each is a cash flow hedge used to manage the risk to net interest income in a period of rising rates.</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interest rate caps hedge the junior subordinated debt resulting from the issuance of trust preferred securities by our affiliates NBN Capital Trust II, NBN Capital Trust III and NBN Capital Trust IV. The notional amount of $6 million and $10 million for each interest rate cap represents the outstanding junior subordinated debt from each trust. The strike rate is 2.50%. The Company will recognize higher interest expense on the junior subordinated debt for the first 200 basis points increase in three-month LIBOR. Once the three-month LIBOR rate exceeds 2.50% on a quarterly reset date, there will be a payment by the counterparty to the Company at the following quarter end. The effective date of the purchased interest rate caps were October 2014 and March 2015, respectively, and mature five years 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Subordinated Notes</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June 29, 2016, the Company entered into a Subordinated Note Purchase Agreement with certain institutional accredited investors (the “Purchasers”) whereby the Company sold and issued $15.05 million in aggregate principal amount of 6.75% fixed-to-floating subordinated notes due 2026 (the “Notes”). The Notes were issued by the Company to the Purchasers at a price equal to 100% of their face amount. Issuance costs were $552 thousand and have been netted against Subordinated Debt on the consolidated balance sheet. These costs are being amortized over five years, which represents the period from issuance to the first redemption date of July 1, 2021. Total amortization expense for the year ended June 30, 2017 was $110 thousand, with $442 thousand remaining to be amortized as of June 30, 2017.</w:t>
      </w:r>
    </w:p>
    <w:p>
      <w:pPr>
        <w:spacing w:after="0" w:line="19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Notes mature on July 1, 2026, with a fixed interest rate of 6.75% payable semiannually in arrears for five years until July 1, 2021. Subsequently, the Company will be obligated to pay 3-month LIBOR plus 557 basis points quarterly in arrears until either the early redemption date or the maturity date. The Notes are not convertible into or exchangeable for any other securities or assets of the Company or any of its subsidiaries. The Notes are redeemable by the Company, in whole or in part, on or after July 1, 2021 and at any time upon the occurrence of certain events. Any redemption by the Company would be at a redemption price equal to 100% of the outstanding principal amount of the Notes being redeemed, including any accrued and unpaid interest.</w:t>
      </w:r>
    </w:p>
    <w:p>
      <w:pPr>
        <w:spacing w:after="0" w:line="154"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and Regulatory Matters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Company's and the Bank's capital amounts and classification are also subject to qualitative judgments by the regulators about components, risk weightings and other factors.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3" w:name="page84"/>
    <w:bookmarkEnd w:id="8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prompt corrective action regulations define specific capital categories based on an institution's capital ratios. The capital categories, in declining order, are "well capitalized," "adequately capitalized," "undercapitalized," "significantly undercapitalized" and "critically undercapitalized."</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June 30, 2017 and 2016, the most recent notification from the Company's and the Bank's regulator categorized the Company and the Bank as "well capitalized" under the regulatory framework for prompt corrective action. To be categorized as "well capitalized," the Company and the Bank must maintain minimum Common equity tier 1 capital, total capital, Tier 1 capital and Tier 1 leverage ratios as set forth in the table below. There are no conditions or events since that notification that management believes have changed the institution's regulatory designation as "well-capitalized" under the regulatory framework for prompt corrective action.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amounts and ratios as set forth in the table below. At June 30, 2017 and 2016, the Company's and the Bank's ratios exceeded the regulatory requirements. Management believes that the Company and the Bank met all capital adequacy requirements to which they were subject as of June 30, 2017 and 2016. The Company's and the Bank's regulatory capital ratios are set forth below.</w:t>
      </w:r>
    </w:p>
    <w:p>
      <w:pPr>
        <w:spacing w:after="0" w:line="187" w:lineRule="exact"/>
        <w:rPr>
          <w:sz w:val="20"/>
          <w:szCs w:val="20"/>
          <w:color w:val="auto"/>
        </w:rPr>
      </w:pPr>
    </w:p>
    <w:tbl>
      <w:tblPr>
        <w:tblLayout w:type="fixed"/>
        <w:tblInd w:w="34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Minimum</w:t>
            </w:r>
          </w:p>
        </w:tc>
      </w:tr>
      <w:tr>
        <w:trPr>
          <w:trHeight w:val="216"/>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50"/>
              <w:spacing w:after="0"/>
              <w:rPr>
                <w:sz w:val="20"/>
                <w:szCs w:val="20"/>
                <w:color w:val="auto"/>
              </w:rPr>
            </w:pPr>
            <w:r>
              <w:rPr>
                <w:rFonts w:ascii="Arial" w:cs="Arial" w:eastAsia="Arial" w:hAnsi="Arial"/>
                <w:sz w:val="18"/>
                <w:szCs w:val="18"/>
                <w:color w:val="auto"/>
                <w:w w:val="95"/>
              </w:rPr>
              <w:t>Minimum To Be Well</w:t>
            </w: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Capital Ratio</w:t>
            </w:r>
          </w:p>
        </w:tc>
      </w:tr>
      <w:tr>
        <w:trPr>
          <w:trHeight w:val="216"/>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70"/>
              <w:spacing w:after="0"/>
              <w:rPr>
                <w:sz w:val="20"/>
                <w:szCs w:val="20"/>
                <w:color w:val="auto"/>
              </w:rPr>
            </w:pPr>
            <w:r>
              <w:rPr>
                <w:rFonts w:ascii="Arial" w:cs="Arial" w:eastAsia="Arial" w:hAnsi="Arial"/>
                <w:sz w:val="18"/>
                <w:szCs w:val="18"/>
                <w:color w:val="auto"/>
                <w:w w:val="92"/>
              </w:rPr>
              <w:t>Capitalized Under</w:t>
            </w: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with Capital</w:t>
            </w:r>
          </w:p>
        </w:tc>
      </w:tr>
      <w:tr>
        <w:trPr>
          <w:trHeight w:val="216"/>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8"/>
                <w:szCs w:val="18"/>
                <w:color w:val="auto"/>
                <w:w w:val="95"/>
              </w:rPr>
              <w:t>Minimum Capital</w:t>
            </w:r>
          </w:p>
        </w:tc>
        <w:tc>
          <w:tcPr>
            <w:tcW w:w="188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Prompt Corrective</w:t>
            </w: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Conservation</w:t>
            </w:r>
          </w:p>
        </w:tc>
      </w:tr>
      <w:tr>
        <w:trPr>
          <w:trHeight w:val="230"/>
        </w:trPr>
        <w:tc>
          <w:tcPr>
            <w:tcW w:w="76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Actual</w:t>
            </w:r>
          </w:p>
        </w:tc>
        <w:tc>
          <w:tcPr>
            <w:tcW w:w="260" w:type="dxa"/>
            <w:vAlign w:val="bottom"/>
          </w:tcPr>
          <w:p>
            <w:pPr>
              <w:spacing w:after="0"/>
              <w:rPr>
                <w:sz w:val="20"/>
                <w:szCs w:val="20"/>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Requirements</w:t>
            </w:r>
          </w:p>
        </w:tc>
        <w:tc>
          <w:tcPr>
            <w:tcW w:w="1880" w:type="dxa"/>
            <w:vAlign w:val="bottom"/>
            <w:gridSpan w:val="3"/>
          </w:tcPr>
          <w:p>
            <w:pPr>
              <w:jc w:val="center"/>
              <w:ind w:right="50"/>
              <w:spacing w:after="0"/>
              <w:rPr>
                <w:sz w:val="20"/>
                <w:szCs w:val="20"/>
                <w:color w:val="auto"/>
              </w:rPr>
            </w:pPr>
            <w:r>
              <w:rPr>
                <w:rFonts w:ascii="Arial" w:cs="Arial" w:eastAsia="Arial" w:hAnsi="Arial"/>
                <w:sz w:val="18"/>
                <w:szCs w:val="18"/>
                <w:color w:val="auto"/>
                <w:w w:val="94"/>
              </w:rPr>
              <w:t>Action Provisions</w:t>
            </w:r>
          </w:p>
        </w:tc>
        <w:tc>
          <w:tcPr>
            <w:tcW w:w="2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Buffer</w:t>
            </w:r>
          </w:p>
        </w:tc>
      </w:tr>
      <w:tr>
        <w:trPr>
          <w:trHeight w:val="210"/>
        </w:trPr>
        <w:tc>
          <w:tcPr>
            <w:tcW w:w="7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3"/>
              </w:rPr>
              <w:t>Amount</w:t>
            </w: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Ratio</w:t>
            </w:r>
          </w:p>
        </w:tc>
      </w:tr>
      <w:tr>
        <w:trPr>
          <w:trHeight w:val="211"/>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Arial" w:cs="Arial" w:eastAsia="Arial" w:hAnsi="Arial"/>
                <w:sz w:val="18"/>
                <w:szCs w:val="18"/>
                <w:color w:val="auto"/>
                <w:w w:val="85"/>
              </w:rPr>
              <w:t>(Dollars in thousands)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tbl>
      <w:tblPr>
        <w:tblLayout w:type="fixed"/>
        <w:tblInd w:w="0" w:type="dxa"/>
        <w:tblCellMar>
          <w:top w:w="0" w:type="dxa"/>
          <w:left w:w="0" w:type="dxa"/>
          <w:bottom w:w="0" w:type="dxa"/>
          <w:right w:w="0" w:type="dxa"/>
        </w:tblCellMar>
      </w:tblPr>
      <w:tr>
        <w:trPr>
          <w:trHeight w:val="200"/>
        </w:trPr>
        <w:tc>
          <w:tcPr>
            <w:tcW w:w="3060" w:type="dxa"/>
            <w:vAlign w:val="bottom"/>
          </w:tcPr>
          <w:p>
            <w:pPr>
              <w:spacing w:after="0" w:line="200" w:lineRule="exact"/>
              <w:rPr>
                <w:sz w:val="20"/>
                <w:szCs w:val="20"/>
                <w:color w:val="auto"/>
              </w:rPr>
            </w:pPr>
            <w:r>
              <w:rPr>
                <w:rFonts w:ascii="Arial" w:cs="Arial" w:eastAsia="Arial" w:hAnsi="Arial"/>
                <w:sz w:val="18"/>
                <w:szCs w:val="18"/>
                <w:color w:val="auto"/>
              </w:rPr>
              <w:t>June 30, 2017:</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Common equity tier 1 capital to risk</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weighted assets:</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Company</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123,442</w:t>
            </w:r>
          </w:p>
        </w:tc>
        <w:tc>
          <w:tcPr>
            <w:tcW w:w="9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Bank</w:t>
            </w:r>
          </w:p>
        </w:tc>
        <w:tc>
          <w:tcPr>
            <w:tcW w:w="56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138,744</w:t>
            </w:r>
          </w:p>
        </w:tc>
        <w:tc>
          <w:tcPr>
            <w:tcW w:w="960" w:type="dxa"/>
            <w:vAlign w:val="bottom"/>
          </w:tcPr>
          <w:p>
            <w:pPr>
              <w:jc w:val="right"/>
              <w:spacing w:after="0"/>
              <w:rPr>
                <w:sz w:val="20"/>
                <w:szCs w:val="20"/>
                <w:color w:val="auto"/>
              </w:rPr>
            </w:pPr>
            <w:r>
              <w:rPr>
                <w:rFonts w:ascii="Arial" w:cs="Arial" w:eastAsia="Arial" w:hAnsi="Arial"/>
                <w:sz w:val="18"/>
                <w:szCs w:val="18"/>
                <w:color w:val="auto"/>
              </w:rPr>
              <w:t>17.98%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06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150,269</w:t>
            </w: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Bank</w:t>
            </w:r>
          </w:p>
        </w:tc>
        <w:tc>
          <w:tcPr>
            <w:tcW w:w="56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142,447</w:t>
            </w:r>
          </w:p>
        </w:tc>
        <w:tc>
          <w:tcPr>
            <w:tcW w:w="960" w:type="dxa"/>
            <w:vAlign w:val="bottom"/>
          </w:tcPr>
          <w:p>
            <w:pPr>
              <w:jc w:val="right"/>
              <w:spacing w:after="0"/>
              <w:rPr>
                <w:sz w:val="20"/>
                <w:szCs w:val="20"/>
                <w:color w:val="auto"/>
              </w:rPr>
            </w:pPr>
            <w:r>
              <w:rPr>
                <w:rFonts w:ascii="Arial" w:cs="Arial" w:eastAsia="Arial" w:hAnsi="Arial"/>
                <w:sz w:val="18"/>
                <w:szCs w:val="18"/>
                <w:color w:val="auto"/>
              </w:rPr>
              <w:t>18.46%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06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131,958</w:t>
            </w: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Bank</w:t>
            </w:r>
          </w:p>
        </w:tc>
        <w:tc>
          <w:tcPr>
            <w:tcW w:w="56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138,744</w:t>
            </w:r>
          </w:p>
        </w:tc>
        <w:tc>
          <w:tcPr>
            <w:tcW w:w="960" w:type="dxa"/>
            <w:vAlign w:val="bottom"/>
          </w:tcPr>
          <w:p>
            <w:pPr>
              <w:jc w:val="right"/>
              <w:spacing w:after="0"/>
              <w:rPr>
                <w:sz w:val="20"/>
                <w:szCs w:val="20"/>
                <w:color w:val="auto"/>
              </w:rPr>
            </w:pPr>
            <w:r>
              <w:rPr>
                <w:rFonts w:ascii="Arial" w:cs="Arial" w:eastAsia="Arial" w:hAnsi="Arial"/>
                <w:sz w:val="18"/>
                <w:szCs w:val="18"/>
                <w:color w:val="auto"/>
              </w:rPr>
              <w:t>17.98%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0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131,958</w:t>
            </w: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Bank</w:t>
            </w:r>
          </w:p>
        </w:tc>
        <w:tc>
          <w:tcPr>
            <w:tcW w:w="56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138,744</w:t>
            </w:r>
          </w:p>
        </w:tc>
        <w:tc>
          <w:tcPr>
            <w:tcW w:w="960" w:type="dxa"/>
            <w:vAlign w:val="bottom"/>
          </w:tcPr>
          <w:p>
            <w:pPr>
              <w:jc w:val="right"/>
              <w:spacing w:after="0"/>
              <w:rPr>
                <w:sz w:val="20"/>
                <w:szCs w:val="20"/>
                <w:color w:val="auto"/>
              </w:rPr>
            </w:pPr>
            <w:r>
              <w:rPr>
                <w:rFonts w:ascii="Arial" w:cs="Arial" w:eastAsia="Arial" w:hAnsi="Arial"/>
                <w:sz w:val="18"/>
                <w:szCs w:val="18"/>
                <w:color w:val="auto"/>
              </w:rPr>
              <w:t>13.46%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June 30, 2016:</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Common equity tier 1 capital to risk</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weighted assets:</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Company</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126,046</w:t>
            </w:r>
          </w:p>
        </w:tc>
        <w:tc>
          <w:tcPr>
            <w:tcW w:w="9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Bank</w:t>
            </w:r>
          </w:p>
        </w:tc>
        <w:tc>
          <w:tcPr>
            <w:tcW w:w="56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117,212</w:t>
            </w:r>
          </w:p>
        </w:tc>
        <w:tc>
          <w:tcPr>
            <w:tcW w:w="960" w:type="dxa"/>
            <w:vAlign w:val="bottom"/>
          </w:tcPr>
          <w:p>
            <w:pPr>
              <w:jc w:val="right"/>
              <w:spacing w:after="0"/>
              <w:rPr>
                <w:sz w:val="20"/>
                <w:szCs w:val="20"/>
                <w:color w:val="auto"/>
              </w:rPr>
            </w:pPr>
            <w:r>
              <w:rPr>
                <w:rFonts w:ascii="Arial" w:cs="Arial" w:eastAsia="Arial" w:hAnsi="Arial"/>
                <w:sz w:val="18"/>
                <w:szCs w:val="18"/>
                <w:color w:val="auto"/>
              </w:rPr>
              <w:t>16.69%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06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142,988</w:t>
            </w: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Bank</w:t>
            </w:r>
          </w:p>
        </w:tc>
        <w:tc>
          <w:tcPr>
            <w:tcW w:w="56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119,971</w:t>
            </w:r>
          </w:p>
        </w:tc>
        <w:tc>
          <w:tcPr>
            <w:tcW w:w="960" w:type="dxa"/>
            <w:vAlign w:val="bottom"/>
          </w:tcPr>
          <w:p>
            <w:pPr>
              <w:jc w:val="right"/>
              <w:spacing w:after="0"/>
              <w:rPr>
                <w:sz w:val="20"/>
                <w:szCs w:val="20"/>
                <w:color w:val="auto"/>
              </w:rPr>
            </w:pPr>
            <w:r>
              <w:rPr>
                <w:rFonts w:ascii="Arial" w:cs="Arial" w:eastAsia="Arial" w:hAnsi="Arial"/>
                <w:sz w:val="18"/>
                <w:szCs w:val="18"/>
                <w:color w:val="auto"/>
              </w:rPr>
              <w:t>17.08%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06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17.97%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126,046</w:t>
            </w: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Bank</w:t>
            </w:r>
          </w:p>
        </w:tc>
        <w:tc>
          <w:tcPr>
            <w:tcW w:w="56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117,212</w:t>
            </w:r>
          </w:p>
        </w:tc>
        <w:tc>
          <w:tcPr>
            <w:tcW w:w="960" w:type="dxa"/>
            <w:vAlign w:val="bottom"/>
          </w:tcPr>
          <w:p>
            <w:pPr>
              <w:jc w:val="right"/>
              <w:spacing w:after="0"/>
              <w:rPr>
                <w:sz w:val="20"/>
                <w:szCs w:val="20"/>
                <w:color w:val="auto"/>
              </w:rPr>
            </w:pPr>
            <w:r>
              <w:rPr>
                <w:rFonts w:ascii="Arial" w:cs="Arial" w:eastAsia="Arial" w:hAnsi="Arial"/>
                <w:sz w:val="18"/>
                <w:szCs w:val="18"/>
                <w:color w:val="auto"/>
              </w:rPr>
              <w:t>16.69%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0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13.27%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126,046</w:t>
            </w: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Bank</w:t>
            </w:r>
          </w:p>
        </w:tc>
        <w:tc>
          <w:tcPr>
            <w:tcW w:w="56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117,212</w:t>
            </w:r>
          </w:p>
        </w:tc>
        <w:tc>
          <w:tcPr>
            <w:tcW w:w="960" w:type="dxa"/>
            <w:vAlign w:val="bottom"/>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-4527550</wp:posOffset>
            </wp:positionV>
            <wp:extent cx="72466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-4236085</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-3961130</wp:posOffset>
            </wp:positionV>
            <wp:extent cx="72466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-3669665</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-3395345</wp:posOffset>
            </wp:positionV>
            <wp:extent cx="72466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-3103880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-2538095</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-1843405</wp:posOffset>
            </wp:positionV>
            <wp:extent cx="72466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690"/>
              <w:spacing w:after="0"/>
              <w:rPr>
                <w:sz w:val="20"/>
                <w:szCs w:val="20"/>
                <w:color w:val="auto"/>
              </w:rPr>
            </w:pPr>
            <w:r>
              <w:rPr>
                <w:rFonts w:ascii="Arial" w:cs="Arial" w:eastAsia="Arial" w:hAnsi="Arial"/>
                <w:sz w:val="18"/>
                <w:szCs w:val="18"/>
                <w:color w:val="auto"/>
                <w:w w:val="87"/>
              </w:rPr>
              <w:t>34,714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&gt;4.5%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280" w:type="dxa"/>
            <w:vAlign w:val="bottom"/>
          </w:tcPr>
          <w:p>
            <w:pPr>
              <w:jc w:val="right"/>
              <w:ind w:right="690"/>
              <w:spacing w:after="0"/>
              <w:rPr>
                <w:sz w:val="20"/>
                <w:szCs w:val="20"/>
                <w:color w:val="auto"/>
              </w:rPr>
            </w:pPr>
            <w:r>
              <w:rPr>
                <w:rFonts w:ascii="Arial" w:cs="Arial" w:eastAsia="Arial" w:hAnsi="Arial"/>
                <w:sz w:val="18"/>
                <w:szCs w:val="18"/>
                <w:color w:val="auto"/>
                <w:w w:val="87"/>
              </w:rPr>
              <w:t>34,727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&gt;4.5%</w:t>
            </w:r>
          </w:p>
        </w:tc>
        <w:tc>
          <w:tcPr>
            <w:tcW w:w="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61,715</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8.0%</w:t>
      </w:r>
    </w:p>
    <w:p>
      <w:pPr>
        <w:spacing w:after="0" w:line="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61,737</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8.0%</w:t>
      </w:r>
    </w:p>
    <w:p>
      <w:pPr>
        <w:spacing w:after="0" w:line="200" w:lineRule="exact"/>
        <w:rPr>
          <w:sz w:val="20"/>
          <w:szCs w:val="20"/>
          <w:color w:val="auto"/>
        </w:rPr>
      </w:pPr>
    </w:p>
    <w:p>
      <w:pPr>
        <w:spacing w:after="0" w:line="24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46,286</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6.0%</w:t>
      </w:r>
    </w:p>
    <w:p>
      <w:pPr>
        <w:spacing w:after="0" w:line="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46,303</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6.0%</w:t>
      </w:r>
    </w:p>
    <w:p>
      <w:pPr>
        <w:spacing w:after="0" w:line="200" w:lineRule="exact"/>
        <w:rPr>
          <w:sz w:val="20"/>
          <w:szCs w:val="20"/>
          <w:color w:val="auto"/>
        </w:rPr>
      </w:pPr>
    </w:p>
    <w:p>
      <w:pPr>
        <w:spacing w:after="0" w:line="24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41,215</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4.0%</w:t>
      </w:r>
    </w:p>
    <w:p>
      <w:pPr>
        <w:spacing w:after="0" w:line="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41,238</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690"/>
              <w:spacing w:after="0"/>
              <w:rPr>
                <w:sz w:val="20"/>
                <w:szCs w:val="20"/>
                <w:color w:val="auto"/>
              </w:rPr>
            </w:pPr>
            <w:r>
              <w:rPr>
                <w:rFonts w:ascii="Arial" w:cs="Arial" w:eastAsia="Arial" w:hAnsi="Arial"/>
                <w:sz w:val="18"/>
                <w:szCs w:val="18"/>
                <w:color w:val="auto"/>
                <w:w w:val="87"/>
              </w:rPr>
              <w:t>31,559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&gt;4.5%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280" w:type="dxa"/>
            <w:vAlign w:val="bottom"/>
          </w:tcPr>
          <w:p>
            <w:pPr>
              <w:jc w:val="right"/>
              <w:ind w:right="690"/>
              <w:spacing w:after="0"/>
              <w:rPr>
                <w:sz w:val="20"/>
                <w:szCs w:val="20"/>
                <w:color w:val="auto"/>
              </w:rPr>
            </w:pPr>
            <w:r>
              <w:rPr>
                <w:rFonts w:ascii="Arial" w:cs="Arial" w:eastAsia="Arial" w:hAnsi="Arial"/>
                <w:sz w:val="18"/>
                <w:szCs w:val="18"/>
                <w:color w:val="auto"/>
                <w:w w:val="87"/>
              </w:rPr>
              <w:t>31,611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&gt;4.5%</w:t>
            </w:r>
          </w:p>
        </w:tc>
        <w:tc>
          <w:tcPr>
            <w:tcW w:w="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56,105</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8.0%</w:t>
      </w:r>
    </w:p>
    <w:p>
      <w:pPr>
        <w:spacing w:after="0" w:line="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56,197</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8.0%</w:t>
      </w:r>
    </w:p>
    <w:p>
      <w:pPr>
        <w:spacing w:after="0" w:line="200" w:lineRule="exact"/>
        <w:rPr>
          <w:sz w:val="20"/>
          <w:szCs w:val="20"/>
          <w:color w:val="auto"/>
        </w:rPr>
      </w:pPr>
    </w:p>
    <w:p>
      <w:pPr>
        <w:spacing w:after="0" w:line="24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42,079</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6.0%</w:t>
      </w:r>
    </w:p>
    <w:p>
      <w:pPr>
        <w:spacing w:after="0" w:line="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42,148</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6.0%</w:t>
      </w:r>
    </w:p>
    <w:p>
      <w:pPr>
        <w:spacing w:after="0" w:line="200" w:lineRule="exact"/>
        <w:rPr>
          <w:sz w:val="20"/>
          <w:szCs w:val="20"/>
          <w:color w:val="auto"/>
        </w:rPr>
      </w:pPr>
    </w:p>
    <w:p>
      <w:pPr>
        <w:spacing w:after="0" w:line="24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38,006</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4.0%</w:t>
      </w:r>
    </w:p>
    <w:p>
      <w:pPr>
        <w:spacing w:after="0" w:line="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38,022</w:t>
      </w:r>
      <w:r>
        <w:rPr>
          <w:sz w:val="20"/>
          <w:szCs w:val="20"/>
          <w:color w:val="auto"/>
        </w:rPr>
        <w:tab/>
      </w:r>
      <w:r>
        <w:rPr>
          <w:rFonts w:ascii="Arial" w:cs="Arial" w:eastAsia="Arial" w:hAnsi="Arial"/>
          <w:sz w:val="18"/>
          <w:szCs w:val="18"/>
          <w:u w:val="single" w:color="auto"/>
          <w:color w:val="auto"/>
        </w:rPr>
        <w:t>&gt;</w:t>
      </w: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87"/>
              </w:rPr>
              <w:t>50,162</w:t>
            </w:r>
          </w:p>
        </w:tc>
        <w:tc>
          <w:tcPr>
            <w:tcW w:w="460" w:type="dxa"/>
            <w:vAlign w:val="bottom"/>
            <w:gridSpan w:val="2"/>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w w:val="85"/>
              </w:rPr>
              <w:t>&gt;6.5%</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line="20" w:lineRule="exact"/>
              <w:rPr>
                <w:sz w:val="1"/>
                <w:szCs w:val="1"/>
                <w:color w:val="auto"/>
              </w:rPr>
            </w:pPr>
          </w:p>
        </w:tc>
      </w:tr>
      <w:tr>
        <w:trPr>
          <w:trHeight w:val="668"/>
        </w:trPr>
        <w:tc>
          <w:tcPr>
            <w:tcW w:w="84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N/A</w:t>
            </w: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87"/>
              </w:rPr>
              <w:t>77,172</w:t>
            </w:r>
          </w:p>
        </w:tc>
        <w:tc>
          <w:tcPr>
            <w:tcW w:w="1320" w:type="dxa"/>
            <w:vAlign w:val="bottom"/>
            <w:gridSpan w:val="4"/>
          </w:tcPr>
          <w:p>
            <w:pPr>
              <w:jc w:val="right"/>
              <w:ind w:right="400"/>
              <w:spacing w:after="0" w:line="203" w:lineRule="exact"/>
              <w:rPr>
                <w:sz w:val="20"/>
                <w:szCs w:val="20"/>
                <w:color w:val="auto"/>
              </w:rPr>
            </w:pPr>
            <w:r>
              <w:rPr>
                <w:rFonts w:ascii="Arial" w:cs="Arial" w:eastAsia="Arial" w:hAnsi="Arial"/>
                <w:sz w:val="18"/>
                <w:szCs w:val="18"/>
                <w:color w:val="auto"/>
              </w:rPr>
              <w:t>&gt;10.0%</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668"/>
        </w:trPr>
        <w:tc>
          <w:tcPr>
            <w:tcW w:w="84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87"/>
              </w:rPr>
              <w:t>61,737</w:t>
            </w:r>
          </w:p>
        </w:tc>
        <w:tc>
          <w:tcPr>
            <w:tcW w:w="460" w:type="dxa"/>
            <w:vAlign w:val="bottom"/>
            <w:gridSpan w:val="2"/>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w w:val="85"/>
              </w:rPr>
              <w:t>&gt;8.0%</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668"/>
        </w:trPr>
        <w:tc>
          <w:tcPr>
            <w:tcW w:w="84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N/A</w:t>
            </w: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87"/>
              </w:rPr>
              <w:t>51,547</w:t>
            </w:r>
          </w:p>
        </w:tc>
        <w:tc>
          <w:tcPr>
            <w:tcW w:w="460" w:type="dxa"/>
            <w:vAlign w:val="bottom"/>
            <w:gridSpan w:val="2"/>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w w:val="85"/>
              </w:rPr>
              <w:t>&gt;5.0%</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87"/>
              </w:rPr>
              <w:t>45,660</w:t>
            </w:r>
          </w:p>
        </w:tc>
        <w:tc>
          <w:tcPr>
            <w:tcW w:w="460" w:type="dxa"/>
            <w:vAlign w:val="bottom"/>
            <w:gridSpan w:val="2"/>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w w:val="85"/>
              </w:rPr>
              <w:t>&gt;6.5%</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line="20" w:lineRule="exact"/>
              <w:rPr>
                <w:sz w:val="1"/>
                <w:szCs w:val="1"/>
                <w:color w:val="auto"/>
              </w:rPr>
            </w:pPr>
          </w:p>
        </w:tc>
      </w:tr>
      <w:tr>
        <w:trPr>
          <w:trHeight w:val="668"/>
        </w:trPr>
        <w:tc>
          <w:tcPr>
            <w:tcW w:w="84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N/A</w:t>
            </w: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87"/>
              </w:rPr>
              <w:t>70,246</w:t>
            </w:r>
          </w:p>
        </w:tc>
        <w:tc>
          <w:tcPr>
            <w:tcW w:w="1320" w:type="dxa"/>
            <w:vAlign w:val="bottom"/>
            <w:gridSpan w:val="4"/>
          </w:tcPr>
          <w:p>
            <w:pPr>
              <w:jc w:val="right"/>
              <w:ind w:right="400"/>
              <w:spacing w:after="0" w:line="203" w:lineRule="exact"/>
              <w:rPr>
                <w:sz w:val="20"/>
                <w:szCs w:val="20"/>
                <w:color w:val="auto"/>
              </w:rPr>
            </w:pPr>
            <w:r>
              <w:rPr>
                <w:rFonts w:ascii="Arial" w:cs="Arial" w:eastAsia="Arial" w:hAnsi="Arial"/>
                <w:sz w:val="18"/>
                <w:szCs w:val="18"/>
                <w:color w:val="auto"/>
              </w:rPr>
              <w:t>&gt;10.0%</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668"/>
        </w:trPr>
        <w:tc>
          <w:tcPr>
            <w:tcW w:w="84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87"/>
              </w:rPr>
              <w:t>56,197</w:t>
            </w:r>
          </w:p>
        </w:tc>
        <w:tc>
          <w:tcPr>
            <w:tcW w:w="460" w:type="dxa"/>
            <w:vAlign w:val="bottom"/>
            <w:gridSpan w:val="2"/>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w w:val="85"/>
              </w:rPr>
              <w:t>&gt;8.0%</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668"/>
        </w:trPr>
        <w:tc>
          <w:tcPr>
            <w:tcW w:w="84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N/A</w:t>
            </w: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87"/>
              </w:rPr>
              <w:t>47,528</w:t>
            </w:r>
          </w:p>
        </w:tc>
        <w:tc>
          <w:tcPr>
            <w:tcW w:w="460" w:type="dxa"/>
            <w:vAlign w:val="bottom"/>
            <w:gridSpan w:val="2"/>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w w:val="85"/>
              </w:rPr>
              <w:t>&gt;5.0%</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ectPr>
          <w:pgSz w:w="11900" w:h="16838" w:orient="portrait"/>
          <w:cols w:equalWidth="0" w:num="3">
            <w:col w:w="5800" w:space="320"/>
            <w:col w:w="1960" w:space="320"/>
            <w:col w:w="3020"/>
          </w:cols>
          <w:pgMar w:left="240" w:top="118"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4" w:name="page85"/>
    <w:bookmarkEnd w:id="8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 addition to the minimum regulatory capital required for capital adequacy purposes included in the table above, the Company is required to maintain a capital conservation buffer, in the form of common equity, in order to avoid restrictions on capital distributions and discretionary bonuses. The required amount of the capital conservation buffer was 0.625% on January 1, 2016 and will increase by 0.625% each year until it reaches 2.5% on January 1, 2019.</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Parent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capital. The Company and the Bank are currently in compliance with all commitments to the Federal Reserve.</w:t>
      </w:r>
    </w:p>
    <w:p>
      <w:pPr>
        <w:spacing w:after="0" w:line="184"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Common Share (“EPS”)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Year ended June 30,</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(Dollars in</w:t>
            </w:r>
          </w:p>
        </w:tc>
        <w:tc>
          <w:tcPr>
            <w:tcW w:w="3580" w:type="dxa"/>
            <w:vAlign w:val="bottom"/>
            <w:gridSpan w:val="7"/>
          </w:tcPr>
          <w:p>
            <w:pPr>
              <w:spacing w:after="0"/>
              <w:rPr>
                <w:sz w:val="20"/>
                <w:szCs w:val="20"/>
                <w:color w:val="auto"/>
              </w:rPr>
            </w:pPr>
            <w:r>
              <w:rPr>
                <w:rFonts w:ascii="Arial" w:cs="Arial" w:eastAsia="Arial" w:hAnsi="Arial"/>
                <w:sz w:val="18"/>
                <w:szCs w:val="18"/>
                <w:color w:val="auto"/>
                <w:w w:val="99"/>
              </w:rPr>
              <w:t>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12,339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 average shares used in calculation of basic earnings per</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8,898,448</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9,474,999</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9,980,733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w w:val="97"/>
              </w:rPr>
              <w:t>Incremental shares from assumed exercise of dilutive securities</w:t>
            </w:r>
          </w:p>
        </w:tc>
        <w:tc>
          <w:tcPr>
            <w:tcW w:w="320" w:type="dxa"/>
            <w:vAlign w:val="bottom"/>
          </w:tcPr>
          <w:p>
            <w:pPr>
              <w:spacing w:after="0"/>
              <w:rPr>
                <w:sz w:val="18"/>
                <w:szCs w:val="18"/>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54,166</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9,636</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w w:val="91"/>
              </w:rPr>
              <w:t>Weighted average shares used in calculation of diluted earnings per</w:t>
            </w:r>
          </w:p>
        </w:tc>
        <w:tc>
          <w:tcPr>
            <w:tcW w:w="3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8,952,614</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9,484,635</w:t>
            </w:r>
          </w:p>
        </w:tc>
        <w:tc>
          <w:tcPr>
            <w:tcW w:w="32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9,980,733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share</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0.80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years ended June 30, 2017, 2016, and 2015,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4"/>
              </w:rPr>
              <w:t>Year ended June 30,</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25"/>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642,641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714,545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1,059,721</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608"/>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12.   Income Taxes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600" w:type="dxa"/>
            <w:vAlign w:val="bottom"/>
            <w:gridSpan w:val="5"/>
          </w:tcPr>
          <w:p>
            <w:pPr>
              <w:spacing w:after="0"/>
              <w:rPr>
                <w:sz w:val="20"/>
                <w:szCs w:val="20"/>
                <w:color w:val="auto"/>
              </w:rPr>
            </w:pPr>
            <w:r>
              <w:rPr>
                <w:rFonts w:ascii="Arial" w:cs="Arial" w:eastAsia="Arial" w:hAnsi="Arial"/>
                <w:sz w:val="18"/>
                <w:szCs w:val="18"/>
                <w:color w:val="auto"/>
              </w:rPr>
              <w:t>The current and deferred components of income tax expense follows: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4"/>
              </w:rPr>
              <w:t>Year Ended June 30,</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gridSpan w:val="3"/>
          </w:tcPr>
          <w:p>
            <w:pPr>
              <w:ind w:left="180"/>
              <w:spacing w:after="0"/>
              <w:rPr>
                <w:sz w:val="20"/>
                <w:szCs w:val="20"/>
                <w:color w:val="auto"/>
              </w:rPr>
            </w:pPr>
            <w:r>
              <w:rPr>
                <w:rFonts w:ascii="Arial" w:cs="Arial" w:eastAsia="Arial" w:hAnsi="Arial"/>
                <w:sz w:val="18"/>
                <w:szCs w:val="18"/>
                <w:color w:val="auto"/>
              </w:rPr>
              <w:t>Federal</w:t>
            </w:r>
          </w:p>
        </w:tc>
        <w:tc>
          <w:tcPr>
            <w:tcW w:w="15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7,071</w:t>
            </w:r>
          </w:p>
        </w:tc>
        <w:tc>
          <w:tcPr>
            <w:tcW w:w="1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1,544</w:t>
            </w:r>
          </w:p>
        </w:tc>
        <w:tc>
          <w:tcPr>
            <w:tcW w:w="10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4,282</w:t>
            </w:r>
          </w:p>
        </w:tc>
      </w:tr>
      <w:tr>
        <w:trPr>
          <w:trHeight w:val="216"/>
        </w:trPr>
        <w:tc>
          <w:tcPr>
            <w:tcW w:w="4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w:t>
            </w:r>
          </w:p>
        </w:tc>
      </w:tr>
      <w:tr>
        <w:trPr>
          <w:trHeight w:val="20"/>
        </w:trPr>
        <w:tc>
          <w:tcPr>
            <w:tcW w:w="4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gridSpan w:val="3"/>
          </w:tcPr>
          <w:p>
            <w:pPr>
              <w:ind w:left="340"/>
              <w:spacing w:after="0"/>
              <w:rPr>
                <w:sz w:val="20"/>
                <w:szCs w:val="20"/>
                <w:color w:val="auto"/>
              </w:rPr>
            </w:pPr>
            <w:r>
              <w:rPr>
                <w:rFonts w:ascii="Arial" w:cs="Arial" w:eastAsia="Arial" w:hAnsi="Arial"/>
                <w:sz w:val="18"/>
                <w:szCs w:val="18"/>
                <w:color w:val="auto"/>
              </w:rPr>
              <w:t>Total current provision</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1,982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5,180</w:t>
            </w: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expense (benefit)</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gridSpan w:val="3"/>
          </w:tcPr>
          <w:p>
            <w:pPr>
              <w:ind w:left="180"/>
              <w:spacing w:after="0"/>
              <w:rPr>
                <w:sz w:val="20"/>
                <w:szCs w:val="20"/>
                <w:color w:val="auto"/>
              </w:rPr>
            </w:pPr>
            <w:r>
              <w:rPr>
                <w:rFonts w:ascii="Arial" w:cs="Arial" w:eastAsia="Arial" w:hAnsi="Arial"/>
                <w:sz w:val="18"/>
                <w:szCs w:val="18"/>
                <w:color w:val="auto"/>
              </w:rPr>
              <w:t>Federal</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1,761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r>
      <w:tr>
        <w:trPr>
          <w:trHeight w:val="216"/>
        </w:trPr>
        <w:tc>
          <w:tcPr>
            <w:tcW w:w="4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r>
      <w:tr>
        <w:trPr>
          <w:trHeight w:val="20"/>
        </w:trPr>
        <w:tc>
          <w:tcPr>
            <w:tcW w:w="4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gridSpan w:val="3"/>
          </w:tcPr>
          <w:p>
            <w:pPr>
              <w:ind w:left="340"/>
              <w:spacing w:after="0"/>
              <w:rPr>
                <w:sz w:val="20"/>
                <w:szCs w:val="20"/>
                <w:color w:val="auto"/>
              </w:rPr>
            </w:pPr>
            <w:r>
              <w:rPr>
                <w:rFonts w:ascii="Arial" w:cs="Arial" w:eastAsia="Arial" w:hAnsi="Arial"/>
                <w:sz w:val="18"/>
                <w:szCs w:val="18"/>
                <w:color w:val="auto"/>
              </w:rPr>
              <w:t>Total deferred (benefit) expense</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2,122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(1,185)</w:t>
            </w:r>
          </w:p>
        </w:tc>
      </w:tr>
      <w:tr>
        <w:trPr>
          <w:trHeight w:val="250"/>
        </w:trPr>
        <w:tc>
          <w:tcPr>
            <w:tcW w:w="40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tax provision</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1014"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014" w:gutter="0" w:footer="0" w:header="0"/>
          <w:type w:val="continuous"/>
        </w:sectPr>
      </w:pPr>
    </w:p>
    <w:bookmarkStart w:id="85" w:name="page86"/>
    <w:bookmarkEnd w:id="8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reconciliation between the statutory federal income tax rate of 35% for fiscal 2017 and 34% for fiscal 2016 and 2015, and the effective tax rate on income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June 30,</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 at federal tax rate</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c>
          <w:tcPr>
            <w:tcW w:w="11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10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11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Non-taxable BOLI income</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11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Low-income housing tax credit, net of adoption of ASU 2014-01</w:t>
            </w:r>
          </w:p>
        </w:tc>
        <w:tc>
          <w:tcPr>
            <w:tcW w:w="10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1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exempt interest income</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11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tax provision</w:t>
            </w:r>
          </w:p>
        </w:tc>
        <w:tc>
          <w:tcPr>
            <w:tcW w:w="104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5160" w:type="dxa"/>
            <w:vAlign w:val="bottom"/>
          </w:tcPr>
          <w:p>
            <w:pPr>
              <w:spacing w:after="0"/>
              <w:rPr>
                <w:sz w:val="24"/>
                <w:szCs w:val="24"/>
                <w:color w:val="auto"/>
              </w:rPr>
            </w:pPr>
          </w:p>
        </w:tc>
        <w:tc>
          <w:tcPr>
            <w:tcW w:w="1040" w:type="dxa"/>
            <w:vAlign w:val="bottom"/>
          </w:tcPr>
          <w:p>
            <w:pPr>
              <w:jc w:val="right"/>
              <w:ind w:right="317"/>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5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5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that give rise to significant portions of the deferred tax assets and deferred tax liabilities at June 30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2780" w:type="dxa"/>
            <w:vAlign w:val="bottom"/>
            <w:gridSpan w:val="4"/>
          </w:tcPr>
          <w:p>
            <w:pPr>
              <w:jc w:val="right"/>
              <w:ind w:right="260"/>
              <w:spacing w:after="0"/>
              <w:rPr>
                <w:sz w:val="20"/>
                <w:szCs w:val="20"/>
                <w:color w:val="auto"/>
              </w:rPr>
            </w:pPr>
            <w:r>
              <w:rPr>
                <w:rFonts w:ascii="Arial" w:cs="Arial" w:eastAsia="Arial" w:hAnsi="Arial"/>
                <w:sz w:val="18"/>
                <w:szCs w:val="18"/>
                <w:color w:val="auto"/>
              </w:rPr>
              <w:t>(Dollars in thousands)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040" w:type="dxa"/>
            <w:vAlign w:val="bottom"/>
          </w:tcPr>
          <w:p>
            <w:pPr>
              <w:jc w:val="right"/>
              <w:ind w:right="87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1,462</w:t>
            </w:r>
          </w:p>
        </w:tc>
        <w:tc>
          <w:tcPr>
            <w:tcW w:w="22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basis differential</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Time deposit basis differential</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Unrealized loss on derivatives</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available for sale securities</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Interest on nonperforming loans</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r>
      <w:tr>
        <w:trPr>
          <w:trHeight w:val="210"/>
        </w:trPr>
        <w:tc>
          <w:tcPr>
            <w:tcW w:w="69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Gross deferred tax asset</w:t>
            </w: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8,131</w:t>
            </w: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Borders>
              <w:top w:val="single" w:sz="8" w:color="CCEEFF"/>
            </w:tcBorders>
          </w:tcPr>
          <w:p>
            <w:pPr>
              <w:spacing w:after="0"/>
              <w:rPr>
                <w:sz w:val="18"/>
                <w:szCs w:val="18"/>
                <w:color w:val="auto"/>
              </w:rPr>
            </w:pP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8,131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7,162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Unrealized gain on available for sale securities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Premises and equipment</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Borrowings basis differential</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r>
      <w:tr>
        <w:trPr>
          <w:trHeight w:val="216"/>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00" w:type="dxa"/>
            <w:vAlign w:val="bottom"/>
          </w:tcPr>
          <w:p>
            <w:pPr>
              <w:ind w:left="340"/>
              <w:spacing w:after="0"/>
              <w:rPr>
                <w:sz w:val="20"/>
                <w:szCs w:val="20"/>
                <w:color w:val="auto"/>
              </w:rPr>
            </w:pPr>
            <w:r>
              <w:rPr>
                <w:rFonts w:ascii="Arial" w:cs="Arial" w:eastAsia="Arial" w:hAnsi="Arial"/>
                <w:sz w:val="18"/>
                <w:szCs w:val="18"/>
                <w:color w:val="auto"/>
              </w:rPr>
              <w:t>Total deferred tax liability</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5,908</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5,816</w:t>
            </w: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w:t>
            </w:r>
          </w:p>
        </w:tc>
        <w:tc>
          <w:tcPr>
            <w:tcW w:w="104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was included in other assets in the accompanying balance sheet as of June 30, 2017 and June 30, 2016.</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are to be reduced by a valuation allowance if, based on the weight of available evidence, it is more likely than not that some portion or all of the deferred tax assets will not be realized. The realization of the tax benefit depends upon the existence of sufficient taxable income within the carry-back and future periods. The Company believes that it is more likely than not that the net deferred tax asset as of June 30, 2017 will be realized, based upon the ability to generate future taxable income as well as the availability of current and historical taxable income.</w:t>
      </w:r>
    </w:p>
    <w:p>
      <w:pPr>
        <w:spacing w:after="0" w:line="15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federal tax purposes, the Company has a $2.0 million reserve for loan losses which remains subject to recapture. If any portion of the reserve is used for purposes other than to absorb the losses for which it was established, approximately 150% of the amount actually used (limited to the amount of the reserve) would be subject to taxation in the year in which used. As the Company intends to use the reserve only to absorb loan losses, no provision has been made for potential liability that would result if 100% of the reserve were recaptured.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the Internal Revenue Service (the "IRS") and state tax authorities may review or challenge specific tax positions taken by the Company in its ordinary course of business. The Company accounts for uncertainties in income taxes by reserving for tax positions that may not be upheld under examination. Increases to the Company's unrealized tax positions occur as a result of accruing for the unrecognized tax benefit as well the accrual of interest and penalties related to prior year positions. Decreases in the Company's unrealized tax positions occur as a result of the statute of limitation lapsing on prior year positions or settlements relating to outstanding positions. The Company reserves for uncertain tax positions, as well as related interest and penalties, as a component of income tax expense therefore affecting the effective tax rate. The following is a reconciliation of the beginning and ending amounts of the Company's uncertain tax positions:</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87" w:name="page88"/>
    <w:bookmarkEnd w:id="8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Interest and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Tax Position</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Penalties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(Dollars 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262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1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2017</w:t>
            </w:r>
          </w:p>
        </w:tc>
        <w:tc>
          <w:tcPr>
            <w:tcW w:w="1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currently open to audit under the statute of limitations by the IRS and state taxing authorities for the fiscal 2014 tax return and forward.</w:t>
      </w:r>
    </w:p>
    <w:p>
      <w:pPr>
        <w:spacing w:after="0" w:line="23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401(k) Plan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offers a contributory 401(k) plan that is available to all full-time salaried and hourly-paid employees who have attained age 18, and completed 90 days of employment. Employees may contribute up to 100% of their base compensation, subject to IRS limitations. The Company will match 50% of each employee's contribution up to the first 6% contributed. For the years ended June 30, 2017, 2016, and 2015, the Company contributed $355 thousand, $331 thousand and $315 thousand,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individual deferred compensation agreements with five former senior officers. The Company recognized deferred compensation expense of $31 thousand, $31 thousand and $30 thousand for the years ended June 30, 2017, 2016 and 2015, respectively. At June 30, 2017, 2016 and 2015, the Company's deferred compensation liability was $540 thousand, $541 thousand and $512 thousand, respectively.</w:t>
      </w:r>
    </w:p>
    <w:p>
      <w:pPr>
        <w:spacing w:after="0" w:line="162"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At the 2012 annual meeting of shareholders, the Company's shareholders approved the Northeast Bancorp Amended and Restated 2010 Stock Option and Incentive Plan (the "Restated Plan"). The Restated Plan amends and restates the Northeast Bancorp 2010 Option and Incentive Plan (the "2010 Plan"). The key material differences between the 2010 Plan and the Restated Plan are:</w:t>
      </w:r>
    </w:p>
    <w:p>
      <w:pPr>
        <w:spacing w:after="0" w:line="181" w:lineRule="exact"/>
        <w:rPr>
          <w:sz w:val="20"/>
          <w:szCs w:val="20"/>
          <w:color w:val="auto"/>
        </w:rPr>
      </w:pPr>
    </w:p>
    <w:p>
      <w:pPr>
        <w:ind w:left="660" w:right="480" w:hanging="328"/>
        <w:spacing w:after="0" w:line="25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maximum number of shares of common stock to be issued under the Restated Plan is increased by 600,000 shares, from 810,054 shares to 1,410,054 shares;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method by which shares subject to previously granted awards are added back to the Restated Plan has been revised so that the only shares added back to the Restated Plan are those subject to awards that are forfeited, canceled or otherwise terminated. The following shares shall not be added back to the Restated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Minimum vesting periods are required for grants of restricted stock, restricted stock units and performance share awards; and</w:t>
      </w:r>
    </w:p>
    <w:p>
      <w:pPr>
        <w:spacing w:after="0" w:line="9"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 of the Restated Plan will now expire on November 28, 2022, while grants of incentive options under the Restated Plan may be made until September 21, 2022.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8" w:name="page89"/>
    <w:bookmarkEnd w:id="8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w w:val="94"/>
              </w:rPr>
              <w:t>A summary of stock option activity for the year ended June 30, 2017 follows:</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Average Exercise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963,603</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890,866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17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506,911</w:t>
            </w:r>
          </w:p>
        </w:tc>
        <w:tc>
          <w:tcPr>
            <w:tcW w:w="100" w:type="dxa"/>
            <w:vAlign w:val="bottom"/>
          </w:tcPr>
          <w:p>
            <w:pPr>
              <w:spacing w:after="0"/>
              <w:rPr>
                <w:sz w:val="17"/>
                <w:szCs w:val="17"/>
                <w:color w:val="auto"/>
              </w:rPr>
            </w:pPr>
          </w:p>
        </w:tc>
        <w:tc>
          <w:tcPr>
            <w:tcW w:w="15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9"/>
              </w:rPr>
              <w:t>Weighted Average</w:t>
            </w:r>
          </w:p>
        </w:tc>
        <w:tc>
          <w:tcPr>
            <w:tcW w:w="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Grant Date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Exercisable, beginning of year</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466,385</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99,930</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end of year</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in the year ended June 30, 2017 or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expected volatility is based on historical volatility. The risk-free interest rate is for periods within the expected life of the awards, and is based on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yield curve in effect at the time of the grant. The expected life is based on expected exercise experience.</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year ended June 30, 2013, certain provisions of outstanding stock options with market-based conditions were modified. The options, consisting of 237,616 shares, were granted to three executives of the Company in December of 2010 and were to vest in three equal tranches upon the Company's common stock reaching applicable hurdle prices over specified time periods. The applicable hurdle price varies depending on the number of years that have elapsed since the date of grant. With respect to the first tranche, the applicable hurdle price was $27.86 for the period from December 29, 2010 through December 29, 2015; $31.34 for the period from December 29, 2015 through December 29, 2016; and $34.83 for the period from December 29, 2016 through December 29, 2017. With respect to the second tranche, the hurdle price was $31.34 for the period from December 29, 2010 through December 29, 2016; and $34.83 for the period from December 29, 2016 through December 29, 2017. With respect to the third tranche, the hurdle price was $34.83 for the period from December 29, 2010 through December 29,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Committee approved amending the hurdle prices as follows: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first tranche, the applicable hurdle price is $16.43 for the period from December 29, 2010 through December 28, 2015; $18.58 for the period from December 29, 2015 through December 28, 2016; and $20.77 for the period from December 29, 2016 through December 28, 2017. With respect to the second tranche, the hurdle price is $18.58 for the period from December 29, 2010 through December 28, 2016; and $20.77 for the period from December 29, 2016 through December 28, 2017. With respect to the third tranche, the hurdle price is $20.77 for the period from December 29, 2010 through December 28, 2017.</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Except as modified by this amendment, all other terms and conditions of each of the outstanding performance-based stock options, including the option exercise price of $13.93 per share, remain in full force and effect.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incremental expense resulting from the modification was calculated as the difference between the stock option’s fair value immediately before and after the modification using the Hull-White option pricing model and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2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24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3.72%</w:t>
            </w:r>
          </w:p>
        </w:tc>
        <w:tc>
          <w:tcPr>
            <w:tcW w:w="66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24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66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2440" w:type="dxa"/>
            <w:vAlign w:val="bottom"/>
          </w:tcPr>
          <w:p>
            <w:pPr>
              <w:jc w:val="right"/>
              <w:spacing w:after="0"/>
              <w:rPr>
                <w:sz w:val="20"/>
                <w:szCs w:val="20"/>
                <w:color w:val="auto"/>
              </w:rPr>
            </w:pPr>
            <w:r>
              <w:rPr>
                <w:rFonts w:ascii="Arial" w:cs="Arial" w:eastAsia="Arial" w:hAnsi="Arial"/>
                <w:sz w:val="18"/>
                <w:szCs w:val="18"/>
                <w:color w:val="auto"/>
              </w:rPr>
              <w:t>28.45%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0"/>
                <w:szCs w:val="20"/>
                <w:color w:val="auto"/>
              </w:rPr>
            </w:pPr>
            <w:r>
              <w:rPr>
                <w:rFonts w:ascii="Arial" w:cs="Arial" w:eastAsia="Arial" w:hAnsi="Arial"/>
                <w:sz w:val="18"/>
                <w:szCs w:val="18"/>
                <w:color w:val="auto"/>
              </w:rPr>
              <w:t>32.84%</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1.54%</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Incremental weighted average fair value per option</w:t>
            </w:r>
          </w:p>
        </w:tc>
        <w:tc>
          <w:tcPr>
            <w:tcW w:w="24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$0.52</w:t>
            </w:r>
          </w:p>
        </w:tc>
        <w:tc>
          <w:tcPr>
            <w:tcW w:w="6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89" w:name="page90"/>
    <w:bookmarkEnd w:id="8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15"/>
          </w:tcPr>
          <w:p>
            <w:pPr>
              <w:jc w:val="center"/>
              <w:ind w:right="500"/>
              <w:spacing w:after="0"/>
              <w:rPr>
                <w:sz w:val="20"/>
                <w:szCs w:val="20"/>
                <w:color w:val="auto"/>
              </w:rPr>
            </w:pPr>
            <w:r>
              <w:rPr>
                <w:rFonts w:ascii="Arial" w:cs="Arial" w:eastAsia="Arial" w:hAnsi="Arial"/>
                <w:sz w:val="18"/>
                <w:szCs w:val="18"/>
                <w:color w:val="auto"/>
                <w:w w:val="91"/>
              </w:rPr>
              <w:t>The following table summarizes information about stock options outstanding at June 30, 2017:</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Options Outstanding</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Options Exercisable</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Weighted</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w w:val="81"/>
              </w:rPr>
              <w:t>(Dollars in thousands,</w:t>
            </w:r>
          </w:p>
        </w:tc>
        <w:tc>
          <w:tcPr>
            <w:tcW w:w="260" w:type="dxa"/>
            <w:vAlign w:val="bottom"/>
          </w:tcPr>
          <w:p>
            <w:pPr>
              <w:spacing w:after="0"/>
              <w:rPr>
                <w:sz w:val="19"/>
                <w:szCs w:val="19"/>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auto"/>
                <w:w w:val="89"/>
              </w:rPr>
              <w:t>except per share data)</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Weighted</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Weighted</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Aggregate</w:t>
            </w:r>
          </w:p>
        </w:tc>
        <w:tc>
          <w:tcPr>
            <w:tcW w:w="180" w:type="dxa"/>
            <w:vAlign w:val="bottom"/>
          </w:tcPr>
          <w:p>
            <w:pPr>
              <w:spacing w:after="0"/>
              <w:rPr>
                <w:sz w:val="18"/>
                <w:szCs w:val="18"/>
                <w:color w:val="auto"/>
              </w:rPr>
            </w:pPr>
          </w:p>
        </w:tc>
        <w:tc>
          <w:tcPr>
            <w:tcW w:w="146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Weighted</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Remaining Life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Intrinsic</w:t>
            </w:r>
          </w:p>
        </w:tc>
        <w:tc>
          <w:tcPr>
            <w:tcW w:w="180" w:type="dxa"/>
            <w:vAlign w:val="bottom"/>
          </w:tcPr>
          <w:p>
            <w:pPr>
              <w:spacing w:after="0"/>
              <w:rPr>
                <w:sz w:val="18"/>
                <w:szCs w:val="18"/>
                <w:color w:val="auto"/>
              </w:rPr>
            </w:pPr>
          </w:p>
        </w:tc>
        <w:tc>
          <w:tcPr>
            <w:tcW w:w="146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Average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Remaining Life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6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Number</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Value</w:t>
            </w:r>
          </w:p>
        </w:tc>
        <w:tc>
          <w:tcPr>
            <w:tcW w:w="1640" w:type="dxa"/>
            <w:vAlign w:val="bottom"/>
            <w:gridSpan w:val="4"/>
          </w:tcPr>
          <w:p>
            <w:pPr>
              <w:jc w:val="center"/>
              <w:ind w:right="460"/>
              <w:spacing w:after="0"/>
              <w:rPr>
                <w:sz w:val="20"/>
                <w:szCs w:val="20"/>
                <w:color w:val="auto"/>
              </w:rPr>
            </w:pPr>
            <w:r>
              <w:rPr>
                <w:rFonts w:ascii="Arial" w:cs="Arial" w:eastAsia="Arial" w:hAnsi="Arial"/>
                <w:sz w:val="18"/>
                <w:szCs w:val="18"/>
                <w:color w:val="auto"/>
                <w:w w:val="88"/>
              </w:rPr>
              <w:t>Exercise Price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Number</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9.30</w:t>
            </w:r>
          </w:p>
        </w:tc>
        <w:tc>
          <w:tcPr>
            <w:tcW w:w="2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2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9.30</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9.38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195,999</w:t>
            </w:r>
          </w:p>
        </w:tc>
        <w:tc>
          <w:tcPr>
            <w:tcW w:w="26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2,150</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130,666</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5.59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9.38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33,059</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33,059</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12.63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26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4.58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12,500</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4.58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480,631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243,015</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14.52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162,010</w:t>
            </w:r>
          </w:p>
        </w:tc>
        <w:tc>
          <w:tcPr>
            <w:tcW w:w="26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14.52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81,004</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12.81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890,866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12.46</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3.74</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A summary of restricted stock activity for the year ended June 30, 2017 follows: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4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 Average Grant</w:t>
            </w:r>
          </w:p>
        </w:tc>
      </w:tr>
      <w:tr>
        <w:trPr>
          <w:trHeight w:val="230"/>
        </w:trPr>
        <w:tc>
          <w:tcPr>
            <w:tcW w:w="4980" w:type="dxa"/>
            <w:vAlign w:val="bottom"/>
          </w:tcPr>
          <w:p>
            <w:pPr>
              <w:spacing w:after="0"/>
              <w:rPr>
                <w:sz w:val="20"/>
                <w:szCs w:val="20"/>
                <w:color w:val="auto"/>
              </w:rPr>
            </w:pPr>
          </w:p>
        </w:tc>
        <w:tc>
          <w:tcPr>
            <w:tcW w:w="1500" w:type="dxa"/>
            <w:vAlign w:val="bottom"/>
          </w:tcPr>
          <w:p>
            <w:pPr>
              <w:ind w:left="880"/>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Date Fair Value</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5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251,859</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170,000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0"/>
              <w:spacing w:after="0"/>
              <w:rPr>
                <w:sz w:val="20"/>
                <w:szCs w:val="20"/>
                <w:color w:val="auto"/>
              </w:rPr>
            </w:pPr>
            <w:r>
              <w:rPr>
                <w:rFonts w:ascii="Arial" w:cs="Arial" w:eastAsia="Arial" w:hAnsi="Arial"/>
                <w:sz w:val="18"/>
                <w:szCs w:val="18"/>
                <w:color w:val="auto"/>
              </w:rPr>
              <w:t>11.71</w:t>
            </w:r>
          </w:p>
        </w:tc>
      </w:tr>
      <w:tr>
        <w:trPr>
          <w:trHeight w:val="216"/>
        </w:trPr>
        <w:tc>
          <w:tcPr>
            <w:tcW w:w="6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(9,473)</w:t>
            </w: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r>
      <w:tr>
        <w:trPr>
          <w:trHeight w:val="216"/>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(16,956)</w:t>
            </w:r>
          </w:p>
        </w:tc>
        <w:tc>
          <w:tcPr>
            <w:tcW w:w="140" w:type="dxa"/>
            <w:vAlign w:val="bottom"/>
          </w:tcPr>
          <w:p>
            <w:pPr>
              <w:spacing w:after="0"/>
              <w:rPr>
                <w:sz w:val="18"/>
                <w:szCs w:val="18"/>
                <w:color w:val="auto"/>
              </w:rPr>
            </w:pPr>
          </w:p>
        </w:tc>
        <w:tc>
          <w:tcPr>
            <w:tcW w:w="2160" w:type="dxa"/>
            <w:vAlign w:val="bottom"/>
            <w:gridSpan w:val="2"/>
          </w:tcPr>
          <w:p>
            <w:pPr>
              <w:jc w:val="right"/>
              <w:ind w:right="80"/>
              <w:spacing w:after="0"/>
              <w:rPr>
                <w:sz w:val="20"/>
                <w:szCs w:val="20"/>
                <w:color w:val="auto"/>
              </w:rPr>
            </w:pPr>
            <w:r>
              <w:rPr>
                <w:rFonts w:ascii="Arial" w:cs="Arial" w:eastAsia="Arial" w:hAnsi="Arial"/>
                <w:sz w:val="18"/>
                <w:szCs w:val="18"/>
                <w:color w:val="auto"/>
              </w:rPr>
              <w:t>10.33</w:t>
            </w:r>
          </w:p>
        </w:tc>
      </w:tr>
      <w:tr>
        <w:trPr>
          <w:trHeight w:val="25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5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395,430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schedule for the shares granted in the year ended June 30, 2017 follows:</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15,000 restricted shares vest in full on August 25, 2019;</w:t>
      </w:r>
    </w:p>
    <w:p>
      <w:pPr>
        <w:spacing w:after="0" w:line="23" w:lineRule="exact"/>
        <w:rPr>
          <w:rFonts w:ascii="Arial" w:cs="Arial" w:eastAsia="Arial" w:hAnsi="Arial"/>
          <w:sz w:val="18"/>
          <w:szCs w:val="18"/>
          <w:color w:val="auto"/>
        </w:rPr>
      </w:pPr>
    </w:p>
    <w:p>
      <w:pPr>
        <w:ind w:left="660" w:right="100" w:hanging="328"/>
        <w:spacing w:after="0" w:line="265"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50,000 restricted shares are subject to performance-based vesting over a three-year period (the “performance shares”). The performance shares include an absolute metric and a sliding metric within the performance period. The absolute metric requires that the Company be in compliance with the regulatory commitments made to the Federal Reserve Bank and Maine Bureau of Financial Institutions. The sliding metric is based on reaching certain thresholds in regards to the Company’s return on equity (“ROE”). The performance shares shall vest in certain defined increments for such periods if the ROE is at least 70% of such targeted returns. This performance will be measured on both a year-by-year basis for three years, and an average basis over the three year performance period;</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95,000 restricted shares vest in three equal installments, commencing on August 25, 2019;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10,000 restricted shares vest in three equal installments, commencing on May 26, 2020.</w:t>
      </w:r>
    </w:p>
    <w:p>
      <w:pPr>
        <w:spacing w:after="0" w:line="21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At June 30, 2017 and 2016, the Company has accrued a liability of $48 thousand representing the maximum cash payment for performance-based stock appreciation rights (“SARs”) granted in the fiscal year ended June 30, 2011. The SARs expire in December of 2020.</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Stock-based compensation totaled $945 thousand for the year ended June 30, 2017, $613 thousand for the year ended June 30, 2016, and $705 thousand for the year ended June 30, 2015. The tax benefit related to stock-based compensation expensed totaled $366 thousand for the year ended June 30, 2017, $215 thousand for the year ended June 30, 2016 and $253 thousand for the year ended June 30, 2015. The estimated amount and timing of future pre-tax stock-based compensation expense to be recognized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color w:val="auto"/>
              </w:rPr>
              <w:t>Year Ended June 30,</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gridSpan w:val="2"/>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Restricted stock</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2,783</w:t>
            </w:r>
          </w:p>
        </w:tc>
        <w:tc>
          <w:tcPr>
            <w:tcW w:w="1180" w:type="dxa"/>
            <w:vAlign w:val="bottom"/>
          </w:tcPr>
          <w:p>
            <w:pPr>
              <w:spacing w:after="0"/>
              <w:rPr>
                <w:sz w:val="18"/>
                <w:szCs w:val="18"/>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Contingent Liabilities and Other Off-Balance Sheet Risks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90"/>
              <w:spacing w:after="0"/>
              <w:rPr>
                <w:sz w:val="20"/>
                <w:szCs w:val="20"/>
                <w:color w:val="auto"/>
              </w:rPr>
            </w:pPr>
            <w:r>
              <w:rPr>
                <w:rFonts w:ascii="Arial" w:cs="Arial" w:eastAsia="Arial" w:hAnsi="Arial"/>
                <w:sz w:val="18"/>
                <w:szCs w:val="18"/>
                <w:color w:val="auto"/>
                <w:w w:val="86"/>
              </w:rPr>
              <w:t>June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2740" w:type="dxa"/>
            <w:vAlign w:val="bottom"/>
            <w:gridSpan w:val="5"/>
          </w:tcPr>
          <w:p>
            <w:pPr>
              <w:jc w:val="center"/>
              <w:ind w:left="455"/>
              <w:spacing w:after="0"/>
              <w:rPr>
                <w:sz w:val="20"/>
                <w:szCs w:val="20"/>
                <w:color w:val="auto"/>
              </w:rPr>
            </w:pPr>
            <w:r>
              <w:rPr>
                <w:rFonts w:ascii="Arial" w:cs="Arial" w:eastAsia="Arial" w:hAnsi="Arial"/>
                <w:sz w:val="18"/>
                <w:szCs w:val="18"/>
                <w:color w:val="auto"/>
                <w:w w:val="91"/>
              </w:rPr>
              <w:t>(Dollars in thousands)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1020" w:type="dxa"/>
            <w:vAlign w:val="bottom"/>
            <w:shd w:val="clear" w:color="auto" w:fill="CCEEFF"/>
          </w:tcPr>
          <w:p>
            <w:pPr>
              <w:jc w:val="right"/>
              <w:ind w:right="85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15,244</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44,684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Unused lines of credit</w:t>
            </w: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31,858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58,412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3,822</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Commitment to fund investment</w:t>
            </w:r>
          </w:p>
        </w:tc>
        <w:tc>
          <w:tcPr>
            <w:tcW w:w="10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r>
    </w:tbl>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counterparty. Collateral held varies but may include accounts receivable, inventory, property, plant and equipment, and income-producing commercial properties. The Company has recorded an allowance for possible losses on commitments and unfunded loans totaling $39 thousand and $81 thousand recorded in other liabilities at June 30, 2017 and 2016, respectively.</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Those guarantees are issued to support private borrowing arrangements. The credit risk involved in issuing letters of credit is essentially the same as that involved in extending loan facilities to customers. As of June 30, 2017 and 2016, the maximum potential amount of the Company's obligation was $3.4 million and $3.8 million, respectively, for financial and standby letters of credit. The Company's outstanding letters of credit generally have a term of less than one year. If a letter of credit is drawn upon, the Company may seek recourse through the customer's underlying line of credit. If the customer's line of credit is also in default, the Company may take possession of the collateral, if any, securing the line of credit.</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year ended June 30, 2016, the Company committed $2.5 million to a fund that acquires CRA qualified investments in loans for the Company’s portfolio. The fund manager calls the funds from the Company when an investment is successfully acquired. During the year ended June 30, 2017, the fund called $1.5 million from the Company. The Company has a remaining commitment of $1.0 million as of June 30, 2017 to a fund that invests in the federally guaranteed portion of SBA 7(a)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Obligations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leases certain properties used in operations under terms of various non-cancelable operating leases, most of which include renewal options. The leases contain renewal options and escalation clauses which provide for increased rental expense as these leases expire. Rental expense under leases totaled $1.2 million for the years ended June 30, 2017, 2016, and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minimum lease payments over the remaining terms of the Company's leases at June 30, 2017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Minimum lease</w:t>
            </w:r>
          </w:p>
        </w:tc>
      </w:tr>
      <w:tr>
        <w:trPr>
          <w:trHeight w:val="230"/>
        </w:trPr>
        <w:tc>
          <w:tcPr>
            <w:tcW w:w="4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payments</w:t>
            </w:r>
          </w:p>
        </w:tc>
      </w:tr>
      <w:tr>
        <w:trPr>
          <w:trHeight w:val="195"/>
        </w:trPr>
        <w:tc>
          <w:tcPr>
            <w:tcW w:w="4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3"/>
              </w:rPr>
              <w:t>(Dollars in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4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thousands)</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1,263</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2019</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2021</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1,231</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1,255</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Thereafter</w:t>
            </w:r>
          </w:p>
        </w:tc>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2,041</w:t>
            </w:r>
          </w:p>
        </w:tc>
        <w:tc>
          <w:tcPr>
            <w:tcW w:w="60" w:type="dxa"/>
            <w:vAlign w:val="bottom"/>
          </w:tcPr>
          <w:p>
            <w:pPr>
              <w:spacing w:after="0"/>
              <w:rPr>
                <w:sz w:val="18"/>
                <w:szCs w:val="18"/>
                <w:color w:val="auto"/>
              </w:rPr>
            </w:pPr>
          </w:p>
        </w:tc>
      </w:tr>
      <w:tr>
        <w:trPr>
          <w:trHeight w:val="25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3"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(loss)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color w:val="auto"/>
              </w:rPr>
              <w:t>Year Ended June 30,</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rPr>
              <w:t>Pre-tax</w:t>
            </w:r>
          </w:p>
        </w:tc>
        <w:tc>
          <w:tcPr>
            <w:tcW w:w="122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9"/>
              </w:rPr>
              <w:t>After-tax</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rPr>
              <w:t>Pre-tax</w:t>
            </w:r>
          </w:p>
        </w:tc>
        <w:tc>
          <w:tcPr>
            <w:tcW w:w="80" w:type="dxa"/>
            <w:vAlign w:val="bottom"/>
          </w:tcPr>
          <w:p>
            <w:pPr>
              <w:spacing w:after="0"/>
              <w:rPr>
                <w:sz w:val="16"/>
                <w:szCs w:val="16"/>
                <w:color w:val="auto"/>
              </w:rPr>
            </w:pPr>
          </w:p>
        </w:tc>
        <w:tc>
          <w:tcPr>
            <w:tcW w:w="130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140" w:type="dxa"/>
            <w:vAlign w:val="bottom"/>
          </w:tcPr>
          <w:p>
            <w:pPr>
              <w:spacing w:after="0"/>
              <w:rPr>
                <w:sz w:val="16"/>
                <w:szCs w:val="16"/>
                <w:color w:val="auto"/>
              </w:rPr>
            </w:pPr>
          </w:p>
        </w:tc>
        <w:tc>
          <w:tcPr>
            <w:tcW w:w="9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(Benefit)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net unrealized (loss) gain 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w w:val="99"/>
              </w:rPr>
              <w:t>Change in accumulated gain (loss) 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effective cash flow hedges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Reclassification adjustment included in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7"/>
              </w:rPr>
              <w:t>Total derivatives and hedging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Total other comprehensive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7"/>
              </w:rPr>
              <w:t>Year Ended June 30,</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2015</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60" w:type="dxa"/>
            <w:vAlign w:val="bottom"/>
          </w:tcPr>
          <w:p>
            <w:pPr>
              <w:jc w:val="right"/>
              <w:ind w:right="37"/>
              <w:spacing w:after="0" w:line="195" w:lineRule="exact"/>
              <w:rPr>
                <w:sz w:val="20"/>
                <w:szCs w:val="20"/>
                <w:color w:val="auto"/>
              </w:rPr>
            </w:pPr>
            <w:r>
              <w:rPr>
                <w:rFonts w:ascii="Arial" w:cs="Arial" w:eastAsia="Arial" w:hAnsi="Arial"/>
                <w:sz w:val="18"/>
                <w:szCs w:val="18"/>
                <w:color w:val="auto"/>
              </w:rPr>
              <w:t>Pre-tax</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7"/>
              </w:rPr>
              <w:t>Tax Expense</w:t>
            </w:r>
          </w:p>
        </w:tc>
        <w:tc>
          <w:tcPr>
            <w:tcW w:w="280" w:type="dxa"/>
            <w:vAlign w:val="bottom"/>
          </w:tcPr>
          <w:p>
            <w:pPr>
              <w:spacing w:after="0"/>
              <w:rPr>
                <w:sz w:val="16"/>
                <w:szCs w:val="16"/>
                <w:color w:val="auto"/>
              </w:rPr>
            </w:pPr>
          </w:p>
        </w:tc>
        <w:tc>
          <w:tcPr>
            <w:tcW w:w="128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After-tax</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4"/>
              </w:rPr>
              <w:t>(Benefit)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(Dollars in thousands)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net unrealized gain on available-for-sale</w:t>
            </w: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160" w:type="dxa"/>
            <w:vAlign w:val="bottom"/>
            <w:shd w:val="clear" w:color="auto" w:fill="CCEEFF"/>
          </w:tcPr>
          <w:p>
            <w:pPr>
              <w:jc w:val="right"/>
              <w:ind w:right="99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9"/>
              </w:rPr>
              <w:t>Change in accumulated loss on effective cash flow</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hedges</w:t>
            </w:r>
          </w:p>
        </w:tc>
        <w:tc>
          <w:tcPr>
            <w:tcW w:w="11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9"/>
              </w:rPr>
              <w:t>Reclassification adjustment included in net income</w:t>
            </w:r>
          </w:p>
        </w:tc>
        <w:tc>
          <w:tcPr>
            <w:tcW w:w="1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derivatives and hedging activities</w:t>
            </w:r>
          </w:p>
        </w:tc>
        <w:tc>
          <w:tcPr>
            <w:tcW w:w="1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1160" w:type="dxa"/>
            <w:vAlign w:val="bottom"/>
            <w:shd w:val="clear" w:color="auto" w:fill="CCEEFF"/>
          </w:tcPr>
          <w:p>
            <w:pPr>
              <w:jc w:val="right"/>
              <w:ind w:right="99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comprised of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June 30, 2016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June 30, 2015</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available-for-sale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Net-of-tax amount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w:t>
            </w: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Net-of-tax amount</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20"/>
          </w:cols>
          <w:pgMar w:left="240" w:top="118" w:right="439" w:bottom="271" w:gutter="0" w:footer="0" w:header="0"/>
        </w:sect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118" w:right="439" w:bottom="271" w:gutter="0" w:footer="0" w:header="0"/>
          <w:type w:val="continuous"/>
        </w:sectPr>
      </w:pPr>
    </w:p>
    <w:bookmarkStart w:id="92" w:name="page93"/>
    <w:bookmarkEnd w:id="9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June 30, 2017 and 2016, the Company had posted cash collateral totaling $1.7 million and $3.1 million, respectively,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Information pertaining to outstanding interest rate caps and swap agreements used to hedge junior subordinated debt and FHLBB advances is as follows: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June 30, 2017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Notional</w:t>
            </w:r>
          </w:p>
        </w:tc>
        <w:tc>
          <w:tcPr>
            <w:tcW w:w="10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4"/>
              </w:rPr>
              <w:t>Inception</w:t>
            </w:r>
          </w:p>
        </w:tc>
        <w:tc>
          <w:tcPr>
            <w:tcW w:w="10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4"/>
              </w:rPr>
              <w:t>Termination</w:t>
            </w:r>
          </w:p>
        </w:tc>
        <w:tc>
          <w:tcPr>
            <w:tcW w:w="10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color w:val="auto"/>
              </w:rPr>
              <w:t>Index</w:t>
            </w:r>
          </w:p>
        </w:tc>
        <w:tc>
          <w:tcPr>
            <w:tcW w:w="1260" w:type="dxa"/>
            <w:vAlign w:val="bottom"/>
            <w:tcBorders>
              <w:top w:val="single" w:sz="8" w:color="auto"/>
            </w:tcBorders>
            <w:gridSpan w:val="2"/>
          </w:tcPr>
          <w:p>
            <w:pPr>
              <w:jc w:val="center"/>
              <w:ind w:right="168"/>
              <w:spacing w:after="0"/>
              <w:rPr>
                <w:sz w:val="20"/>
                <w:szCs w:val="20"/>
                <w:color w:val="auto"/>
              </w:rPr>
            </w:pPr>
            <w:r>
              <w:rPr>
                <w:rFonts w:ascii="Arial" w:cs="Arial" w:eastAsia="Arial" w:hAnsi="Arial"/>
                <w:sz w:val="14"/>
                <w:szCs w:val="14"/>
                <w:color w:val="auto"/>
                <w:w w:val="90"/>
              </w:rPr>
              <w:t>Receive</w:t>
            </w:r>
          </w:p>
        </w:tc>
        <w:tc>
          <w:tcPr>
            <w:tcW w:w="12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0"/>
              </w:rPr>
              <w:t>Pay</w:t>
            </w:r>
          </w:p>
        </w:tc>
        <w:tc>
          <w:tcPr>
            <w:tcW w:w="12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4"/>
              </w:rPr>
              <w:t>Strike</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2"/>
              </w:rPr>
              <w:t>Unrealized</w:t>
            </w: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color w:val="auto"/>
              </w:rPr>
              <w:t>Fair Value</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color w:val="auto"/>
              </w:rPr>
              <w:t>Amount</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7"/>
              </w:rPr>
              <w:t>Date</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7"/>
              </w:rPr>
              <w:t>Date</w:t>
            </w:r>
          </w:p>
        </w:tc>
        <w:tc>
          <w:tcPr>
            <w:tcW w:w="1040" w:type="dxa"/>
            <w:vAlign w:val="bottom"/>
            <w:gridSpan w:val="2"/>
            <w:vMerge w:val="continue"/>
          </w:tcPr>
          <w:p>
            <w:pPr>
              <w:spacing w:after="0"/>
              <w:rPr>
                <w:sz w:val="7"/>
                <w:szCs w:val="7"/>
                <w:color w:val="auto"/>
              </w:rPr>
            </w:pPr>
          </w:p>
        </w:tc>
        <w:tc>
          <w:tcPr>
            <w:tcW w:w="1260" w:type="dxa"/>
            <w:vAlign w:val="bottom"/>
            <w:gridSpan w:val="2"/>
            <w:vMerge w:val="restart"/>
          </w:tcPr>
          <w:p>
            <w:pPr>
              <w:jc w:val="center"/>
              <w:ind w:right="168"/>
              <w:spacing w:after="0"/>
              <w:rPr>
                <w:sz w:val="20"/>
                <w:szCs w:val="20"/>
                <w:color w:val="auto"/>
              </w:rPr>
            </w:pPr>
            <w:r>
              <w:rPr>
                <w:rFonts w:ascii="Arial" w:cs="Arial" w:eastAsia="Arial" w:hAnsi="Arial"/>
                <w:sz w:val="14"/>
                <w:szCs w:val="14"/>
                <w:color w:val="auto"/>
                <w:w w:val="87"/>
              </w:rPr>
              <w:t>Rate</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7"/>
              </w:rPr>
              <w:t>Rate</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7"/>
              </w:rPr>
              <w:t>Rate</w:t>
            </w:r>
          </w:p>
        </w:tc>
        <w:tc>
          <w:tcPr>
            <w:tcW w:w="140" w:type="dxa"/>
            <w:vAlign w:val="bottom"/>
          </w:tcPr>
          <w:p>
            <w:pPr>
              <w:spacing w:after="0"/>
              <w:rPr>
                <w:sz w:val="7"/>
                <w:szCs w:val="7"/>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87"/>
              </w:rPr>
              <w:t>Loss</w:t>
            </w: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4"/>
              </w:rPr>
              <w:t>Location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(Dollars</w:t>
            </w:r>
          </w:p>
        </w:tc>
        <w:tc>
          <w:tcPr>
            <w:tcW w:w="220" w:type="dxa"/>
            <w:vAlign w:val="bottom"/>
          </w:tcPr>
          <w:p>
            <w:pPr>
              <w:jc w:val="right"/>
              <w:spacing w:after="0"/>
              <w:rPr>
                <w:sz w:val="20"/>
                <w:szCs w:val="20"/>
                <w:color w:val="auto"/>
              </w:rPr>
            </w:pPr>
            <w:r>
              <w:rPr>
                <w:rFonts w:ascii="Arial" w:cs="Arial" w:eastAsia="Arial" w:hAnsi="Arial"/>
                <w:sz w:val="14"/>
                <w:szCs w:val="14"/>
                <w:color w:val="auto"/>
              </w:rPr>
              <w:t>in</w:t>
            </w:r>
          </w:p>
        </w:tc>
        <w:tc>
          <w:tcPr>
            <w:tcW w:w="10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95"/>
              </w:rPr>
              <w:t>thousands)</w:t>
            </w: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4"/>
                <w:szCs w:val="14"/>
                <w:i w:val="1"/>
                <w:iCs w:val="1"/>
                <w:color w:val="auto"/>
              </w:rPr>
              <w:t>Interest rate swaps:</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July 2013</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July 2033</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color w:val="auto"/>
              </w:rPr>
              <w:t>3 Mo. LIBOR</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88"/>
        </w:trPr>
        <w:tc>
          <w:tcPr>
            <w:tcW w:w="2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1.30%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3.38%</w:t>
            </w:r>
          </w:p>
        </w:tc>
        <w:tc>
          <w:tcPr>
            <w:tcW w:w="1240" w:type="dxa"/>
            <w:vAlign w:val="bottom"/>
            <w:gridSpan w:val="2"/>
            <w:vMerge w:val="restart"/>
          </w:tcPr>
          <w:p>
            <w:pPr>
              <w:ind w:left="840"/>
              <w:spacing w:after="0"/>
              <w:rPr>
                <w:sz w:val="20"/>
                <w:szCs w:val="20"/>
                <w:color w:val="auto"/>
              </w:rPr>
            </w:pPr>
            <w:r>
              <w:rPr>
                <w:rFonts w:ascii="Arial" w:cs="Arial" w:eastAsia="Arial" w:hAnsi="Arial"/>
                <w:sz w:val="14"/>
                <w:szCs w:val="14"/>
                <w:color w:val="auto"/>
              </w:rPr>
              <w:t>n/a</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(666)</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(666)</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93"/>
        </w:trPr>
        <w:tc>
          <w:tcPr>
            <w:tcW w:w="2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July 2013</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July 2028</w:t>
            </w:r>
          </w:p>
        </w:tc>
        <w:tc>
          <w:tcPr>
            <w:tcW w:w="10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3 Mo. LIBOR</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2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3.23%</w:t>
            </w:r>
          </w:p>
        </w:tc>
        <w:tc>
          <w:tcPr>
            <w:tcW w:w="124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7"/>
                <w:szCs w:val="7"/>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(471)</w:t>
            </w:r>
          </w:p>
        </w:tc>
        <w:tc>
          <w:tcPr>
            <w:tcW w:w="14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(471)</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July 2013</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July 2023</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color w:val="auto"/>
              </w:rPr>
              <w:t>3 Mo. LIBOR</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1.30%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2.77%</w:t>
            </w:r>
          </w:p>
        </w:tc>
        <w:tc>
          <w:tcPr>
            <w:tcW w:w="1240" w:type="dxa"/>
            <w:vAlign w:val="bottom"/>
            <w:gridSpan w:val="2"/>
            <w:vMerge w:val="restart"/>
          </w:tcPr>
          <w:p>
            <w:pPr>
              <w:ind w:left="84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7"/>
                <w:szCs w:val="7"/>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(218)</w:t>
            </w:r>
          </w:p>
        </w:tc>
        <w:tc>
          <w:tcPr>
            <w:tcW w:w="140" w:type="dxa"/>
            <w:vAlign w:val="bottom"/>
          </w:tcPr>
          <w:p>
            <w:pPr>
              <w:spacing w:after="0"/>
              <w:rPr>
                <w:sz w:val="7"/>
                <w:szCs w:val="7"/>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(218)</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4"/>
                <w:szCs w:val="14"/>
                <w:i w:val="1"/>
                <w:iCs w:val="1"/>
                <w:color w:val="auto"/>
              </w:rPr>
              <w:t>Interest rate caps:</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October 2014</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color w:val="auto"/>
              </w:rPr>
              <w:t>3 Mo. LIBOR</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1"/>
              </w:rPr>
              <w:t>Other Assets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6,000</w:t>
            </w: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2019</w:t>
            </w:r>
          </w:p>
        </w:tc>
        <w:tc>
          <w:tcPr>
            <w:tcW w:w="1040" w:type="dxa"/>
            <w:vAlign w:val="bottom"/>
            <w:gridSpan w:val="2"/>
            <w:vMerge w:val="continue"/>
          </w:tcPr>
          <w:p>
            <w:pPr>
              <w:spacing w:after="0"/>
              <w:rPr>
                <w:sz w:val="7"/>
                <w:szCs w:val="7"/>
                <w:color w:val="auto"/>
              </w:rPr>
            </w:pPr>
          </w:p>
        </w:tc>
        <w:tc>
          <w:tcPr>
            <w:tcW w:w="126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n/a</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n/a</w:t>
            </w:r>
          </w:p>
        </w:tc>
        <w:tc>
          <w:tcPr>
            <w:tcW w:w="1240" w:type="dxa"/>
            <w:vAlign w:val="bottom"/>
            <w:gridSpan w:val="2"/>
            <w:vMerge w:val="restart"/>
          </w:tcPr>
          <w:p>
            <w:pPr>
              <w:ind w:left="760"/>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7"/>
                <w:szCs w:val="7"/>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March 2015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February 2020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 Mo. LIBOR</w:t>
            </w:r>
          </w:p>
        </w:tc>
        <w:tc>
          <w:tcPr>
            <w:tcW w:w="12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n/a</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n/a</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(186)</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31,000</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(1,683)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(1,337)</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4"/>
            <w:vMerge w:val="restart"/>
          </w:tcPr>
          <w:p>
            <w:pPr>
              <w:jc w:val="right"/>
              <w:ind w:right="800"/>
              <w:spacing w:after="0"/>
              <w:rPr>
                <w:sz w:val="20"/>
                <w:szCs w:val="20"/>
                <w:color w:val="auto"/>
              </w:rPr>
            </w:pPr>
            <w:r>
              <w:rPr>
                <w:rFonts w:ascii="Arial" w:cs="Arial" w:eastAsia="Arial" w:hAnsi="Arial"/>
                <w:sz w:val="14"/>
                <w:szCs w:val="14"/>
                <w:color w:val="auto"/>
              </w:rPr>
              <w:t>June 30, 2016</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color w:val="auto"/>
              </w:rPr>
              <w:t>Notional</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Inception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Termination</w:t>
            </w:r>
          </w:p>
        </w:tc>
        <w:tc>
          <w:tcPr>
            <w:tcW w:w="1040" w:type="dxa"/>
            <w:vAlign w:val="bottom"/>
            <w:gridSpan w:val="2"/>
            <w:vMerge w:val="restart"/>
          </w:tcPr>
          <w:p>
            <w:pPr>
              <w:ind w:left="280"/>
              <w:spacing w:after="0"/>
              <w:rPr>
                <w:sz w:val="20"/>
                <w:szCs w:val="20"/>
                <w:color w:val="auto"/>
              </w:rPr>
            </w:pPr>
            <w:r>
              <w:rPr>
                <w:rFonts w:ascii="Arial" w:cs="Arial" w:eastAsia="Arial" w:hAnsi="Arial"/>
                <w:sz w:val="14"/>
                <w:szCs w:val="14"/>
                <w:color w:val="auto"/>
              </w:rPr>
              <w:t>Index</w:t>
            </w:r>
          </w:p>
        </w:tc>
        <w:tc>
          <w:tcPr>
            <w:tcW w:w="1260" w:type="dxa"/>
            <w:vAlign w:val="bottom"/>
            <w:gridSpan w:val="2"/>
          </w:tcPr>
          <w:p>
            <w:pPr>
              <w:jc w:val="center"/>
              <w:ind w:right="168"/>
              <w:spacing w:after="0"/>
              <w:rPr>
                <w:sz w:val="20"/>
                <w:szCs w:val="20"/>
                <w:color w:val="auto"/>
              </w:rPr>
            </w:pPr>
            <w:r>
              <w:rPr>
                <w:rFonts w:ascii="Arial" w:cs="Arial" w:eastAsia="Arial" w:hAnsi="Arial"/>
                <w:sz w:val="14"/>
                <w:szCs w:val="14"/>
                <w:color w:val="auto"/>
                <w:w w:val="90"/>
              </w:rPr>
              <w:t>Receive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Pay</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Strike</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Unrealized</w:t>
            </w:r>
          </w:p>
        </w:tc>
        <w:tc>
          <w:tcPr>
            <w:tcW w:w="14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Fair Value</w:t>
            </w: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Balance Sheet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color w:val="auto"/>
              </w:rPr>
              <w:t>Amount</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7"/>
              </w:rPr>
              <w:t>Date</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7"/>
              </w:rPr>
              <w:t>Date</w:t>
            </w:r>
          </w:p>
        </w:tc>
        <w:tc>
          <w:tcPr>
            <w:tcW w:w="1040" w:type="dxa"/>
            <w:vAlign w:val="bottom"/>
            <w:gridSpan w:val="2"/>
            <w:vMerge w:val="continue"/>
          </w:tcPr>
          <w:p>
            <w:pPr>
              <w:spacing w:after="0"/>
              <w:rPr>
                <w:sz w:val="7"/>
                <w:szCs w:val="7"/>
                <w:color w:val="auto"/>
              </w:rPr>
            </w:pPr>
          </w:p>
        </w:tc>
        <w:tc>
          <w:tcPr>
            <w:tcW w:w="1260" w:type="dxa"/>
            <w:vAlign w:val="bottom"/>
            <w:gridSpan w:val="2"/>
            <w:vMerge w:val="restart"/>
          </w:tcPr>
          <w:p>
            <w:pPr>
              <w:jc w:val="center"/>
              <w:ind w:right="168"/>
              <w:spacing w:after="0"/>
              <w:rPr>
                <w:sz w:val="20"/>
                <w:szCs w:val="20"/>
                <w:color w:val="auto"/>
              </w:rPr>
            </w:pPr>
            <w:r>
              <w:rPr>
                <w:rFonts w:ascii="Arial" w:cs="Arial" w:eastAsia="Arial" w:hAnsi="Arial"/>
                <w:sz w:val="14"/>
                <w:szCs w:val="14"/>
                <w:color w:val="auto"/>
                <w:w w:val="87"/>
              </w:rPr>
              <w:t>Rate</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7"/>
              </w:rPr>
              <w:t>Rate</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7"/>
              </w:rPr>
              <w:t>Rate</w:t>
            </w:r>
          </w:p>
        </w:tc>
        <w:tc>
          <w:tcPr>
            <w:tcW w:w="140" w:type="dxa"/>
            <w:vAlign w:val="bottom"/>
          </w:tcPr>
          <w:p>
            <w:pPr>
              <w:spacing w:after="0"/>
              <w:rPr>
                <w:sz w:val="7"/>
                <w:szCs w:val="7"/>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87"/>
              </w:rPr>
              <w:t>Loss</w:t>
            </w: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4"/>
              </w:rPr>
              <w:t>Location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(Dollars</w:t>
            </w:r>
          </w:p>
        </w:tc>
        <w:tc>
          <w:tcPr>
            <w:tcW w:w="220" w:type="dxa"/>
            <w:vAlign w:val="bottom"/>
          </w:tcPr>
          <w:p>
            <w:pPr>
              <w:jc w:val="right"/>
              <w:spacing w:after="0"/>
              <w:rPr>
                <w:sz w:val="20"/>
                <w:szCs w:val="20"/>
                <w:color w:val="auto"/>
              </w:rPr>
            </w:pPr>
            <w:r>
              <w:rPr>
                <w:rFonts w:ascii="Arial" w:cs="Arial" w:eastAsia="Arial" w:hAnsi="Arial"/>
                <w:sz w:val="14"/>
                <w:szCs w:val="14"/>
                <w:color w:val="auto"/>
              </w:rPr>
              <w:t>in</w:t>
            </w:r>
          </w:p>
        </w:tc>
        <w:tc>
          <w:tcPr>
            <w:tcW w:w="10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95"/>
              </w:rPr>
              <w:t>thousands)</w:t>
            </w: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4"/>
                <w:szCs w:val="14"/>
                <w:i w:val="1"/>
                <w:iCs w:val="1"/>
                <w:color w:val="auto"/>
              </w:rPr>
              <w:t>Interest rate swaps:</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July 2013</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July 2033</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color w:val="auto"/>
              </w:rPr>
              <w:t>3 Mo. LIBOR</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88"/>
        </w:trPr>
        <w:tc>
          <w:tcPr>
            <w:tcW w:w="2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0.65%</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3.38%</w:t>
            </w:r>
          </w:p>
        </w:tc>
        <w:tc>
          <w:tcPr>
            <w:tcW w:w="1240" w:type="dxa"/>
            <w:vAlign w:val="bottom"/>
            <w:gridSpan w:val="2"/>
            <w:vMerge w:val="restart"/>
          </w:tcPr>
          <w:p>
            <w:pPr>
              <w:ind w:left="840"/>
              <w:spacing w:after="0"/>
              <w:rPr>
                <w:sz w:val="20"/>
                <w:szCs w:val="20"/>
                <w:color w:val="auto"/>
              </w:rPr>
            </w:pPr>
            <w:r>
              <w:rPr>
                <w:rFonts w:ascii="Arial" w:cs="Arial" w:eastAsia="Arial" w:hAnsi="Arial"/>
                <w:sz w:val="14"/>
                <w:szCs w:val="14"/>
                <w:color w:val="auto"/>
              </w:rPr>
              <w:t>n/a</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(1,352)</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(1,352)</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93"/>
        </w:trPr>
        <w:tc>
          <w:tcPr>
            <w:tcW w:w="2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July 2013</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July 2028</w:t>
            </w:r>
          </w:p>
        </w:tc>
        <w:tc>
          <w:tcPr>
            <w:tcW w:w="10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3 Mo. LIBOR</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2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0.65%</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3.23%</w:t>
            </w:r>
          </w:p>
        </w:tc>
        <w:tc>
          <w:tcPr>
            <w:tcW w:w="124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7"/>
                <w:szCs w:val="7"/>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(1,005)</w:t>
            </w:r>
          </w:p>
        </w:tc>
        <w:tc>
          <w:tcPr>
            <w:tcW w:w="14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(1,005)</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July 2013</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July 2023</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color w:val="auto"/>
              </w:rPr>
              <w:t>3 Mo. LIBOR</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0.65%</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2.77%</w:t>
            </w:r>
          </w:p>
        </w:tc>
        <w:tc>
          <w:tcPr>
            <w:tcW w:w="1240" w:type="dxa"/>
            <w:vAlign w:val="bottom"/>
            <w:gridSpan w:val="2"/>
            <w:vMerge w:val="restart"/>
          </w:tcPr>
          <w:p>
            <w:pPr>
              <w:ind w:left="84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7"/>
                <w:szCs w:val="7"/>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(560)</w:t>
            </w:r>
          </w:p>
        </w:tc>
        <w:tc>
          <w:tcPr>
            <w:tcW w:w="140" w:type="dxa"/>
            <w:vAlign w:val="bottom"/>
          </w:tcPr>
          <w:p>
            <w:pPr>
              <w:spacing w:after="0"/>
              <w:rPr>
                <w:sz w:val="7"/>
                <w:szCs w:val="7"/>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(560)</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4"/>
                <w:szCs w:val="14"/>
                <w:i w:val="1"/>
                <w:iCs w:val="1"/>
                <w:color w:val="auto"/>
              </w:rPr>
              <w:t>Interest rate caps:</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October 2014</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color w:val="auto"/>
              </w:rPr>
              <w:t>3 Mo. LIBOR</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1"/>
              </w:rPr>
              <w:t>Other Assets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6,000</w:t>
            </w: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2019</w:t>
            </w:r>
          </w:p>
        </w:tc>
        <w:tc>
          <w:tcPr>
            <w:tcW w:w="1040" w:type="dxa"/>
            <w:vAlign w:val="bottom"/>
            <w:gridSpan w:val="2"/>
            <w:vMerge w:val="continue"/>
          </w:tcPr>
          <w:p>
            <w:pPr>
              <w:spacing w:after="0"/>
              <w:rPr>
                <w:sz w:val="7"/>
                <w:szCs w:val="7"/>
                <w:color w:val="auto"/>
              </w:rPr>
            </w:pPr>
          </w:p>
        </w:tc>
        <w:tc>
          <w:tcPr>
            <w:tcW w:w="126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n/a</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n/a</w:t>
            </w:r>
          </w:p>
        </w:tc>
        <w:tc>
          <w:tcPr>
            <w:tcW w:w="1240" w:type="dxa"/>
            <w:vAlign w:val="bottom"/>
            <w:gridSpan w:val="2"/>
            <w:vMerge w:val="restart"/>
          </w:tcPr>
          <w:p>
            <w:pPr>
              <w:ind w:left="760"/>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7"/>
                <w:szCs w:val="7"/>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(167)</w:t>
            </w:r>
          </w:p>
        </w:tc>
        <w:tc>
          <w:tcPr>
            <w:tcW w:w="14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March 2015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February 2020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 Mo. LIBOR</w:t>
            </w:r>
          </w:p>
        </w:tc>
        <w:tc>
          <w:tcPr>
            <w:tcW w:w="12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n/a</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n/a</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31,000</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(3,276)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(2,882)</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3" w:name="page94"/>
    <w:bookmarkEnd w:id="9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years ended June 30, 2017, 2016 and 2015,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years ended June 30, 2017, 2016 and 2015 related to the balance sheet hedging of variable rate debt indicates that the hedges were effective.</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During the year ended June 30, 2015, amounts recognized in income related to hedge ineffectiveness resulted from amortization of the non-zero fair value associated with the Company's single interest rate swap held at the time of the merger with FHB Formation LLC in December 2010. Amounts recognized in income related to amounts excluded from effectiveness testing resulted from amortization of the acquisition price of interest rate caps. For the years ended June 30, 2017 and 2016, amounts recognized in income related to the amortization of the interest rate caps. The table below presents amounts recognized in income related to interest rate cap amortization, hedge ineffectiveness and amounts excluded from effectiveness testing.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4"/>
              </w:rPr>
              <w:t>Year Ended June 30,</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9"/>
              </w:rPr>
              <w:t>(Dollars in thousands)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rate caps</w:t>
            </w:r>
          </w:p>
        </w:tc>
        <w:tc>
          <w:tcPr>
            <w:tcW w:w="1140" w:type="dxa"/>
            <w:vAlign w:val="bottom"/>
          </w:tcPr>
          <w:p>
            <w:pPr>
              <w:jc w:val="right"/>
              <w:ind w:right="98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r>
      <w:tr>
        <w:trPr>
          <w:trHeight w:val="20"/>
        </w:trPr>
        <w:tc>
          <w:tcPr>
            <w:tcW w:w="40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98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0"/>
        </w:trPr>
        <w:tc>
          <w:tcPr>
            <w:tcW w:w="4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does not expect to record interest income or interest expense related to interest rate swap or interest rate cap ineffectiveness in the next twelve months.</w:t>
      </w:r>
    </w:p>
    <w:p>
      <w:pPr>
        <w:spacing w:after="0" w:line="166"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8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hierarchy. 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enterprise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660" w:right="220"/>
        <w:spacing w:after="0" w:line="297" w:lineRule="auto"/>
        <w:rPr>
          <w:sz w:val="20"/>
          <w:szCs w:val="20"/>
          <w:color w:val="auto"/>
        </w:rPr>
      </w:pPr>
      <w:r>
        <w:rPr>
          <w:rFonts w:ascii="Arial" w:cs="Arial" w:eastAsia="Arial" w:hAnsi="Arial"/>
          <w:sz w:val="16"/>
          <w:szCs w:val="16"/>
          <w:color w:val="auto"/>
        </w:rPr>
        <w:t>Certain investments are measured at fair value using the net asset value per share as a practical expedient. These investments include a fund that seeks to invest in securities either issued or guaranteed by the U.S. government or its agencies, as well as a fund that primarily invests in the federally guaranteed portion of SBA 7(a) loans. The Company’s investment in securities either issued or guaranteed by the U.S. government or its agencies can be redeemed daily at the closing net asset value per share. The Company’s investment in SBA 7(a) loans can be redeemed quarterly with sixty days’ notice. In accordance with ASU 2015-07, these investments have not been included in the fair value hierarchy.</w:t>
      </w:r>
    </w:p>
    <w:p>
      <w:pPr>
        <w:spacing w:after="0" w:line="158"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58"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i w:val="1"/>
          <w:iCs w:val="1"/>
          <w:color w:val="auto"/>
        </w:rPr>
        <w:t xml:space="preserve">Loan servicing rights </w:t>
      </w:r>
      <w:r>
        <w:rPr>
          <w:rFonts w:ascii="Arial" w:cs="Arial" w:eastAsia="Arial" w:hAnsi="Arial"/>
          <w:sz w:val="18"/>
          <w:szCs w:val="18"/>
          <w:color w:val="auto"/>
        </w:rPr>
        <w:t>- The fair value of the SBA and mortgage servicing rights is based on a valuation model that calculates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Federal Home Loan Bank of Boston overnight</w:t>
      </w:r>
      <w:r>
        <w:rPr>
          <w:rFonts w:ascii="Arial" w:cs="Arial" w:eastAsia="Arial" w:hAnsi="Arial"/>
          <w:sz w:val="18"/>
          <w:szCs w:val="18"/>
          <w:i w:val="1"/>
          <w:iCs w:val="1"/>
          <w:color w:val="auto"/>
        </w:rPr>
        <w:t xml:space="preserve"> </w:t>
      </w:r>
      <w:r>
        <w:rPr>
          <w:rFonts w:ascii="Arial" w:cs="Arial" w:eastAsia="Arial" w:hAnsi="Arial"/>
          <w:sz w:val="18"/>
          <w:szCs w:val="18"/>
          <w:color w:val="auto"/>
        </w:rPr>
        <w:t>deposits approximates their relative 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Loans</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losses.</w:t>
      </w:r>
    </w:p>
    <w:p>
      <w:pPr>
        <w:spacing w:after="0" w:line="181"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jc w:val="both"/>
        <w:ind w:left="500" w:right="60"/>
        <w:spacing w:after="0" w:line="279" w:lineRule="auto"/>
        <w:rPr>
          <w:sz w:val="20"/>
          <w:szCs w:val="20"/>
          <w:color w:val="auto"/>
        </w:rPr>
      </w:pPr>
      <w:r>
        <w:rPr>
          <w:rFonts w:ascii="Arial" w:cs="Arial" w:eastAsia="Arial" w:hAnsi="Arial"/>
          <w:sz w:val="17"/>
          <w:szCs w:val="17"/>
          <w:i w:val="1"/>
          <w:iCs w:val="1"/>
          <w:color w:val="auto"/>
        </w:rPr>
        <w:t xml:space="preserve">FHLBB advances, capital lease obligations and subordinated debentures </w:t>
      </w:r>
      <w:r>
        <w:rPr>
          <w:rFonts w:ascii="Arial" w:cs="Arial" w:eastAsia="Arial" w:hAnsi="Arial"/>
          <w:sz w:val="17"/>
          <w:szCs w:val="17"/>
          <w:color w:val="auto"/>
        </w:rPr>
        <w:t>- The fair value of the Company’s borrowings with the FHLBB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by discounting the cash flows through maturity or the next re-pricing date based on current rates available to the Company for borrowings with similar maturities. The fair value of the Company’s capital lease obligations and subordinated debentures are estimated by discounting the cash flows through maturity based on current rates available to the Company for borrowings with similar maturities.</w:t>
      </w:r>
    </w:p>
    <w:p>
      <w:pPr>
        <w:spacing w:after="0" w:line="171"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 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2017</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center"/>
              <w:ind w:right="400"/>
              <w:spacing w:after="0" w:line="170" w:lineRule="exact"/>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57,168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57,168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32,903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2016</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center"/>
              <w:ind w:right="400"/>
              <w:spacing w:after="0" w:line="170" w:lineRule="exact"/>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52,046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52,046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43,368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80" w:hanging="330"/>
        <w:spacing w:after="0" w:line="264"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is intended to permit reconciliation of the fair value amount to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89"/>
              </w:rPr>
              <w:t>June 30, 2017</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left="9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1,011</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826</w:t>
            </w: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826</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2,846</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2,846</w:t>
            </w:r>
          </w:p>
        </w:tc>
      </w:tr>
      <w:tr>
        <w:trPr>
          <w:trHeight w:val="486"/>
        </w:trPr>
        <w:tc>
          <w:tcPr>
            <w:tcW w:w="4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89"/>
              </w:rPr>
              <w:t>June 30, 2016</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left="9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922</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1,652</w:t>
            </w: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1,771</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1,771</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555"/>
              <w:spacing w:after="0"/>
              <w:rPr>
                <w:sz w:val="20"/>
                <w:szCs w:val="20"/>
                <w:color w:val="auto"/>
              </w:rPr>
            </w:pPr>
            <w:r>
              <w:rPr>
                <w:rFonts w:ascii="Arial" w:cs="Arial" w:eastAsia="Arial" w:hAnsi="Arial"/>
                <w:sz w:val="18"/>
                <w:szCs w:val="18"/>
                <w:color w:val="auto"/>
                <w:w w:val="90"/>
              </w:rPr>
              <w:t>Fair Value</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195"/>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86"/>
              </w:rPr>
              <w:t>June 30,</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left="355"/>
              <w:spacing w:after="0" w:line="195" w:lineRule="exact"/>
              <w:rPr>
                <w:sz w:val="20"/>
                <w:szCs w:val="20"/>
                <w:color w:val="auto"/>
              </w:rPr>
            </w:pPr>
            <w:r>
              <w:rPr>
                <w:rFonts w:ascii="Arial" w:cs="Arial" w:eastAsia="Arial" w:hAnsi="Arial"/>
                <w:sz w:val="18"/>
                <w:szCs w:val="18"/>
                <w:color w:val="auto"/>
                <w:w w:val="86"/>
              </w:rPr>
              <w:t>June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80" w:type="dxa"/>
            <w:vAlign w:val="bottom"/>
            <w:gridSpan w:val="4"/>
          </w:tcPr>
          <w:p>
            <w:pPr>
              <w:jc w:val="center"/>
              <w:ind w:left="330"/>
              <w:spacing w:after="0"/>
              <w:rPr>
                <w:sz w:val="20"/>
                <w:szCs w:val="20"/>
                <w:color w:val="auto"/>
              </w:rPr>
            </w:pPr>
            <w:r>
              <w:rPr>
                <w:rFonts w:ascii="Arial" w:cs="Arial" w:eastAsia="Arial" w:hAnsi="Arial"/>
                <w:sz w:val="18"/>
                <w:szCs w:val="18"/>
                <w:color w:val="auto"/>
                <w:w w:val="91"/>
              </w:rPr>
              <w:t>(Dollars in thousands)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6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1,011</w:t>
            </w:r>
          </w:p>
        </w:tc>
        <w:tc>
          <w:tcPr>
            <w:tcW w:w="1040" w:type="dxa"/>
            <w:vAlign w:val="bottom"/>
            <w:shd w:val="clear" w:color="auto" w:fill="CCEEFF"/>
          </w:tcPr>
          <w:p>
            <w:pPr>
              <w:jc w:val="right"/>
              <w:ind w:right="87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w:t>
            </w:r>
          </w:p>
        </w:tc>
        <w:tc>
          <w:tcPr>
            <w:tcW w:w="34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826</w:t>
            </w:r>
          </w:p>
        </w:tc>
        <w:tc>
          <w:tcPr>
            <w:tcW w:w="10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1,652</w:t>
            </w:r>
          </w:p>
        </w:tc>
        <w:tc>
          <w:tcPr>
            <w:tcW w:w="3400" w:type="dxa"/>
            <w:vAlign w:val="bottom"/>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2,846</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1,771</w:t>
            </w:r>
          </w:p>
        </w:tc>
        <w:tc>
          <w:tcPr>
            <w:tcW w:w="34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Discounted cash flow</w:t>
            </w:r>
            <w:r>
              <w:rPr>
                <w:rFonts w:ascii="Arial" w:cs="Arial" w:eastAsia="Arial" w:hAnsi="Arial"/>
                <w:sz w:val="25"/>
                <w:szCs w:val="25"/>
                <w:color w:val="auto"/>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6% to 71%.</w:t>
      </w:r>
    </w:p>
    <w:p>
      <w:pPr>
        <w:ind w:right="300" w:firstLine="8"/>
        <w:spacing w:after="0" w:line="261"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3.8% to 14.5%. For discount rates, the range was 6.3% to 13.6%.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Carrying</w:t>
            </w:r>
          </w:p>
        </w:tc>
        <w:tc>
          <w:tcPr>
            <w:tcW w:w="2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8"/>
                <w:szCs w:val="18"/>
                <w:color w:val="auto"/>
              </w:rPr>
              <w:t>Fair Value Measurements at June 30, 2017</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163,283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163,283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163,283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90,071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90,071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4,699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775,530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2,111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2,111</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889,850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889,877</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889,877</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20,057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23,620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7" w:name="page98"/>
    <w:bookmarkEnd w:id="9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Carrying</w:t>
            </w:r>
          </w:p>
        </w:tc>
        <w:tc>
          <w:tcPr>
            <w:tcW w:w="2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8"/>
                <w:szCs w:val="18"/>
                <w:color w:val="auto"/>
              </w:rPr>
              <w:t>Fair Value Measurements at June 30, 2016</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151,157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151,157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151,157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95,414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7,519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690,086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800,432</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801,045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801,045</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30,075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23,331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660" w:right="20" w:hanging="328"/>
        <w:spacing w:after="0" w:line="264"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is intended to permit reconciliation of the fair value amount to the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Parent Information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3"/>
          </w:tcPr>
          <w:p>
            <w:pPr>
              <w:spacing w:after="0"/>
              <w:rPr>
                <w:sz w:val="20"/>
                <w:szCs w:val="20"/>
                <w:color w:val="auto"/>
              </w:rPr>
            </w:pPr>
            <w:r>
              <w:rPr>
                <w:rFonts w:ascii="Arial" w:cs="Arial" w:eastAsia="Arial" w:hAnsi="Arial"/>
                <w:sz w:val="18"/>
                <w:szCs w:val="18"/>
                <w:color w:val="auto"/>
              </w:rPr>
              <w:t>Condensed financial information for Northeast Bancorp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6"/>
          </w:tcPr>
          <w:p>
            <w:pPr>
              <w:ind w:left="66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Balance Sheets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4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Investment in subsidiary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138,920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common securities of affiliated trusts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147,774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142,478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23,620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24,977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122,797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147,774</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142,478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June 30,</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Statements of Income</w:t>
            </w:r>
          </w:p>
        </w:tc>
        <w:tc>
          <w:tcPr>
            <w:tcW w:w="3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954</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expense</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140" w:type="dxa"/>
            <w:vAlign w:val="bottom"/>
            <w:gridSpan w:val="2"/>
          </w:tcPr>
          <w:p>
            <w:pPr>
              <w:ind w:left="320"/>
              <w:spacing w:after="0" w:line="195" w:lineRule="exact"/>
              <w:rPr>
                <w:sz w:val="20"/>
                <w:szCs w:val="20"/>
                <w:color w:val="auto"/>
              </w:rPr>
            </w:pPr>
            <w:r>
              <w:rPr>
                <w:rFonts w:ascii="Arial" w:cs="Arial" w:eastAsia="Arial" w:hAnsi="Arial"/>
                <w:sz w:val="18"/>
                <w:szCs w:val="18"/>
                <w:color w:val="auto"/>
                <w:w w:val="97"/>
              </w:rPr>
              <w:t>Loss before income tax benefit and equity in undistributed net</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480"/>
              <w:spacing w:after="0"/>
              <w:rPr>
                <w:sz w:val="20"/>
                <w:szCs w:val="20"/>
                <w:color w:val="auto"/>
              </w:rPr>
            </w:pPr>
            <w:r>
              <w:rPr>
                <w:rFonts w:ascii="Arial" w:cs="Arial" w:eastAsia="Arial" w:hAnsi="Arial"/>
                <w:sz w:val="18"/>
                <w:szCs w:val="18"/>
                <w:color w:val="auto"/>
              </w:rPr>
              <w:t>income of subsidiary</w:t>
            </w:r>
          </w:p>
        </w:tc>
        <w:tc>
          <w:tcPr>
            <w:tcW w:w="10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(1,543)</w:t>
            </w:r>
          </w:p>
        </w:tc>
        <w:tc>
          <w:tcPr>
            <w:tcW w:w="3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(1,832)</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Loss before equity in undistributed net income of subsidiary</w:t>
            </w:r>
          </w:p>
        </w:tc>
        <w:tc>
          <w:tcPr>
            <w:tcW w:w="10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(964)</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(1,148)</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undistributed net income of subsidiary</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w:t>
            </w: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12,339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7,619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7,141</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18" w:right="819" w:bottom="55" w:gutter="0" w:footer="0" w:header="0"/>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118" w:right="819" w:bottom="55" w:gutter="0" w:footer="0" w:header="0"/>
          <w:type w:val="continuous"/>
        </w:sectPr>
      </w:pPr>
    </w:p>
    <w:bookmarkStart w:id="98" w:name="page99"/>
    <w:bookmarkEnd w:id="9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8"/>
              </w:rPr>
              <w:t>Year Ended June 30,</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86"/>
              </w:rPr>
              <w:t>(Dollars in thousands)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Statements of Cash Flows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activities:</w:t>
            </w:r>
          </w:p>
        </w:tc>
        <w:tc>
          <w:tcPr>
            <w:tcW w:w="4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12,339</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7,619</w:t>
            </w: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w w:val="96"/>
              </w:rPr>
              <w:t>Adjustments to reconcile net income to net cash (used in) provided by operating</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gridSpan w:val="2"/>
          </w:tcPr>
          <w:p>
            <w:pPr>
              <w:ind w:left="160"/>
              <w:spacing w:after="0"/>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fair value adjustment for borrowings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earnings of subsidiary</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(13,440)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(Decrease) increase in other assets and liabilities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(1,144)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(1,011)</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Increase in investment of bank subsidiary</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Capital contribution</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subordinated debt, net of debt issuance costs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Taxes paid for retirement of common stock</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Dividends paid to shareholders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(15,352)</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(16,363)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11,277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Cash, beginning of year</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24,528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13,251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19,547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Results of Operations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16"/>
                <w:szCs w:val="16"/>
                <w:color w:val="auto"/>
              </w:rPr>
            </w:pPr>
          </w:p>
        </w:tc>
        <w:tc>
          <w:tcPr>
            <w:tcW w:w="122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 except share data)</w:t>
            </w: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Quarter</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2,499</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2,501</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8,956</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8,842</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9,364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1,839</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6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16"/>
                <w:szCs w:val="16"/>
                <w:color w:val="auto"/>
              </w:rPr>
            </w:pPr>
          </w:p>
        </w:tc>
        <w:tc>
          <w:tcPr>
            <w:tcW w:w="122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 except share data)</w:t>
            </w: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1,863</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896</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8,196</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8,412</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832</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16"/>
                <w:szCs w:val="16"/>
                <w:color w:val="auto"/>
              </w:rPr>
            </w:pPr>
          </w:p>
        </w:tc>
        <w:tc>
          <w:tcPr>
            <w:tcW w:w="122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 except share data)</w:t>
            </w: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Quarter</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1,833</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1,793</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8,210</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7,885</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8,827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6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its disclosure controls and procedures, as defined in Exchange Act Rules 13a-15(e) and 15d-15(e). Based upon the evaluation, the Company’s Chief Executive Officer and Chief Financial Officer concluded that as of June 30, 2017, the Company’s disclosure controls and procedures are effective. Disclosure controls and procedures are controls and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In addition, no change in our internal control over financial reporting (as defined in Rule 13a-15(f) under the Securities Exchange Act of 1934) occurred during the fourth quarter of our fiscal year ended June 30, 2017 that has materially affected, or is reasonably likely to materially affect, our internal control over financial reporting.</w:t>
      </w:r>
    </w:p>
    <w:p>
      <w:pPr>
        <w:spacing w:after="0" w:line="16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its Chief Executive Officer and Chief Financial Officer, of the effectiveness of the design and operation of our internal controls and procedures over financial reporting (as defined in Rule 13a-15(e) of the Exchange Act) as of the end of the period covered by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Report on Internal Control over Financial Reporting</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controls over financial reporting. The standard measures adopted by management in making its evaluation are the measures in </w:t>
      </w:r>
      <w:r>
        <w:rPr>
          <w:rFonts w:ascii="Arial" w:cs="Arial" w:eastAsia="Arial" w:hAnsi="Arial"/>
          <w:sz w:val="16"/>
          <w:szCs w:val="16"/>
          <w:i w:val="1"/>
          <w:iCs w:val="1"/>
          <w:color w:val="auto"/>
        </w:rPr>
        <w:t>Interest Control—Integrated Framework (2013)</w:t>
      </w:r>
      <w:r>
        <w:rPr>
          <w:rFonts w:ascii="Arial" w:cs="Arial" w:eastAsia="Arial" w:hAnsi="Arial"/>
          <w:sz w:val="16"/>
          <w:szCs w:val="16"/>
          <w:color w:val="auto"/>
        </w:rPr>
        <w:t xml:space="preserve"> published by the Committee of Sponsoring Organizations of the Treadway Commission. We do not expect that our disclosure controls and procedures will prevent all error and all fraud. A control system, no matter how well designed and operated, can provide only reasonable, not absolute, assurance that the control system’s objective will be</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errors, and instances of fraud, if any, within the Company have been or will be detected. The inherent limitations include, among other things, the realities that judgments in decision-making can be faulty, and that breakdowns can occur because of simple error or mistake. Controls and procedures also can be circumvented by the individual acts of some persons, by collusion of two or more people, or by management or employee override of the controls and procedures. The design of any system of controls and procedures is based in part upon certain assumptions about the likelihood of future events, and there can be no assurance that any design will succeed in achieving its stated goals under all potential future conditions. Over time, controls and procedures may become inadequate because of changes in conditions or deterioration in the degree of compliance with its policies or procedures. Because of the inherent limitation in a cost-effective control system, misstatements due to error or fraud may occur and not be detected.</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their evaluation of disclosure controls and procedures, our Chief Executive Officer and Chief Financial Officer concluded, subject to the limitations described above, that our internal controls and procedures over financial reporting as of the end of the period covered by this report were effective and that there were no material weaknesses.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Northeast Bancorp</w:t>
      </w:r>
    </w:p>
    <w:p>
      <w:pPr>
        <w:spacing w:after="0" w:line="200" w:lineRule="exact"/>
        <w:rPr>
          <w:sz w:val="20"/>
          <w:szCs w:val="20"/>
          <w:color w:val="auto"/>
        </w:rPr>
      </w:pPr>
    </w:p>
    <w:p>
      <w:pPr>
        <w:spacing w:after="0" w:line="2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audited Northeast Bancorp’s and subsidiary (“the Company”) internal control over financial reporting as of June 30, 2017, based on criteria established in Internal Control — Integrated Framework issued by the Committee of Sponsoring Organizations of the Treadway Commission in 2013.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June 30, 2017, based on criteria established in Internal Control — Integrated Framework issued by the Committee of Sponsoring Organizations of the Treadway Commission in 2013.</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balance sheets of the Company as of June 30, 2017 and 2016, and the related consolidated statements of income, comprehensive income, changes in shareholders’ equity and cash flows for each of the two years in the period ended June 30, 2017 and our report dated September 13, 2017, expressed an unqualified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in our internal controls, or in other factors that could significantly affect our internal controls, subsequent to the date the Chief Executive Officer and Chief Financial Officer completed their evaluation, including any corrective actions with regard to significant deficiencies or material weaknesses.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10 shall be included in the Proxy Statement and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11 shall be included in the Proxy Statement and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12 shall be included in the Proxy Statement and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13 shall be included in the Proxy Statement and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14 shall be included in the Proxy Statement and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Financial Statements and Financial Statement Schedules</w:t>
      </w:r>
    </w:p>
    <w:p>
      <w:pPr>
        <w:spacing w:after="0" w:line="27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Consolidated Statements of Income for the years ended June 30, 2017, 2016, and 2015</w:t>
      </w:r>
    </w:p>
    <w:p>
      <w:pPr>
        <w:spacing w:after="0" w:line="279" w:lineRule="exact"/>
        <w:rPr>
          <w:rFonts w:ascii="Arial" w:cs="Arial" w:eastAsia="Arial" w:hAnsi="Arial"/>
          <w:sz w:val="18"/>
          <w:szCs w:val="18"/>
          <w:color w:val="auto"/>
        </w:rPr>
      </w:pPr>
    </w:p>
    <w:p>
      <w:pPr>
        <w:ind w:left="340" w:right="3000"/>
        <w:spacing w:after="0" w:line="563" w:lineRule="auto"/>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June 30, 2017, 2016, and 2015 Consolidated Statements of Changes in Shareholders’ Equity for the years ended June 30, 2017, 2016, and 2015 Consolidated Balance Sheets as of June 30, 2017 and 2016</w:t>
      </w:r>
    </w:p>
    <w:p>
      <w:pPr>
        <w:spacing w:after="0" w:line="1" w:lineRule="exact"/>
        <w:rPr>
          <w:rFonts w:ascii="Arial" w:cs="Arial" w:eastAsia="Arial" w:hAnsi="Arial"/>
          <w:sz w:val="18"/>
          <w:szCs w:val="18"/>
          <w:color w:val="auto"/>
        </w:rPr>
      </w:pPr>
    </w:p>
    <w:p>
      <w:pPr>
        <w:ind w:left="340" w:right="4520"/>
        <w:spacing w:after="0" w:line="563" w:lineRule="auto"/>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June 30, 2017, 2016, and 2015 Notes to Consolidated Financial Statements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040" w:right="560" w:hanging="454"/>
        <w:spacing w:after="0" w:line="258"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56">
        <w:r>
          <w:rPr>
            <w:rFonts w:ascii="Arial" w:cs="Arial" w:eastAsia="Arial" w:hAnsi="Arial"/>
            <w:sz w:val="18"/>
            <w:szCs w:val="18"/>
            <w:u w:val="single" w:color="auto"/>
            <w:color w:val="0000EE"/>
          </w:rPr>
          <w:t>Amended and Restated Articles of Incorporation of Northeast Bancorp (incorporated by reference to Exhibit 3.1 of Northeast Bancorp’s</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Current Report on Form 8-K filed on January 5, 2011).</w:t>
        </w:r>
      </w:hyperlink>
    </w:p>
    <w:p>
      <w:pPr>
        <w:spacing w:after="0" w:line="1" w:lineRule="exact"/>
        <w:rPr>
          <w:sz w:val="20"/>
          <w:szCs w:val="20"/>
          <w:color w:val="auto"/>
        </w:rPr>
      </w:pPr>
    </w:p>
    <w:p>
      <w:pPr>
        <w:ind w:left="1040" w:right="80" w:hanging="454"/>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57">
        <w:r>
          <w:rPr>
            <w:rFonts w:ascii="Arial" w:cs="Arial" w:eastAsia="Arial" w:hAnsi="Arial"/>
            <w:sz w:val="18"/>
            <w:szCs w:val="18"/>
            <w:u w:val="single" w:color="auto"/>
            <w:color w:val="0000EE"/>
          </w:rPr>
          <w:t>Articles of Amendment to the Amended and Restated Articles of Incorporation of Northeast Bancorp (incorporated by reference to Exhibit 3.1</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of Northeast Bancorp’s Current Report on Form 8-K filed on March 22, 2011).</w:t>
        </w:r>
      </w:hyperlink>
    </w:p>
    <w:p>
      <w:pPr>
        <w:spacing w:after="0" w:line="1" w:lineRule="exact"/>
        <w:rPr>
          <w:sz w:val="20"/>
          <w:szCs w:val="20"/>
          <w:color w:val="auto"/>
        </w:rPr>
      </w:pPr>
    </w:p>
    <w:p>
      <w:pPr>
        <w:ind w:left="1040" w:right="80" w:hanging="454"/>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58">
        <w:r>
          <w:rPr>
            <w:rFonts w:ascii="Arial" w:cs="Arial" w:eastAsia="Arial" w:hAnsi="Arial"/>
            <w:sz w:val="18"/>
            <w:szCs w:val="18"/>
            <w:u w:val="single" w:color="auto"/>
            <w:color w:val="0000EE"/>
          </w:rPr>
          <w:t>Articles of Amendment to the Amended and Restated Articles of Incorporation of Northeast Bancorp (incorporated by reference to Exhibit 3.1</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of Northeast Bancorp’s Current Report on Form 8-K filed on November 29, 2012).</w:t>
        </w:r>
      </w:hyperlink>
    </w:p>
    <w:p>
      <w:pPr>
        <w:spacing w:after="0" w:line="1" w:lineRule="exact"/>
        <w:rPr>
          <w:sz w:val="20"/>
          <w:szCs w:val="20"/>
          <w:color w:val="auto"/>
        </w:rPr>
      </w:pPr>
    </w:p>
    <w:p>
      <w:pPr>
        <w:ind w:left="60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3.4</w:t>
      </w:r>
      <w:r>
        <w:rPr>
          <w:sz w:val="20"/>
          <w:szCs w:val="20"/>
          <w:color w:val="auto"/>
        </w:rPr>
        <w:tab/>
      </w:r>
      <w:hyperlink r:id="rId159">
        <w:r>
          <w:rPr>
            <w:rFonts w:ascii="Arial" w:cs="Arial" w:eastAsia="Arial" w:hAnsi="Arial"/>
            <w:sz w:val="16"/>
            <w:szCs w:val="16"/>
            <w:u w:val="single" w:color="auto"/>
            <w:color w:val="0000EE"/>
          </w:rPr>
          <w:t>Amended and Restated Bylaws of Northeast Bancorp (incorporated by reference to Exhibit 3.2 of Northeast Bancorp’s Current Report on Form</w:t>
        </w:r>
      </w:hyperlink>
    </w:p>
    <w:p>
      <w:pPr>
        <w:spacing w:after="0" w:line="9" w:lineRule="exact"/>
        <w:rPr>
          <w:sz w:val="20"/>
          <w:szCs w:val="20"/>
          <w:color w:val="auto"/>
        </w:rPr>
      </w:pPr>
    </w:p>
    <w:p>
      <w:pPr>
        <w:ind w:left="1040"/>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8-K filed on January 5, 2011).</w:t>
        </w:r>
      </w:hyperlink>
    </w:p>
    <w:p>
      <w:pPr>
        <w:spacing w:after="0" w:line="9" w:lineRule="exact"/>
        <w:rPr>
          <w:sz w:val="20"/>
          <w:szCs w:val="20"/>
          <w:color w:val="auto"/>
        </w:rPr>
      </w:pPr>
    </w:p>
    <w:p>
      <w:pPr>
        <w:ind w:left="1040" w:right="140" w:hanging="454"/>
        <w:spacing w:after="0" w:line="281"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60">
        <w:r>
          <w:rPr>
            <w:rFonts w:ascii="Arial" w:cs="Arial" w:eastAsia="Arial" w:hAnsi="Arial"/>
            <w:sz w:val="16"/>
            <w:szCs w:val="16"/>
            <w:u w:val="single" w:color="auto"/>
            <w:color w:val="0000EE"/>
          </w:rPr>
          <w:t>Registration Rights Schedule to the Agreement and Plan of Merger, dated as of March 30, 2010, by and between Northeast Bancorp and FHB</w:t>
        </w:r>
      </w:hyperlink>
      <w:r>
        <w:rPr>
          <w:rFonts w:ascii="Arial" w:cs="Arial" w:eastAsia="Arial" w:hAnsi="Arial"/>
          <w:sz w:val="16"/>
          <w:szCs w:val="16"/>
          <w:u w:val="single" w:color="auto"/>
          <w:color w:val="0000EE"/>
        </w:rPr>
        <w:t xml:space="preserve"> </w:t>
      </w:r>
      <w:hyperlink r:id="rId160">
        <w:r>
          <w:rPr>
            <w:rFonts w:ascii="Arial" w:cs="Arial" w:eastAsia="Arial" w:hAnsi="Arial"/>
            <w:sz w:val="16"/>
            <w:szCs w:val="16"/>
            <w:u w:val="single" w:color="auto"/>
            <w:color w:val="0000EE"/>
          </w:rPr>
          <w:t>Formation LLC (incorporated by reference to Amendment No. 1 on Form 10-K/A of Northeast Bancorp filed on March 19, 2012).</w:t>
        </w:r>
      </w:hyperlink>
    </w:p>
    <w:p>
      <w:pPr>
        <w:spacing w:after="0" w:line="1" w:lineRule="exact"/>
        <w:rPr>
          <w:sz w:val="20"/>
          <w:szCs w:val="20"/>
          <w:color w:val="auto"/>
        </w:rPr>
      </w:pPr>
    </w:p>
    <w:p>
      <w:pPr>
        <w:ind w:left="1040" w:hanging="454"/>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61">
        <w:r>
          <w:rPr>
            <w:rFonts w:ascii="Arial" w:cs="Arial" w:eastAsia="Arial" w:hAnsi="Arial"/>
            <w:sz w:val="18"/>
            <w:szCs w:val="18"/>
            <w:u w:val="single" w:color="auto"/>
            <w:color w:val="0000EE"/>
          </w:rPr>
          <w:t>Form of 6.75% Fixed-to-Floating Subordinated Note due 2026 (incorporated by reference to Exhibit 4.1 of Northeast Bancorp’s Current Report</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on Form 8-K filed on June 29, 2016).</w:t>
        </w:r>
      </w:hyperlink>
    </w:p>
    <w:p>
      <w:pPr>
        <w:spacing w:after="0" w:line="1" w:lineRule="exact"/>
        <w:rPr>
          <w:sz w:val="20"/>
          <w:szCs w:val="20"/>
          <w:color w:val="auto"/>
        </w:rPr>
      </w:pPr>
    </w:p>
    <w:p>
      <w:pPr>
        <w:ind w:left="40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107">
        <w:r>
          <w:rPr>
            <w:rFonts w:ascii="Arial" w:cs="Arial" w:eastAsia="Arial" w:hAnsi="Arial"/>
            <w:sz w:val="16"/>
            <w:szCs w:val="16"/>
            <w:u w:val="single" w:color="auto"/>
            <w:color w:val="0000EE"/>
          </w:rPr>
          <w:t>Northeast Bancorp Amended and Restated 2010 Stock Option and Incentive Plan.*</w:t>
        </w:r>
      </w:hyperlink>
    </w:p>
    <w:p>
      <w:pPr>
        <w:spacing w:after="0" w:line="9" w:lineRule="exact"/>
        <w:rPr>
          <w:sz w:val="20"/>
          <w:szCs w:val="20"/>
          <w:color w:val="auto"/>
        </w:rPr>
      </w:pPr>
    </w:p>
    <w:p>
      <w:pPr>
        <w:ind w:left="1040" w:hanging="7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10.2a+</w:t>
      </w:r>
      <w:r>
        <w:rPr>
          <w:sz w:val="20"/>
          <w:szCs w:val="20"/>
          <w:color w:val="auto"/>
        </w:rPr>
        <w:tab/>
      </w:r>
      <w:hyperlink w:anchor="page120">
        <w:r>
          <w:rPr>
            <w:rFonts w:ascii="Arial" w:cs="Arial" w:eastAsia="Arial" w:hAnsi="Arial"/>
            <w:sz w:val="18"/>
            <w:szCs w:val="18"/>
            <w:u w:val="single" w:color="auto"/>
            <w:color w:val="0000EE"/>
          </w:rPr>
          <w:t>Form of Restricted Stock Award Agreement under the Northeast Bancorp Amended and Restated 2010 Stock Option and Incentive Plan (issued</w:t>
        </w:r>
      </w:hyperlink>
      <w:r>
        <w:rPr>
          <w:rFonts w:ascii="Arial" w:cs="Arial" w:eastAsia="Arial" w:hAnsi="Arial"/>
          <w:sz w:val="18"/>
          <w:szCs w:val="18"/>
          <w:u w:val="single" w:color="auto"/>
          <w:color w:val="0000EE"/>
        </w:rPr>
        <w:t xml:space="preserve"> </w:t>
      </w:r>
      <w:hyperlink w:anchor="page120">
        <w:r>
          <w:rPr>
            <w:rFonts w:ascii="Arial" w:cs="Arial" w:eastAsia="Arial" w:hAnsi="Arial"/>
            <w:sz w:val="18"/>
            <w:szCs w:val="18"/>
            <w:u w:val="single" w:color="auto"/>
            <w:color w:val="0000EE"/>
          </w:rPr>
          <w:t>on or after May 25, 2017)*</w:t>
        </w:r>
      </w:hyperlink>
    </w:p>
    <w:p>
      <w:pPr>
        <w:spacing w:after="0" w:line="1" w:lineRule="exact"/>
        <w:rPr>
          <w:sz w:val="20"/>
          <w:szCs w:val="20"/>
          <w:color w:val="auto"/>
        </w:rPr>
      </w:pPr>
    </w:p>
    <w:p>
      <w:pPr>
        <w:ind w:left="1040" w:hanging="73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10.2b+</w:t>
      </w:r>
      <w:r>
        <w:rPr>
          <w:sz w:val="20"/>
          <w:szCs w:val="20"/>
          <w:color w:val="auto"/>
        </w:rPr>
        <w:tab/>
      </w:r>
      <w:hyperlink w:anchor="page125">
        <w:r>
          <w:rPr>
            <w:rFonts w:ascii="Arial" w:cs="Arial" w:eastAsia="Arial" w:hAnsi="Arial"/>
            <w:sz w:val="18"/>
            <w:szCs w:val="18"/>
            <w:u w:val="single" w:color="auto"/>
            <w:color w:val="0000EE"/>
          </w:rPr>
          <w:t>Form of Restricted Stock Award Agreement under the Northeast Bancorp Amended and Restated 2010 Stock Option and Incentive Plan (issued</w:t>
        </w:r>
      </w:hyperlink>
      <w:r>
        <w:rPr>
          <w:rFonts w:ascii="Arial" w:cs="Arial" w:eastAsia="Arial" w:hAnsi="Arial"/>
          <w:sz w:val="18"/>
          <w:szCs w:val="18"/>
          <w:u w:val="single" w:color="auto"/>
          <w:color w:val="0000EE"/>
        </w:rPr>
        <w:t xml:space="preserve"> </w:t>
      </w:r>
      <w:hyperlink w:anchor="page125">
        <w:r>
          <w:rPr>
            <w:rFonts w:ascii="Arial" w:cs="Arial" w:eastAsia="Arial" w:hAnsi="Arial"/>
            <w:sz w:val="18"/>
            <w:szCs w:val="18"/>
            <w:u w:val="single" w:color="auto"/>
            <w:color w:val="0000EE"/>
          </w:rPr>
          <w:t>before May 25, 2017)*</w:t>
        </w:r>
      </w:hyperlink>
    </w:p>
    <w:p>
      <w:pPr>
        <w:spacing w:after="0" w:line="1" w:lineRule="exact"/>
        <w:rPr>
          <w:sz w:val="20"/>
          <w:szCs w:val="20"/>
          <w:color w:val="auto"/>
        </w:rPr>
      </w:pPr>
    </w:p>
    <w:p>
      <w:pPr>
        <w:ind w:left="1040" w:right="280" w:hanging="64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129">
        <w:r>
          <w:rPr>
            <w:rFonts w:ascii="Arial" w:cs="Arial" w:eastAsia="Arial" w:hAnsi="Arial"/>
            <w:sz w:val="18"/>
            <w:szCs w:val="18"/>
            <w:u w:val="single" w:color="auto"/>
            <w:color w:val="0000EE"/>
          </w:rPr>
          <w:t>Form of Non-Qualified Stock Option Agreement for Company Employees under the Northeast Bancorp Amended and Restated 2010 Stock</w:t>
        </w:r>
      </w:hyperlink>
      <w:r>
        <w:rPr>
          <w:rFonts w:ascii="Arial" w:cs="Arial" w:eastAsia="Arial" w:hAnsi="Arial"/>
          <w:sz w:val="18"/>
          <w:szCs w:val="18"/>
          <w:u w:val="single" w:color="auto"/>
          <w:color w:val="0000EE"/>
        </w:rPr>
        <w:t xml:space="preserve"> </w:t>
      </w:r>
      <w:hyperlink w:anchor="page129">
        <w:r>
          <w:rPr>
            <w:rFonts w:ascii="Arial" w:cs="Arial" w:eastAsia="Arial" w:hAnsi="Arial"/>
            <w:sz w:val="18"/>
            <w:szCs w:val="18"/>
            <w:u w:val="single" w:color="auto"/>
            <w:color w:val="0000EE"/>
          </w:rPr>
          <w:t>Option and Incentive Plan.*</w:t>
        </w:r>
      </w:hyperlink>
    </w:p>
    <w:p>
      <w:pPr>
        <w:spacing w:after="0" w:line="1" w:lineRule="exact"/>
        <w:rPr>
          <w:sz w:val="20"/>
          <w:szCs w:val="20"/>
          <w:color w:val="auto"/>
        </w:rPr>
      </w:pPr>
    </w:p>
    <w:p>
      <w:pPr>
        <w:ind w:left="1040" w:right="520" w:hanging="645"/>
        <w:spacing w:after="0" w:line="265" w:lineRule="auto"/>
        <w:tabs>
          <w:tab w:leader="none" w:pos="102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r:id="rId162">
        <w:r>
          <w:rPr>
            <w:rFonts w:ascii="Arial" w:cs="Arial" w:eastAsia="Arial" w:hAnsi="Arial"/>
            <w:sz w:val="17"/>
            <w:szCs w:val="17"/>
            <w:u w:val="single" w:color="auto"/>
            <w:color w:val="0000EE"/>
          </w:rPr>
          <w:t>Non-Qualified Time-Based Stock Option Agreement, dated December 29, 2010, by and between Northeast Bancorp and Richard Wayne</w:t>
        </w:r>
      </w:hyperlink>
      <w:r>
        <w:rPr>
          <w:rFonts w:ascii="Arial" w:cs="Arial" w:eastAsia="Arial" w:hAnsi="Arial"/>
          <w:sz w:val="17"/>
          <w:szCs w:val="17"/>
          <w:u w:val="single" w:color="auto"/>
          <w:color w:val="0000EE"/>
        </w:rPr>
        <w:t xml:space="preserve"> </w:t>
      </w:r>
      <w:hyperlink r:id="rId162">
        <w:r>
          <w:rPr>
            <w:rFonts w:ascii="Arial" w:cs="Arial" w:eastAsia="Arial" w:hAnsi="Arial"/>
            <w:sz w:val="17"/>
            <w:szCs w:val="17"/>
            <w:u w:val="single" w:color="auto"/>
            <w:color w:val="0000EE"/>
          </w:rPr>
          <w:t>(incorporated by reference to Exhibit 10.5 of Northeast Bancorp’s Current Report on Form 8-K filed on January 5, 2011).</w:t>
        </w:r>
      </w:hyperlink>
    </w:p>
    <w:p>
      <w:pPr>
        <w:ind w:left="1040" w:hanging="645"/>
        <w:spacing w:after="0" w:line="281"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63">
        <w:r>
          <w:rPr>
            <w:rFonts w:ascii="Arial" w:cs="Arial" w:eastAsia="Arial" w:hAnsi="Arial"/>
            <w:sz w:val="16"/>
            <w:szCs w:val="16"/>
            <w:u w:val="single" w:color="auto"/>
            <w:color w:val="0000EE"/>
          </w:rPr>
          <w:t>Amended and Restated Non-Qualified Performance-Based Stock Option Agreement, dated March 22, 2013, by and between Northeast Bancorp</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and Richard Wayne (incorporated by reference to Exhibit 10.1 of Northeast Bancorp’s Current Report on Form 8-K filed on March 26, 2013).</w:t>
        </w:r>
      </w:hyperlink>
    </w:p>
    <w:p>
      <w:pPr>
        <w:spacing w:after="0" w:line="1" w:lineRule="exact"/>
        <w:rPr>
          <w:sz w:val="20"/>
          <w:szCs w:val="20"/>
          <w:color w:val="auto"/>
        </w:rPr>
      </w:pPr>
    </w:p>
    <w:p>
      <w:pPr>
        <w:ind w:left="1040" w:right="200" w:hanging="64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64">
        <w:r>
          <w:rPr>
            <w:rFonts w:ascii="Arial" w:cs="Arial" w:eastAsia="Arial" w:hAnsi="Arial"/>
            <w:sz w:val="18"/>
            <w:szCs w:val="18"/>
            <w:u w:val="single" w:color="auto"/>
            <w:color w:val="0000EE"/>
          </w:rPr>
          <w:t>Non-Qualified Stock Option Agreement, dated December 30, 2010, by and between Northeast Bancorp and Robert Glauber (incorporated by</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reference to Exhibit 10.11 of Northeast Bancorp’s Current Report on Form 8-K filed on January 5, 2011).</w:t>
        </w:r>
      </w:hyperlink>
    </w:p>
    <w:p>
      <w:pPr>
        <w:spacing w:after="0" w:line="1" w:lineRule="exact"/>
        <w:rPr>
          <w:sz w:val="20"/>
          <w:szCs w:val="20"/>
          <w:color w:val="auto"/>
        </w:rPr>
      </w:pPr>
    </w:p>
    <w:p>
      <w:pPr>
        <w:jc w:val="right"/>
        <w:ind w:left="400" w:right="100"/>
        <w:spacing w:after="0" w:line="28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10.7+   </w:t>
      </w:r>
      <w:hyperlink r:id="rId165">
        <w:r>
          <w:rPr>
            <w:rFonts w:ascii="Arial" w:cs="Arial" w:eastAsia="Arial" w:hAnsi="Arial"/>
            <w:sz w:val="16"/>
            <w:szCs w:val="16"/>
            <w:u w:val="single" w:color="auto"/>
            <w:color w:val="0000EE"/>
          </w:rPr>
          <w:t>Amended and Restated Performance-Based Stock Appreciation Rights Agreement, dated March 24, 2011, by and between Northeast Bancorp</w:t>
        </w:r>
      </w:hyperlink>
      <w:r>
        <w:rPr>
          <w:rFonts w:ascii="Arial" w:cs="Arial" w:eastAsia="Arial" w:hAnsi="Arial"/>
          <w:sz w:val="16"/>
          <w:szCs w:val="16"/>
          <w:color w:val="auto"/>
        </w:rPr>
        <w:t xml:space="preserve"> </w:t>
      </w:r>
      <w:hyperlink r:id="rId165">
        <w:r>
          <w:rPr>
            <w:rFonts w:ascii="Arial" w:cs="Arial" w:eastAsia="Arial" w:hAnsi="Arial"/>
            <w:sz w:val="16"/>
            <w:szCs w:val="16"/>
            <w:u w:val="single" w:color="auto"/>
            <w:color w:val="0000EE"/>
          </w:rPr>
          <w:t>and Matthew Botein (incorporated by reference to Exhibit 10.1 of Northeast Bancorp’s Current Report on Form 8-K filed on March 30, 2011).</w:t>
        </w:r>
      </w:hyperlink>
    </w:p>
    <w:p>
      <w:pPr>
        <w:spacing w:after="0" w:line="1" w:lineRule="exact"/>
        <w:rPr>
          <w:sz w:val="20"/>
          <w:szCs w:val="20"/>
          <w:color w:val="auto"/>
        </w:rPr>
      </w:pPr>
    </w:p>
    <w:p>
      <w:pPr>
        <w:ind w:left="1040" w:right="740" w:hanging="645"/>
        <w:spacing w:after="0" w:line="290" w:lineRule="auto"/>
        <w:tabs>
          <w:tab w:leader="none" w:pos="102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166">
        <w:r>
          <w:rPr>
            <w:rFonts w:ascii="Arial" w:cs="Arial" w:eastAsia="Arial" w:hAnsi="Arial"/>
            <w:sz w:val="17"/>
            <w:szCs w:val="17"/>
            <w:u w:val="single" w:color="auto"/>
            <w:color w:val="0000EE"/>
          </w:rPr>
          <w:t>Non-Qualified Time-Based Stock Option Agreement, dated March 24, 2011, by and between Northeast Bancorp and Matthew Botein</w:t>
        </w:r>
      </w:hyperlink>
      <w:r>
        <w:rPr>
          <w:rFonts w:ascii="Arial" w:cs="Arial" w:eastAsia="Arial" w:hAnsi="Arial"/>
          <w:sz w:val="17"/>
          <w:szCs w:val="17"/>
          <w:u w:val="single" w:color="auto"/>
          <w:color w:val="0000EE"/>
        </w:rPr>
        <w:t xml:space="preserve"> </w:t>
      </w:r>
      <w:hyperlink r:id="rId166">
        <w:r>
          <w:rPr>
            <w:rFonts w:ascii="Arial" w:cs="Arial" w:eastAsia="Arial" w:hAnsi="Arial"/>
            <w:sz w:val="17"/>
            <w:szCs w:val="17"/>
            <w:u w:val="single" w:color="auto"/>
            <w:color w:val="0000EE"/>
          </w:rPr>
          <w:t>(incorporated by reference to Exhibit 10.2 of Northeast Bancorp’s Current Report on Form 8-K filed on March 30, 2011).</w:t>
        </w:r>
      </w:hyperlink>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040" w:right="200" w:hanging="645"/>
        <w:spacing w:after="0" w:line="274" w:lineRule="auto"/>
        <w:tabs>
          <w:tab w:leader="none" w:pos="102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168">
        <w:r>
          <w:rPr>
            <w:rFonts w:ascii="Arial" w:cs="Arial" w:eastAsia="Arial" w:hAnsi="Arial"/>
            <w:sz w:val="17"/>
            <w:szCs w:val="17"/>
            <w:u w:val="single" w:color="auto"/>
            <w:color w:val="0000EE"/>
          </w:rPr>
          <w:t>Non-Qualified Performance-Based Stock Option Agreement, dated March 24, 2011, by and between Northeast Bancorp and Matthew Botein</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(incorporated by reference to Exhibit 10.3 of Northeast Bancorp’s Current Report on Form 8-K filed on March 30, 2011).</w:t>
        </w:r>
      </w:hyperlink>
    </w:p>
    <w:p>
      <w:pPr>
        <w:ind w:left="1040" w:hanging="735"/>
        <w:spacing w:after="0" w:line="265" w:lineRule="auto"/>
        <w:tabs>
          <w:tab w:leader="none" w:pos="102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169">
        <w:r>
          <w:rPr>
            <w:rFonts w:ascii="Arial" w:cs="Arial" w:eastAsia="Arial" w:hAnsi="Arial"/>
            <w:sz w:val="17"/>
            <w:szCs w:val="17"/>
            <w:u w:val="single" w:color="auto"/>
            <w:color w:val="0000EE"/>
          </w:rPr>
          <w:t>Form of Indemnification Agreement, dated as of December 29, 2010, by and between Northeast Bancorp and each of the members of the Board</w:t>
        </w:r>
      </w:hyperlink>
      <w:r>
        <w:rPr>
          <w:rFonts w:ascii="Arial" w:cs="Arial" w:eastAsia="Arial" w:hAnsi="Arial"/>
          <w:sz w:val="17"/>
          <w:szCs w:val="17"/>
          <w:u w:val="single" w:color="auto"/>
          <w:color w:val="0000EE"/>
        </w:rPr>
        <w:t xml:space="preserve"> </w:t>
      </w:r>
      <w:hyperlink r:id="rId169">
        <w:r>
          <w:rPr>
            <w:rFonts w:ascii="Arial" w:cs="Arial" w:eastAsia="Arial" w:hAnsi="Arial"/>
            <w:sz w:val="17"/>
            <w:szCs w:val="17"/>
            <w:u w:val="single" w:color="auto"/>
            <w:color w:val="0000EE"/>
          </w:rPr>
          <w:t>(incorporated by reference to Exhibit 10.1 of Northeast Bancorp’s Current Report on Form 8-K filed on January 5, 2011).</w:t>
        </w:r>
      </w:hyperlink>
    </w:p>
    <w:p>
      <w:pPr>
        <w:ind w:left="1040" w:right="420" w:hanging="728"/>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70">
        <w:r>
          <w:rPr>
            <w:rFonts w:ascii="Arial" w:cs="Arial" w:eastAsia="Arial" w:hAnsi="Arial"/>
            <w:sz w:val="18"/>
            <w:szCs w:val="18"/>
            <w:u w:val="single" w:color="auto"/>
            <w:color w:val="0000EE"/>
          </w:rPr>
          <w:t>Employment Agreement, dated December 30, 2010, by and between Northeast Bancorp and Richard Wayne (incorporated by reference to</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Exhibit 10.2 of Northeast Bancorp’s Current Report on Form 8-K filed on January 5, 2011).</w:t>
        </w:r>
      </w:hyperlink>
    </w:p>
    <w:p>
      <w:pPr>
        <w:spacing w:after="0" w:line="1" w:lineRule="exact"/>
        <w:rPr>
          <w:sz w:val="20"/>
          <w:szCs w:val="20"/>
          <w:color w:val="auto"/>
        </w:rPr>
      </w:pPr>
    </w:p>
    <w:p>
      <w:pPr>
        <w:ind w:left="1040" w:right="740" w:hanging="634"/>
        <w:spacing w:after="0" w:line="265" w:lineRule="auto"/>
        <w:tabs>
          <w:tab w:leader="none" w:pos="102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171">
        <w:r>
          <w:rPr>
            <w:rFonts w:ascii="Arial" w:cs="Arial" w:eastAsia="Arial" w:hAnsi="Arial"/>
            <w:sz w:val="17"/>
            <w:szCs w:val="17"/>
            <w:u w:val="single" w:color="auto"/>
            <w:color w:val="0000EE"/>
          </w:rPr>
          <w:t>Subordinated Note Purchase Agreement, dated June 29, 2016, by and among Northeast Bancorp and the Purchasers identified therein</w:t>
        </w:r>
      </w:hyperlink>
      <w:r>
        <w:rPr>
          <w:rFonts w:ascii="Arial" w:cs="Arial" w:eastAsia="Arial" w:hAnsi="Arial"/>
          <w:sz w:val="17"/>
          <w:szCs w:val="17"/>
          <w:u w:val="single" w:color="auto"/>
          <w:color w:val="0000EE"/>
        </w:rPr>
        <w:t xml:space="preserve"> </w:t>
      </w:r>
      <w:hyperlink r:id="rId171">
        <w:r>
          <w:rPr>
            <w:rFonts w:ascii="Arial" w:cs="Arial" w:eastAsia="Arial" w:hAnsi="Arial"/>
            <w:sz w:val="17"/>
            <w:szCs w:val="17"/>
            <w:u w:val="single" w:color="auto"/>
            <w:color w:val="0000EE"/>
          </w:rPr>
          <w:t>(incorporated by reference to Exhibit 10.1 of Northeast Bancorp’s Current Report on Form 8-K filed on June 29, 2016).</w:t>
        </w:r>
      </w:hyperlink>
    </w:p>
    <w:p>
      <w:pPr>
        <w:ind w:left="500" w:right="7780" w:firstLine="138"/>
        <w:spacing w:after="0" w:line="265" w:lineRule="auto"/>
        <w:tabs>
          <w:tab w:leader="none" w:pos="1044" w:val="left"/>
        </w:tabs>
        <w:numPr>
          <w:ilvl w:val="0"/>
          <w:numId w:val="59"/>
        </w:numPr>
        <w:rPr>
          <w:rFonts w:ascii="Arial" w:cs="Arial" w:eastAsia="Arial" w:hAnsi="Arial"/>
          <w:sz w:val="17"/>
          <w:szCs w:val="17"/>
          <w:color w:val="000000"/>
        </w:rPr>
      </w:pPr>
      <w:hyperlink w:anchor="page134">
        <w:r>
          <w:rPr>
            <w:rFonts w:ascii="Arial" w:cs="Arial" w:eastAsia="Arial" w:hAnsi="Arial"/>
            <w:sz w:val="17"/>
            <w:szCs w:val="17"/>
            <w:u w:val="single" w:color="auto"/>
            <w:color w:val="0000EE"/>
          </w:rPr>
          <w:t>Subsidiaries of Northeast Bancorp*</w:t>
        </w:r>
      </w:hyperlink>
      <w:r>
        <w:rPr>
          <w:rFonts w:ascii="Arial" w:cs="Arial" w:eastAsia="Arial" w:hAnsi="Arial"/>
          <w:sz w:val="17"/>
          <w:szCs w:val="17"/>
          <w:u w:val="single" w:color="auto"/>
          <w:color w:val="0000EE"/>
        </w:rPr>
        <w:t xml:space="preserve"> </w:t>
      </w:r>
      <w:r>
        <w:rPr>
          <w:rFonts w:ascii="Arial" w:cs="Arial" w:eastAsia="Arial" w:hAnsi="Arial"/>
          <w:sz w:val="17"/>
          <w:szCs w:val="17"/>
          <w:color w:val="000000"/>
        </w:rPr>
        <w:t xml:space="preserve">23.1 </w:t>
      </w:r>
      <w:hyperlink w:anchor="page135">
        <w:r>
          <w:rPr>
            <w:rFonts w:ascii="Arial" w:cs="Arial" w:eastAsia="Arial" w:hAnsi="Arial"/>
            <w:sz w:val="17"/>
            <w:szCs w:val="17"/>
            <w:u w:val="single" w:color="auto"/>
            <w:color w:val="0000EE"/>
          </w:rPr>
          <w:t>Consent of RSM US LLP*</w:t>
        </w:r>
      </w:hyperlink>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23.2   </w:t>
      </w:r>
      <w:hyperlink w:anchor="page136">
        <w:r>
          <w:rPr>
            <w:rFonts w:ascii="Arial" w:cs="Arial" w:eastAsia="Arial" w:hAnsi="Arial"/>
            <w:sz w:val="18"/>
            <w:szCs w:val="18"/>
            <w:u w:val="single" w:color="auto"/>
            <w:color w:val="0000EE"/>
          </w:rPr>
          <w:t>Consent of Ernst and Young LLP*</w:t>
        </w:r>
      </w:hyperlink>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37">
        <w:r>
          <w:rPr>
            <w:rFonts w:ascii="Arial" w:cs="Arial" w:eastAsia="Arial" w:hAnsi="Arial"/>
            <w:sz w:val="18"/>
            <w:szCs w:val="18"/>
            <w:u w:val="single" w:color="auto"/>
            <w:color w:val="0000EE"/>
          </w:rPr>
          <w:t>Rule 13a-14(a)/15d-14(a) Certification of the Chief Executive Officer pursuant to Section 302 of the Sarbanes-Oxley Act of 2002.*</w:t>
        </w:r>
      </w:hyperlink>
    </w:p>
    <w:p>
      <w:pPr>
        <w:spacing w:after="0" w:line="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38">
        <w:r>
          <w:rPr>
            <w:rFonts w:ascii="Arial" w:cs="Arial" w:eastAsia="Arial" w:hAnsi="Arial"/>
            <w:sz w:val="18"/>
            <w:szCs w:val="18"/>
            <w:u w:val="single" w:color="auto"/>
            <w:color w:val="0000EE"/>
          </w:rPr>
          <w:t>Rule 13a-14(a)/15d-14(a) Certification of the Chief Financial Officer pursuant to Section 302 of the Sarbanes-Oxley Act of 2002.*</w:t>
        </w:r>
      </w:hyperlink>
    </w:p>
    <w:p>
      <w:pPr>
        <w:spacing w:after="0" w:line="9" w:lineRule="exact"/>
        <w:rPr>
          <w:rFonts w:ascii="Arial" w:cs="Arial" w:eastAsia="Arial" w:hAnsi="Arial"/>
          <w:sz w:val="18"/>
          <w:szCs w:val="18"/>
          <w:color w:val="auto"/>
        </w:rPr>
      </w:pPr>
    </w:p>
    <w:p>
      <w:pPr>
        <w:ind w:left="1040" w:right="60" w:hanging="544"/>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32.1 </w:t>
      </w:r>
      <w:hyperlink w:anchor="page139">
        <w:r>
          <w:rPr>
            <w:rFonts w:ascii="Arial" w:cs="Arial" w:eastAsia="Arial" w:hAnsi="Arial"/>
            <w:sz w:val="18"/>
            <w:szCs w:val="18"/>
            <w:u w:val="single" w:color="auto"/>
            <w:color w:val="0000EE"/>
          </w:rPr>
          <w:t>Rule 13a-14(b) Certifications of the Chief Executive Officer and Chief Financial Officer Pursuant to Section 906 of the Sarbanes-Oxley Act of</w:t>
        </w:r>
      </w:hyperlink>
      <w:r>
        <w:rPr>
          <w:rFonts w:ascii="Arial" w:cs="Arial" w:eastAsia="Arial" w:hAnsi="Arial"/>
          <w:sz w:val="18"/>
          <w:szCs w:val="18"/>
          <w:color w:val="auto"/>
        </w:rPr>
        <w:t xml:space="preserve"> </w:t>
      </w:r>
      <w:hyperlink w:anchor="page139">
        <w:r>
          <w:rPr>
            <w:rFonts w:ascii="Arial" w:cs="Arial" w:eastAsia="Arial" w:hAnsi="Arial"/>
            <w:sz w:val="18"/>
            <w:szCs w:val="18"/>
            <w:u w:val="single" w:color="auto"/>
            <w:color w:val="0000EE"/>
          </w:rPr>
          <w:t>2002.*</w:t>
        </w:r>
      </w:hyperlink>
    </w:p>
    <w:tbl>
      <w:tblPr>
        <w:tblLayout w:type="fixed"/>
        <w:tblInd w:w="140" w:type="dxa"/>
        <w:tblCellMar>
          <w:top w:w="0" w:type="dxa"/>
          <w:left w:w="0" w:type="dxa"/>
          <w:bottom w:w="0" w:type="dxa"/>
          <w:right w:w="0" w:type="dxa"/>
        </w:tblCellMar>
      </w:tblPr>
      <w:tr>
        <w:trPr>
          <w:trHeight w:val="203"/>
        </w:trPr>
        <w:tc>
          <w:tcPr>
            <w:tcW w:w="8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101.INS</w:t>
            </w:r>
          </w:p>
        </w:tc>
        <w:tc>
          <w:tcPr>
            <w:tcW w:w="4680" w:type="dxa"/>
            <w:vAlign w:val="bottom"/>
          </w:tcPr>
          <w:p>
            <w:pPr>
              <w:ind w:left="100"/>
              <w:spacing w:after="0" w:line="203" w:lineRule="exact"/>
              <w:rPr>
                <w:sz w:val="20"/>
                <w:szCs w:val="20"/>
                <w:color w:val="auto"/>
              </w:rPr>
            </w:pPr>
            <w:r>
              <w:rPr>
                <w:rFonts w:ascii="Arial" w:cs="Arial" w:eastAsia="Arial" w:hAnsi="Arial"/>
                <w:sz w:val="18"/>
                <w:szCs w:val="18"/>
                <w:color w:val="auto"/>
              </w:rPr>
              <w:t>XBRL Instance Document*</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0"/>
              </w:rPr>
              <w:t>101.SCH</w:t>
            </w:r>
          </w:p>
        </w:tc>
        <w:tc>
          <w:tcPr>
            <w:tcW w:w="468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4"/>
              </w:rPr>
              <w:t>101.CAL</w:t>
            </w:r>
          </w:p>
        </w:tc>
        <w:tc>
          <w:tcPr>
            <w:tcW w:w="4680" w:type="dxa"/>
            <w:vAlign w:val="bottom"/>
          </w:tcPr>
          <w:p>
            <w:pPr>
              <w:ind w:left="10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2"/>
              </w:rPr>
              <w:t>101.DEF</w:t>
            </w:r>
          </w:p>
        </w:tc>
        <w:tc>
          <w:tcPr>
            <w:tcW w:w="4680" w:type="dxa"/>
            <w:vAlign w:val="bottom"/>
          </w:tcPr>
          <w:p>
            <w:pPr>
              <w:ind w:left="1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5"/>
              </w:rPr>
              <w:t>101.LAB</w:t>
            </w:r>
          </w:p>
        </w:tc>
        <w:tc>
          <w:tcPr>
            <w:tcW w:w="468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1"/>
              </w:rPr>
              <w:t>101.PRE</w:t>
            </w:r>
          </w:p>
        </w:tc>
        <w:tc>
          <w:tcPr>
            <w:tcW w:w="4680" w:type="dxa"/>
            <w:vAlign w:val="bottom"/>
          </w:tcPr>
          <w:p>
            <w:pPr>
              <w:ind w:left="10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 Management contract or compensatory plan or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3880" w:type="dxa"/>
            <w:vAlign w:val="bottom"/>
            <w:gridSpan w:val="2"/>
          </w:tcPr>
          <w:p>
            <w:pPr>
              <w:ind w:left="1920"/>
              <w:spacing w:after="0"/>
              <w:rPr>
                <w:sz w:val="20"/>
                <w:szCs w:val="20"/>
                <w:color w:val="auto"/>
              </w:rPr>
            </w:pPr>
            <w:r>
              <w:rPr>
                <w:rFonts w:ascii="Arial" w:cs="Arial" w:eastAsia="Arial" w:hAnsi="Arial"/>
                <w:sz w:val="18"/>
                <w:szCs w:val="18"/>
                <w:color w:val="auto"/>
                <w:w w:val="94"/>
              </w:rPr>
              <w:t>NORTHEAST BANCORP</w:t>
            </w:r>
          </w:p>
        </w:tc>
        <w:tc>
          <w:tcPr>
            <w:tcW w:w="3720" w:type="dxa"/>
            <w:vAlign w:val="bottom"/>
          </w:tcPr>
          <w:p>
            <w:pPr>
              <w:spacing w:after="0"/>
              <w:rPr>
                <w:sz w:val="20"/>
                <w:szCs w:val="20"/>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September 13, 2017</w:t>
            </w:r>
          </w:p>
        </w:tc>
        <w:tc>
          <w:tcPr>
            <w:tcW w:w="388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3720" w:type="dxa"/>
            <w:vAlign w:val="bottom"/>
          </w:tcPr>
          <w:p>
            <w:pPr>
              <w:jc w:val="center"/>
              <w:ind w:right="1390"/>
              <w:spacing w:after="0"/>
              <w:rPr>
                <w:sz w:val="20"/>
                <w:szCs w:val="20"/>
                <w:color w:val="auto"/>
              </w:rPr>
            </w:pPr>
            <w:r>
              <w:rPr>
                <w:rFonts w:ascii="Arial" w:cs="Arial" w:eastAsia="Arial" w:hAnsi="Arial"/>
                <w:sz w:val="18"/>
                <w:szCs w:val="18"/>
                <w:color w:val="auto"/>
                <w:w w:val="97"/>
              </w:rPr>
              <w:t>/s/ RICHARD WAYNE</w:t>
            </w:r>
          </w:p>
        </w:tc>
      </w:tr>
      <w:tr>
        <w:trPr>
          <w:trHeight w:val="191"/>
        </w:trPr>
        <w:tc>
          <w:tcPr>
            <w:tcW w:w="3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tcPr>
          <w:p>
            <w:pPr>
              <w:jc w:val="center"/>
              <w:ind w:right="1390"/>
              <w:spacing w:after="0" w:line="191" w:lineRule="exact"/>
              <w:rPr>
                <w:sz w:val="20"/>
                <w:szCs w:val="20"/>
                <w:color w:val="auto"/>
              </w:rPr>
            </w:pPr>
            <w:r>
              <w:rPr>
                <w:rFonts w:ascii="Arial" w:cs="Arial" w:eastAsia="Arial" w:hAnsi="Arial"/>
                <w:sz w:val="18"/>
                <w:szCs w:val="18"/>
                <w:b w:val="1"/>
                <w:bCs w:val="1"/>
                <w:color w:val="auto"/>
                <w:w w:val="92"/>
              </w:rPr>
              <w:t>Richard Wayne</w:t>
            </w:r>
          </w:p>
        </w:tc>
      </w:tr>
      <w:tr>
        <w:trPr>
          <w:trHeight w:val="216"/>
        </w:trPr>
        <w:tc>
          <w:tcPr>
            <w:tcW w:w="3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7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3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(Principal Executive Officer)</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20" w:type="dxa"/>
            <w:vAlign w:val="bottom"/>
          </w:tcPr>
          <w:p>
            <w:pPr>
              <w:spacing w:after="0"/>
              <w:rPr>
                <w:sz w:val="20"/>
                <w:szCs w:val="20"/>
                <w:color w:val="auto"/>
              </w:rPr>
            </w:pPr>
          </w:p>
        </w:tc>
        <w:tc>
          <w:tcPr>
            <w:tcW w:w="390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Date</w:t>
            </w:r>
          </w:p>
        </w:tc>
      </w:tr>
      <w:tr>
        <w:trPr>
          <w:trHeight w:val="426"/>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RICHARD WAYNE</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2017</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Wayne</w:t>
            </w:r>
          </w:p>
        </w:tc>
        <w:tc>
          <w:tcPr>
            <w:tcW w:w="220" w:type="dxa"/>
            <w:vAlign w:val="bottom"/>
          </w:tcPr>
          <w:p>
            <w:pPr>
              <w:spacing w:after="0"/>
              <w:rPr>
                <w:sz w:val="19"/>
                <w:szCs w:val="19"/>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BRIAN SHAUGHNESSY</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 (Principal Financial</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2017</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8"/>
              </w:rPr>
              <w:t>Brian Shaughnessy</w:t>
            </w:r>
          </w:p>
        </w:tc>
        <w:tc>
          <w:tcPr>
            <w:tcW w:w="220" w:type="dxa"/>
            <w:vAlign w:val="bottom"/>
          </w:tcPr>
          <w:p>
            <w:pPr>
              <w:spacing w:after="0"/>
              <w:rPr>
                <w:sz w:val="19"/>
                <w:szCs w:val="19"/>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Officer and Principal Accounting Officer)</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ROBERT GLAUBER</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2017</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4"/>
              </w:rPr>
              <w:t>Robert Glauber</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MATTHEW BOTEIN</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2017</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3"/>
              </w:rPr>
              <w:t>Matthew Botein</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CHERYL DORSEY</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2017</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Cheryl Dorsey</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C. ORESTIS</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2017</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0"/>
              </w:rPr>
              <w:t>John C. Orestis</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TANNER</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2017</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David Tanner</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JUDITH E. WALLINGFORD</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2017</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3"/>
              </w:rPr>
              <w:t>Judith E. Wallingford</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118"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2010 STOCK OPTION AND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name of the plan is the Northeast Bancorp Amended and Restated 2010 Stock Option and Incentive Plan (the “Plan”). The purpose of the Plan is to encourage and enable the officers, employees, Non-Employee Directors and other key persons (including Consultants) of Northeast Bancorp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shareholders, thereby stimulating their efforts on the Company’s behalf and strengthening their desire to remain with the Company.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right="840" w:firstLine="441"/>
        <w:spacing w:after="0" w:line="308" w:lineRule="auto"/>
        <w:rPr>
          <w:sz w:val="20"/>
          <w:szCs w:val="20"/>
          <w:color w:val="auto"/>
        </w:rPr>
      </w:pPr>
      <w:r>
        <w:rPr>
          <w:rFonts w:ascii="Arial" w:cs="Arial" w:eastAsia="Arial" w:hAnsi="Arial"/>
          <w:sz w:val="17"/>
          <w:szCs w:val="17"/>
          <w:i w:val="1"/>
          <w:iCs w:val="1"/>
          <w:color w:val="auto"/>
        </w:rPr>
        <w:t xml:space="preserve">“Administrator” </w:t>
      </w:r>
      <w:r>
        <w:rPr>
          <w:rFonts w:ascii="Arial" w:cs="Arial" w:eastAsia="Arial" w:hAnsi="Arial"/>
          <w:sz w:val="17"/>
          <w:szCs w:val="17"/>
          <w:color w:val="auto"/>
        </w:rPr>
        <w:t>means either the Board or the compensation committee of the Board or a similar committee performing the functions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which is comprised of not less than two Non-Employee Directors who are independent.</w:t>
      </w:r>
    </w:p>
    <w:p>
      <w:pPr>
        <w:spacing w:after="0" w:line="147"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Stock Appreciation Rights, Restricted Stock Units, Restricted Stock Awards, Unrestricted Stock Awards, Cash-Based Awards, Performance Share Awards and Dividend Equivalent Rights.</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 applicable to an Award granted under the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Certificate is subject to the terms and conditions of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37"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i w:val="1"/>
          <w:iCs w:val="1"/>
          <w:color w:val="auto"/>
        </w:rPr>
        <w:t xml:space="preserve">“Consultant” </w:t>
      </w:r>
      <w:r>
        <w:rPr>
          <w:rFonts w:ascii="Arial" w:cs="Arial" w:eastAsia="Arial" w:hAnsi="Arial"/>
          <w:sz w:val="17"/>
          <w:szCs w:val="17"/>
          <w:color w:val="auto"/>
        </w:rPr>
        <w:t>means any natural person that provides bona fide services to the Company, and such services are not in connection with the offer or sale</w:t>
      </w:r>
      <w:r>
        <w:rPr>
          <w:rFonts w:ascii="Arial" w:cs="Arial" w:eastAsia="Arial" w:hAnsi="Arial"/>
          <w:sz w:val="17"/>
          <w:szCs w:val="17"/>
          <w:i w:val="1"/>
          <w:iCs w:val="1"/>
          <w:color w:val="auto"/>
        </w:rPr>
        <w:t xml:space="preserve"> </w:t>
      </w:r>
      <w:r>
        <w:rPr>
          <w:rFonts w:ascii="Arial" w:cs="Arial" w:eastAsia="Arial" w:hAnsi="Arial"/>
          <w:sz w:val="17"/>
          <w:szCs w:val="17"/>
          <w:color w:val="auto"/>
        </w:rPr>
        <w:t>of securities in a capital-raising transaction and do not directly or indirectly promote or maintain a market for the Company’s securities.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“Covered Employee” </w:t>
      </w:r>
      <w:r>
        <w:rPr>
          <w:rFonts w:ascii="Arial" w:cs="Arial" w:eastAsia="Arial" w:hAnsi="Arial"/>
          <w:sz w:val="18"/>
          <w:szCs w:val="18"/>
          <w:color w:val="auto"/>
        </w:rPr>
        <w:t>means an employee who is a “Covered Employee” within the meaning of Section 162(m) of the Code.</w:t>
      </w:r>
    </w:p>
    <w:p>
      <w:pPr>
        <w:spacing w:after="0" w:line="225"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Stock specified in the Dividend Equivalent Right (or other award to which it relates) if such shares had been issued to and held by the grantee.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is approved by shareholders as set forth in Section 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of the Stock on any given date means the fair market value of the Stock determined in good faith by the Administrator;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that if the Stock is admitted to quotation on the National Association of Securities Dealers Automated Quotation System (“NASDAQ”), NASDAQ Global Market or another national securities exchange, the determination shall be made by reference to market quotations. If there are no market quotations for such date, the determination shall be made by reference to the last date preceding such date for which there are market quotations.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465455</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ind w:left="440"/>
        <w:spacing w:after="0"/>
        <w:rPr>
          <w:sz w:val="20"/>
          <w:szCs w:val="20"/>
          <w:color w:val="auto"/>
        </w:rPr>
      </w:pPr>
      <w:r>
        <w:rPr>
          <w:rFonts w:ascii="Arial" w:cs="Arial" w:eastAsia="Arial" w:hAnsi="Arial"/>
          <w:sz w:val="17"/>
          <w:szCs w:val="17"/>
          <w:i w:val="1"/>
          <w:iCs w:val="1"/>
          <w:color w:val="auto"/>
        </w:rPr>
        <w:t xml:space="preserve">“Incentive Stock Option” </w:t>
      </w:r>
      <w:r>
        <w:rPr>
          <w:rFonts w:ascii="Arial" w:cs="Arial" w:eastAsia="Arial" w:hAnsi="Arial"/>
          <w:sz w:val="17"/>
          <w:szCs w:val="17"/>
          <w:color w:val="auto"/>
        </w:rPr>
        <w:t>means any Stock Option designated and qualified as an “incentive stock option” as defined in Section 422 of the Code.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i w:val="1"/>
          <w:iCs w:val="1"/>
          <w:color w:val="auto"/>
        </w:rPr>
        <w:t xml:space="preserve">“Non-Voting Common Stock” </w:t>
      </w:r>
      <w:r>
        <w:rPr>
          <w:rFonts w:ascii="Arial" w:cs="Arial" w:eastAsia="Arial" w:hAnsi="Arial"/>
          <w:sz w:val="18"/>
          <w:szCs w:val="18"/>
          <w:color w:val="auto"/>
        </w:rPr>
        <w:t>means the Non-Voting Common Stock, $1.00 par value per share, of the Company, subject to adjustments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i w:val="1"/>
          <w:iCs w:val="1"/>
          <w:color w:val="auto"/>
        </w:rPr>
        <w:t xml:space="preserve">“Performance-Based Award” </w:t>
      </w:r>
      <w:r>
        <w:rPr>
          <w:rFonts w:ascii="Arial" w:cs="Arial" w:eastAsia="Arial" w:hAnsi="Arial"/>
          <w:sz w:val="18"/>
          <w:szCs w:val="18"/>
          <w:color w:val="auto"/>
        </w:rPr>
        <w:t>means any Restricted Stock Award, Restricted Stock Units, Performance Share Award or Cash-Based Award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Employee that is intended to qualify as “performance-based compensation” under Section 162(m) of the Code and the regulations promulgated thereunder.</w:t>
      </w:r>
    </w:p>
    <w:p>
      <w:pPr>
        <w:spacing w:after="0" w:line="181"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i w:val="1"/>
          <w:iCs w:val="1"/>
          <w:color w:val="auto"/>
        </w:rPr>
        <w:t xml:space="preserve">“Performance Criteria” </w:t>
      </w:r>
      <w:r>
        <w:rPr>
          <w:rFonts w:ascii="Arial" w:cs="Arial" w:eastAsia="Arial" w:hAnsi="Arial"/>
          <w:sz w:val="16"/>
          <w:szCs w:val="16"/>
          <w:color w:val="auto"/>
        </w:rPr>
        <w:t>means the criteria that the Administrator selects for purposes of establishing the Performance Goal or Performance Goals for</w:t>
      </w:r>
      <w:r>
        <w:rPr>
          <w:rFonts w:ascii="Arial" w:cs="Arial" w:eastAsia="Arial" w:hAnsi="Arial"/>
          <w:sz w:val="16"/>
          <w:szCs w:val="16"/>
          <w:i w:val="1"/>
          <w:iCs w:val="1"/>
          <w:color w:val="auto"/>
        </w:rPr>
        <w:t xml:space="preserve"> </w:t>
      </w:r>
      <w:r>
        <w:rPr>
          <w:rFonts w:ascii="Arial" w:cs="Arial" w:eastAsia="Arial" w:hAnsi="Arial"/>
          <w:sz w:val="16"/>
          <w:szCs w:val="16"/>
          <w:color w:val="auto"/>
        </w:rPr>
        <w:t>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shareholder returns,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67"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i w:val="1"/>
          <w:iCs w:val="1"/>
          <w:color w:val="auto"/>
        </w:rPr>
        <w:t xml:space="preserve">“Performance Cycle” </w:t>
      </w:r>
      <w:r>
        <w:rPr>
          <w:rFonts w:ascii="Arial" w:cs="Arial" w:eastAsia="Arial" w:hAnsi="Arial"/>
          <w:sz w:val="16"/>
          <w:szCs w:val="16"/>
          <w:color w:val="auto"/>
        </w:rPr>
        <w:t>means one or more periods of time, which may be of varying and overlapping durations, as the Administrator may select, over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attainment of one or more Performance Criteria will be measured for the purpose of determining a grantee’s right to and the payment of a Restricted Stock Award, Restricted Stock Units, Performance Share Award or Cash-Based Award. Each such period shall not be less than 12 months.</w:t>
      </w:r>
    </w:p>
    <w:p>
      <w:pPr>
        <w:spacing w:after="0" w:line="14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means, for a Performance Cycle, the specific goals established in writing by the Administrator for a Performance Cycle based</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Performance Criteria.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“Performance Share Award” </w:t>
      </w:r>
      <w:r>
        <w:rPr>
          <w:rFonts w:ascii="Arial" w:cs="Arial" w:eastAsia="Arial" w:hAnsi="Arial"/>
          <w:sz w:val="16"/>
          <w:szCs w:val="16"/>
          <w:color w:val="auto"/>
        </w:rPr>
        <w:t>means an Award entitling the recipient to acquire shares of Stock upon the attainment of specified Performance Goals.</w:t>
      </w:r>
    </w:p>
    <w:p>
      <w:pPr>
        <w:spacing w:after="0" w:line="248" w:lineRule="exact"/>
        <w:rPr>
          <w:sz w:val="20"/>
          <w:szCs w:val="20"/>
          <w:color w:val="auto"/>
        </w:rPr>
      </w:pPr>
    </w:p>
    <w:p>
      <w:pPr>
        <w:ind w:right="720" w:firstLine="441"/>
        <w:spacing w:after="0" w:line="308" w:lineRule="auto"/>
        <w:rPr>
          <w:sz w:val="20"/>
          <w:szCs w:val="20"/>
          <w:color w:val="auto"/>
        </w:rPr>
      </w:pPr>
      <w:r>
        <w:rPr>
          <w:rFonts w:ascii="Arial" w:cs="Arial" w:eastAsia="Arial" w:hAnsi="Arial"/>
          <w:sz w:val="17"/>
          <w:szCs w:val="17"/>
          <w:i w:val="1"/>
          <w:iCs w:val="1"/>
          <w:color w:val="auto"/>
        </w:rPr>
        <w:t xml:space="preserve">“Restricted Stock Award” </w:t>
      </w:r>
      <w:r>
        <w:rPr>
          <w:rFonts w:ascii="Arial" w:cs="Arial" w:eastAsia="Arial" w:hAnsi="Arial"/>
          <w:sz w:val="17"/>
          <w:szCs w:val="17"/>
          <w:color w:val="auto"/>
        </w:rPr>
        <w:t>means an Award entitling the recipient to acquire, at such purchase price (which may be zero) as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shares of Stock subject to such restrictions and conditions as the Administrator may determine at the time of grant.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phantom stock units to a grantee.</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shall mean (i) the sale of all or substantially all of the assets of the Company on a consolidated basis to an unrelated person or entity, (ii) a</w:t>
      </w:r>
      <w:r>
        <w:rPr>
          <w:rFonts w:ascii="Arial" w:cs="Arial" w:eastAsia="Arial" w:hAnsi="Arial"/>
          <w:sz w:val="17"/>
          <w:szCs w:val="17"/>
          <w:i w:val="1"/>
          <w:iCs w:val="1"/>
          <w:color w:val="auto"/>
        </w:rPr>
        <w:t xml:space="preserve"> </w:t>
      </w:r>
      <w:r>
        <w:rPr>
          <w:rFonts w:ascii="Arial" w:cs="Arial" w:eastAsia="Arial" w:hAnsi="Arial"/>
          <w:sz w:val="17"/>
          <w:szCs w:val="17"/>
          <w:color w:val="auto"/>
        </w:rPr>
        <w:t>merger, reorganization or consolidation pursuant to which the holders of the Company’s outstanding voting power immediately prior to such transaction do not own a majority of the outstanding voting power of the resulting or successor entity (or its ultimate parent, if applicable) immediately upon completion of such transaction, or (iii) the sale of all of the Stock of the Company to an unrelated person or entity.</w:t>
      </w:r>
    </w:p>
    <w:p>
      <w:pPr>
        <w:spacing w:after="0" w:line="17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shareholders, per share of Stock pursuant to a Sale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8" w:name="page109"/>
    <w:bookmarkEnd w:id="108"/>
    <w:p>
      <w:pPr>
        <w:ind w:left="44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Voting Common Stock and/or the Non-Voting Common Stock, as the case may be.</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having a value equal to the excess of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Stock on the date of exercise over the exercise price of the Stock Appreciation Right multiplied by the number of shares of Stock with respect to which the Stock Appreciation Right shall have been exercised.</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 rules of Section 424(d) of the Code)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 percent of the combined voting power of all classes of stock of the Company or any parent or subsidiary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“Voting Common Stock” </w:t>
      </w:r>
      <w:r>
        <w:rPr>
          <w:rFonts w:ascii="Arial" w:cs="Arial" w:eastAsia="Arial" w:hAnsi="Arial"/>
          <w:sz w:val="16"/>
          <w:szCs w:val="16"/>
          <w:color w:val="auto"/>
        </w:rPr>
        <w:t>means the Voting Common Stock, $1.00 par value per share, of the Company, subject to adjustments pursuant to Section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 AND DETERMINE AWARDS</w:t>
      </w:r>
    </w:p>
    <w:p>
      <w:pPr>
        <w:spacing w:after="0" w:line="225" w:lineRule="exact"/>
        <w:rPr>
          <w:sz w:val="20"/>
          <w:szCs w:val="20"/>
          <w:color w:val="auto"/>
        </w:rPr>
      </w:pPr>
    </w:p>
    <w:p>
      <w:pPr>
        <w:ind w:right="80" w:firstLine="449"/>
        <w:spacing w:after="0" w:line="342" w:lineRule="auto"/>
        <w:tabs>
          <w:tab w:leader="none" w:pos="68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Administration of Plan</w:t>
      </w:r>
      <w:r>
        <w:rPr>
          <w:rFonts w:ascii="Arial" w:cs="Arial" w:eastAsia="Arial" w:hAnsi="Arial"/>
          <w:sz w:val="16"/>
          <w:szCs w:val="16"/>
          <w:color w:val="auto"/>
        </w:rPr>
        <w:t>. The Plan shall be administered by the Administrator, provided that the amount, timing and terms of the grants of Awards to Non-Employee Directors shall be determined by the compensation committee or similar committee comprised solely of Non-Employee Directors.</w:t>
      </w:r>
    </w:p>
    <w:p>
      <w:pPr>
        <w:spacing w:after="0" w:line="123" w:lineRule="exact"/>
        <w:rPr>
          <w:rFonts w:ascii="Arial" w:cs="Arial" w:eastAsia="Arial" w:hAnsi="Arial"/>
          <w:sz w:val="16"/>
          <w:szCs w:val="16"/>
          <w:color w:val="auto"/>
        </w:rPr>
      </w:pPr>
    </w:p>
    <w:p>
      <w:pPr>
        <w:ind w:right="60" w:firstLine="449"/>
        <w:spacing w:after="0" w:line="277" w:lineRule="auto"/>
        <w:tabs>
          <w:tab w:leader="none" w:pos="69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70" w:lineRule="exact"/>
        <w:rPr>
          <w:rFonts w:ascii="Arial" w:cs="Arial" w:eastAsia="Arial" w:hAnsi="Arial"/>
          <w:sz w:val="18"/>
          <w:szCs w:val="18"/>
          <w:color w:val="auto"/>
        </w:rPr>
      </w:pPr>
    </w:p>
    <w:p>
      <w:pPr>
        <w:ind w:left="1100" w:hanging="211"/>
        <w:spacing w:after="0"/>
        <w:tabs>
          <w:tab w:leader="none" w:pos="11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ind w:left="440" w:right="140" w:firstLine="449"/>
        <w:spacing w:after="0" w:line="264" w:lineRule="auto"/>
        <w:tabs>
          <w:tab w:leader="none" w:pos="1146"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81" w:lineRule="exact"/>
        <w:rPr>
          <w:rFonts w:ascii="Arial" w:cs="Arial" w:eastAsia="Arial" w:hAnsi="Arial"/>
          <w:sz w:val="18"/>
          <w:szCs w:val="18"/>
          <w:color w:val="auto"/>
        </w:rPr>
      </w:pPr>
    </w:p>
    <w:p>
      <w:pPr>
        <w:ind w:left="1200" w:hanging="311"/>
        <w:spacing w:after="0"/>
        <w:tabs>
          <w:tab w:leader="none" w:pos="12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determine the class of Stock and the number of shares of Stock to be covered by any Award;</w:t>
      </w:r>
    </w:p>
    <w:p>
      <w:pPr>
        <w:spacing w:after="0" w:line="225" w:lineRule="exact"/>
        <w:rPr>
          <w:rFonts w:ascii="Arial" w:cs="Arial" w:eastAsia="Arial" w:hAnsi="Arial"/>
          <w:sz w:val="18"/>
          <w:szCs w:val="18"/>
          <w:color w:val="auto"/>
        </w:rPr>
      </w:pPr>
    </w:p>
    <w:p>
      <w:pPr>
        <w:ind w:left="440" w:firstLine="449"/>
        <w:spacing w:after="0" w:line="308" w:lineRule="auto"/>
        <w:tabs>
          <w:tab w:leader="none" w:pos="1186" w:val="left"/>
        </w:tabs>
        <w:numPr>
          <w:ilvl w:val="1"/>
          <w:numId w:val="60"/>
        </w:numPr>
        <w:rPr>
          <w:rFonts w:ascii="Arial" w:cs="Arial" w:eastAsia="Arial" w:hAnsi="Arial"/>
          <w:sz w:val="17"/>
          <w:szCs w:val="17"/>
          <w:color w:val="auto"/>
        </w:rPr>
      </w:pPr>
      <w:r>
        <w:rPr>
          <w:rFonts w:ascii="Arial" w:cs="Arial" w:eastAsia="Arial" w:hAnsi="Arial"/>
          <w:sz w:val="17"/>
          <w:szCs w:val="17"/>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46" w:lineRule="exact"/>
        <w:rPr>
          <w:rFonts w:ascii="Arial" w:cs="Arial" w:eastAsia="Arial" w:hAnsi="Arial"/>
          <w:sz w:val="17"/>
          <w:szCs w:val="17"/>
          <w:color w:val="auto"/>
        </w:rPr>
      </w:pPr>
    </w:p>
    <w:p>
      <w:pPr>
        <w:ind w:left="440" w:right="60" w:firstLine="449"/>
        <w:spacing w:after="0" w:line="264" w:lineRule="auto"/>
        <w:tabs>
          <w:tab w:leader="none" w:pos="11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 provided that the Administrator generally shall not exercise such discretion to accelerate Awards subject to Sections 7 and 8 except in the event of the grantee’s death, disability or retirement, or a change in control (including a Sale Event);</w:t>
      </w:r>
    </w:p>
    <w:p>
      <w:pPr>
        <w:spacing w:after="0" w:line="181" w:lineRule="exact"/>
        <w:rPr>
          <w:rFonts w:ascii="Arial" w:cs="Arial" w:eastAsia="Arial" w:hAnsi="Arial"/>
          <w:sz w:val="18"/>
          <w:szCs w:val="18"/>
          <w:color w:val="auto"/>
        </w:rPr>
      </w:pPr>
    </w:p>
    <w:p>
      <w:pPr>
        <w:ind w:left="1200" w:hanging="311"/>
        <w:spacing w:after="0"/>
        <w:tabs>
          <w:tab w:leader="none" w:pos="12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the provisions of Section 5(b), to extend at any time the period in which Stock Options may be exercised; and</w:t>
      </w:r>
    </w:p>
    <w:p>
      <w:pPr>
        <w:spacing w:after="0" w:line="225" w:lineRule="exact"/>
        <w:rPr>
          <w:rFonts w:ascii="Arial" w:cs="Arial" w:eastAsia="Arial" w:hAnsi="Arial"/>
          <w:sz w:val="18"/>
          <w:szCs w:val="18"/>
          <w:color w:val="auto"/>
        </w:rPr>
      </w:pPr>
    </w:p>
    <w:p>
      <w:pPr>
        <w:ind w:left="440" w:right="80" w:firstLine="449"/>
        <w:spacing w:after="0" w:line="259" w:lineRule="auto"/>
        <w:tabs>
          <w:tab w:leader="none" w:pos="12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9" w:name="page110"/>
    <w:bookmarkEnd w:id="109"/>
    <w:p>
      <w:pPr>
        <w:ind w:right="20" w:firstLine="449"/>
        <w:spacing w:after="0" w:line="273" w:lineRule="auto"/>
        <w:tabs>
          <w:tab w:leader="none" w:pos="68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Delegation of Authority to Grant Options</w:t>
      </w:r>
      <w:r>
        <w:rPr>
          <w:rFonts w:ascii="Arial" w:cs="Arial" w:eastAsia="Arial" w:hAnsi="Arial"/>
          <w:sz w:val="17"/>
          <w:szCs w:val="17"/>
          <w:color w:val="auto"/>
        </w:rPr>
        <w:t>. Subject to applicable law, the Administrator, in its discretion, may delegate to the Chief Executive Officer of the Company all or part of the Administrator’s authority and duties with respect to the granting of Options to individuals who are (i) not subject to the reporting and other provisions of Section 16 of the Exchange Act and (ii) not Covered Employees. Any such delegation by the Administrator shall include a limitation as to the amount of Options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8" w:lineRule="exact"/>
        <w:rPr>
          <w:rFonts w:ascii="Arial" w:cs="Arial" w:eastAsia="Arial" w:hAnsi="Arial"/>
          <w:sz w:val="17"/>
          <w:szCs w:val="17"/>
          <w:color w:val="auto"/>
        </w:rPr>
      </w:pPr>
    </w:p>
    <w:p>
      <w:pPr>
        <w:ind w:right="480" w:firstLine="449"/>
        <w:spacing w:after="0" w:line="342" w:lineRule="auto"/>
        <w:tabs>
          <w:tab w:leader="none" w:pos="69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23" w:lineRule="exact"/>
        <w:rPr>
          <w:rFonts w:ascii="Arial" w:cs="Arial" w:eastAsia="Arial" w:hAnsi="Arial"/>
          <w:sz w:val="16"/>
          <w:szCs w:val="16"/>
          <w:color w:val="auto"/>
        </w:rPr>
      </w:pPr>
    </w:p>
    <w:p>
      <w:pPr>
        <w:ind w:right="120" w:firstLine="449"/>
        <w:spacing w:after="0" w:line="255" w:lineRule="auto"/>
        <w:tabs>
          <w:tab w:leader="none" w:pos="68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SUBSTITUTION</w:t>
      </w:r>
    </w:p>
    <w:p>
      <w:pPr>
        <w:spacing w:after="0" w:line="225" w:lineRule="exact"/>
        <w:rPr>
          <w:sz w:val="20"/>
          <w:szCs w:val="20"/>
          <w:color w:val="auto"/>
        </w:rPr>
      </w:pPr>
    </w:p>
    <w:p>
      <w:pPr>
        <w:ind w:firstLine="449"/>
        <w:spacing w:after="0" w:line="285" w:lineRule="auto"/>
        <w:tabs>
          <w:tab w:leader="none" w:pos="686"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xml:space="preserve">. The maximum number of shares of Stock reserved and available for issuance under the Plan shall be 1,410,054 shares of Stock, subject to adjustment as provided in this Section 3, which may consist of either Non-Voting Common Stock, Voting Common Stock, or a combination of both;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maximum aggregate amount that may be issued shall not exceed the amount specified above. For purposes of this limitation, the shares of Stock underlying any Awards that are forfeited, canceled or otherwise terminated (other than by exercise) shall be added back to the shares of Stock available for issuance under the Plan. Notwithstanding the foregoing, the following shares shall not be added to the shares authorized for grant under the Plan:</w:t>
      </w:r>
    </w:p>
    <w:p>
      <w:pPr>
        <w:spacing w:after="0" w:line="2" w:lineRule="exact"/>
        <w:rPr>
          <w:rFonts w:ascii="Arial" w:cs="Arial" w:eastAsia="Arial" w:hAnsi="Arial"/>
          <w:sz w:val="16"/>
          <w:szCs w:val="16"/>
          <w:color w:val="auto"/>
        </w:rPr>
      </w:pPr>
    </w:p>
    <w:p>
      <w:pPr>
        <w:ind w:firstLine="8"/>
        <w:spacing w:after="0" w:line="287" w:lineRule="auto"/>
        <w:tabs>
          <w:tab w:leader="none" w:pos="21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Stock Options or Stock Appreciation Rights with respect to no more than 237,616 shares of Stock may be granted to any one individual grantee during any one calendar year period, no more than 10 percent of the total number of shares of Stock authorized for issuance under the Plan may be granted in the form of Unrestricted Stock Awards and no more than 1,410,054 shares of the Stock may be issued in the form of Incentive Stock Options. The shares available for issuance under the Plan may be authorized but unissued shares of Stock or shares of Stock reacquired by the Company.</w:t>
      </w:r>
    </w:p>
    <w:p>
      <w:pPr>
        <w:spacing w:after="0" w:line="170" w:lineRule="exact"/>
        <w:rPr>
          <w:rFonts w:ascii="Arial" w:cs="Arial" w:eastAsia="Arial" w:hAnsi="Arial"/>
          <w:sz w:val="16"/>
          <w:szCs w:val="16"/>
          <w:color w:val="auto"/>
        </w:rPr>
      </w:pPr>
    </w:p>
    <w:p>
      <w:pPr>
        <w:ind w:firstLine="449"/>
        <w:spacing w:after="0" w:line="285" w:lineRule="auto"/>
        <w:tabs>
          <w:tab w:leader="none" w:pos="696"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ind w:right="160" w:firstLine="449"/>
        <w:spacing w:after="0" w:line="287" w:lineRule="auto"/>
        <w:tabs>
          <w:tab w:leader="none" w:pos="68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Except as the Administrator may otherwise specify with respect to particular Awards in the relevant Award Certificate, in the case of and subject to the consummation of a Sale Event, the Plan and all outstanding Awards granted hereunder shall terminate, unless provision is made in connection with the Sale Event in the sole discretion of the parties thereto for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(after taking into account any acceleration hereunder). In the event of such termination,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held by such grantee.</w:t>
      </w:r>
    </w:p>
    <w:p>
      <w:pPr>
        <w:spacing w:after="0" w:line="172" w:lineRule="exact"/>
        <w:rPr>
          <w:rFonts w:ascii="Arial" w:cs="Arial" w:eastAsia="Arial" w:hAnsi="Arial"/>
          <w:sz w:val="16"/>
          <w:szCs w:val="16"/>
          <w:color w:val="auto"/>
        </w:rPr>
      </w:pPr>
    </w:p>
    <w:p>
      <w:pPr>
        <w:ind w:right="300" w:firstLine="449"/>
        <w:spacing w:after="0" w:line="276" w:lineRule="auto"/>
        <w:tabs>
          <w:tab w:leader="none" w:pos="69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The Administrator may grant Awards under the Plan in substitution for stock and stock 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Grantees under the Plan will be such full or part-time officers and other employees, Non-Employee Directors and key persons (including Consultants) of the Company and its Subsidiaries as are selected from time to time by the Administrator in its sole discretion.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Stock Option granted under the Plan shall be in such form as the Administrator may from time to time approve.</w:t>
      </w:r>
    </w:p>
    <w:p>
      <w:pPr>
        <w:spacing w:after="0" w:line="225"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1"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47" w:lineRule="exact"/>
        <w:rPr>
          <w:sz w:val="20"/>
          <w:szCs w:val="20"/>
          <w:color w:val="auto"/>
        </w:rPr>
      </w:pPr>
    </w:p>
    <w:p>
      <w:pPr>
        <w:ind w:firstLine="449"/>
        <w:spacing w:after="0" w:line="259" w:lineRule="auto"/>
        <w:tabs>
          <w:tab w:leader="none" w:pos="6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1" w:name="page112"/>
    <w:bookmarkEnd w:id="111"/>
    <w:p>
      <w:pPr>
        <w:ind w:right="100" w:firstLine="449"/>
        <w:spacing w:after="0" w:line="264" w:lineRule="auto"/>
        <w:tabs>
          <w:tab w:leader="none" w:pos="69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81" w:lineRule="exact"/>
        <w:rPr>
          <w:rFonts w:ascii="Arial" w:cs="Arial" w:eastAsia="Arial" w:hAnsi="Arial"/>
          <w:sz w:val="18"/>
          <w:szCs w:val="18"/>
          <w:color w:val="auto"/>
        </w:rPr>
      </w:pPr>
    </w:p>
    <w:p>
      <w:pPr>
        <w:ind w:right="180" w:firstLine="449"/>
        <w:spacing w:after="0" w:line="259" w:lineRule="auto"/>
        <w:tabs>
          <w:tab w:leader="none" w:pos="68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Shareholder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shareholder only as to shares acquired upon the exercise of a Stock Option and not as to unexercised Stock Options.</w:t>
      </w:r>
    </w:p>
    <w:p>
      <w:pPr>
        <w:spacing w:after="0" w:line="186" w:lineRule="exact"/>
        <w:rPr>
          <w:rFonts w:ascii="Arial" w:cs="Arial" w:eastAsia="Arial" w:hAnsi="Arial"/>
          <w:sz w:val="18"/>
          <w:szCs w:val="18"/>
          <w:color w:val="auto"/>
        </w:rPr>
      </w:pPr>
    </w:p>
    <w:p>
      <w:pPr>
        <w:ind w:right="40" w:firstLine="449"/>
        <w:spacing w:after="0" w:line="264" w:lineRule="auto"/>
        <w:tabs>
          <w:tab w:leader="none" w:pos="69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to the extent provided in the Option Award Certificate:</w:t>
      </w:r>
    </w:p>
    <w:p>
      <w:pPr>
        <w:spacing w:after="0" w:line="181" w:lineRule="exact"/>
        <w:rPr>
          <w:rFonts w:ascii="Arial" w:cs="Arial" w:eastAsia="Arial" w:hAnsi="Arial"/>
          <w:sz w:val="18"/>
          <w:szCs w:val="18"/>
          <w:color w:val="auto"/>
        </w:rPr>
      </w:pPr>
    </w:p>
    <w:p>
      <w:pPr>
        <w:ind w:left="1100" w:hanging="211"/>
        <w:spacing w:after="0"/>
        <w:tabs>
          <w:tab w:leader="none" w:pos="11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225" w:lineRule="exact"/>
        <w:rPr>
          <w:rFonts w:ascii="Arial" w:cs="Arial" w:eastAsia="Arial" w:hAnsi="Arial"/>
          <w:sz w:val="18"/>
          <w:szCs w:val="18"/>
          <w:color w:val="auto"/>
        </w:rPr>
      </w:pPr>
    </w:p>
    <w:p>
      <w:pPr>
        <w:ind w:left="440" w:right="100" w:firstLine="449"/>
        <w:spacing w:after="0" w:line="264" w:lineRule="auto"/>
        <w:tabs>
          <w:tab w:leader="none" w:pos="114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Through the delivery (or attestation to the ownership) of shares of Stock that have been purchased by the optionee on the open market or that have been beneficially owned by the optionee for at least six months and that are not then subject to restrictions under any Company plan. Such surrendered shares shall be valued at Fair Market Value on the exercise date;</w:t>
      </w:r>
    </w:p>
    <w:p>
      <w:pPr>
        <w:spacing w:after="0" w:line="181" w:lineRule="exact"/>
        <w:rPr>
          <w:rFonts w:ascii="Arial" w:cs="Arial" w:eastAsia="Arial" w:hAnsi="Arial"/>
          <w:sz w:val="18"/>
          <w:szCs w:val="18"/>
          <w:color w:val="auto"/>
        </w:rPr>
      </w:pPr>
    </w:p>
    <w:p>
      <w:pPr>
        <w:jc w:val="both"/>
        <w:ind w:left="440" w:right="60" w:firstLine="449"/>
        <w:spacing w:after="0" w:line="279" w:lineRule="auto"/>
        <w:tabs>
          <w:tab w:leader="none" w:pos="1196" w:val="left"/>
        </w:tabs>
        <w:numPr>
          <w:ilvl w:val="1"/>
          <w:numId w:val="66"/>
        </w:numPr>
        <w:rPr>
          <w:rFonts w:ascii="Arial" w:cs="Arial" w:eastAsia="Arial" w:hAnsi="Arial"/>
          <w:sz w:val="17"/>
          <w:szCs w:val="17"/>
          <w:color w:val="auto"/>
        </w:rPr>
      </w:pPr>
      <w:r>
        <w:rPr>
          <w:rFonts w:ascii="Arial" w:cs="Arial" w:eastAsia="Arial" w:hAnsi="Arial"/>
          <w:sz w:val="17"/>
          <w:szCs w:val="17"/>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 or</w:t>
      </w:r>
    </w:p>
    <w:p>
      <w:pPr>
        <w:spacing w:after="0" w:line="171" w:lineRule="exact"/>
        <w:rPr>
          <w:rFonts w:ascii="Arial" w:cs="Arial" w:eastAsia="Arial" w:hAnsi="Arial"/>
          <w:sz w:val="17"/>
          <w:szCs w:val="17"/>
          <w:color w:val="auto"/>
        </w:rPr>
      </w:pPr>
    </w:p>
    <w:p>
      <w:pPr>
        <w:ind w:left="440" w:right="220" w:firstLine="449"/>
        <w:spacing w:after="0" w:line="264" w:lineRule="auto"/>
        <w:tabs>
          <w:tab w:leader="none" w:pos="11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2" w:lineRule="exact"/>
        <w:rPr>
          <w:sz w:val="20"/>
          <w:szCs w:val="20"/>
          <w:color w:val="auto"/>
        </w:rPr>
      </w:pPr>
    </w:p>
    <w:p>
      <w:pPr>
        <w:ind w:firstLine="449"/>
        <w:spacing w:after="0" w:line="279" w:lineRule="auto"/>
        <w:tabs>
          <w:tab w:leader="none" w:pos="686"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Annual Limit on Incentive Stock Options</w:t>
      </w:r>
      <w:r>
        <w:rPr>
          <w:rFonts w:ascii="Arial" w:cs="Arial" w:eastAsia="Arial" w:hAnsi="Arial"/>
          <w:sz w:val="17"/>
          <w:szCs w:val="17"/>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ind w:right="120" w:firstLine="449"/>
        <w:spacing w:after="0" w:line="277" w:lineRule="auto"/>
        <w:tabs>
          <w:tab w:leader="none" w:pos="68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170" w:lineRule="exact"/>
        <w:rPr>
          <w:rFonts w:ascii="Arial" w:cs="Arial" w:eastAsia="Arial" w:hAnsi="Arial"/>
          <w:sz w:val="18"/>
          <w:szCs w:val="18"/>
          <w:color w:val="auto"/>
        </w:rPr>
      </w:pPr>
    </w:p>
    <w:p>
      <w:pPr>
        <w:ind w:right="440" w:firstLine="449"/>
        <w:spacing w:after="0" w:line="277" w:lineRule="auto"/>
        <w:tabs>
          <w:tab w:leader="none" w:pos="69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70" w:lineRule="exact"/>
        <w:rPr>
          <w:rFonts w:ascii="Arial" w:cs="Arial" w:eastAsia="Arial" w:hAnsi="Arial"/>
          <w:sz w:val="18"/>
          <w:szCs w:val="18"/>
          <w:color w:val="auto"/>
        </w:rPr>
      </w:pPr>
    </w:p>
    <w:p>
      <w:pPr>
        <w:ind w:right="60" w:firstLine="449"/>
        <w:spacing w:after="0" w:line="277" w:lineRule="auto"/>
        <w:tabs>
          <w:tab w:leader="none" w:pos="68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Appreciation Rights</w:t>
      </w:r>
      <w:r>
        <w:rPr>
          <w:rFonts w:ascii="Arial" w:cs="Arial" w:eastAsia="Arial" w:hAnsi="Arial"/>
          <w:sz w:val="18"/>
          <w:szCs w:val="18"/>
          <w:color w:val="auto"/>
        </w:rPr>
        <w:t>. Stock Appreciation Rights shall be subject to such terms and conditions as shall be determined from time to time by the Administrator. The term of a Stock Appreciation Right may not exceed ten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ind w:right="140" w:firstLine="449"/>
        <w:spacing w:after="0" w:line="259" w:lineRule="auto"/>
        <w:tabs>
          <w:tab w:leader="none" w:pos="68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Nature of Restricted Stock Awards</w:t>
      </w:r>
      <w:r>
        <w:rPr>
          <w:rFonts w:ascii="Arial" w:cs="Arial" w:eastAsia="Arial" w:hAnsi="Arial"/>
          <w:sz w:val="18"/>
          <w:szCs w:val="18"/>
          <w:color w:val="auto"/>
        </w:rPr>
        <w:t>. The Administrator shall determine the restrictions and conditions applicable to each Restricted Stock Award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86" w:lineRule="exact"/>
        <w:rPr>
          <w:rFonts w:ascii="Arial" w:cs="Arial" w:eastAsia="Arial" w:hAnsi="Arial"/>
          <w:sz w:val="18"/>
          <w:szCs w:val="18"/>
          <w:color w:val="auto"/>
        </w:rPr>
      </w:pPr>
    </w:p>
    <w:p>
      <w:pPr>
        <w:ind w:right="40" w:firstLine="449"/>
        <w:spacing w:after="0" w:line="290" w:lineRule="auto"/>
        <w:tabs>
          <w:tab w:leader="none" w:pos="69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Rights as a Shareholder</w:t>
      </w:r>
      <w:r>
        <w:rPr>
          <w:rFonts w:ascii="Arial" w:cs="Arial" w:eastAsia="Arial" w:hAnsi="Arial"/>
          <w:sz w:val="16"/>
          <w:szCs w:val="16"/>
          <w:color w:val="auto"/>
        </w:rPr>
        <w:t>. Upon the grant of the Restricted Stock Award and payment of any applicable purchase price, a grantee shall have the rights of a shareholder with respect to the voting of the Restricted Stock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Stock shall be accompanied by a notation on the records of the Company or the transfer agent to the effect that they are subject to forfeiture until such Restricted Stock are vested as provided in Section 7(d) below, and (ii) certificated Restricted Stock shall remain in the possession of the Company until such Restricted Stock is vested as provided in Section 7(d) below, and the grantee shall be required, as a condition of the grant, to deliver to the Company such instruments of transfer as the Administrator may prescribe.</w:t>
      </w:r>
    </w:p>
    <w:p>
      <w:pPr>
        <w:spacing w:after="0" w:line="166" w:lineRule="exact"/>
        <w:rPr>
          <w:rFonts w:ascii="Arial" w:cs="Arial" w:eastAsia="Arial" w:hAnsi="Arial"/>
          <w:sz w:val="16"/>
          <w:szCs w:val="16"/>
          <w:color w:val="auto"/>
        </w:rPr>
      </w:pPr>
    </w:p>
    <w:p>
      <w:pPr>
        <w:ind w:right="40" w:firstLine="449"/>
        <w:spacing w:after="0" w:line="270" w:lineRule="auto"/>
        <w:tabs>
          <w:tab w:leader="none" w:pos="68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Stock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Stock that has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shareholder. Following such deemed reacquisition of unvested Restricted Stock that are represented by physical certificates, a grantee shall surrender such certificates to the Company upon request without consideration.</w:t>
      </w:r>
    </w:p>
    <w:p>
      <w:pPr>
        <w:spacing w:after="0" w:line="181" w:lineRule="exact"/>
        <w:rPr>
          <w:rFonts w:ascii="Arial" w:cs="Arial" w:eastAsia="Arial" w:hAnsi="Arial"/>
          <w:sz w:val="17"/>
          <w:szCs w:val="17"/>
          <w:color w:val="auto"/>
        </w:rPr>
      </w:pPr>
    </w:p>
    <w:p>
      <w:pPr>
        <w:ind w:firstLine="449"/>
        <w:spacing w:after="0" w:line="288" w:lineRule="auto"/>
        <w:tabs>
          <w:tab w:leader="none" w:pos="69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Administrator at the time of grant shall specify the date or dates and/or the attainment of pre-established performance goals, objectives and other conditions on which the non-transferability of the Restricted Stock and the Company’s right of repurchase or forfeiture shall lapse. Notwithstanding the foregoing, in the event that any such Restricted Stock granted to employees shall have a performance-based goal, the restriction period with respect to such shares shall not be less than one year, and in the event any such Restricted Stock granted to employees shall have a time-based restriction, the total restriction period with respect to such shares shall not be less than three years; provided, however, that Restricted Stock with a time-based restriction may become vested incrementally over such three-year period.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Certificate or, subject to Section 18 below, in writing after the Award is issued, a grantee’s rights in any shares of Restricted Stock that have not vested shall automatically terminate upon the grantee’s termination of employment (or other service relationship) with the Company and its Subsidiaries and such shares shall be subject to the provisions of Section 7(c)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firstLine="449"/>
        <w:spacing w:after="0" w:line="270" w:lineRule="auto"/>
        <w:tabs>
          <w:tab w:leader="none" w:pos="68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shall determine the restrictions and conditions applicable to each Restricted Stock Unit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Notwithstanding the foregoing, in the event that any such Restricted Stock Units granted to employees shall have a performance-based goal, the restriction period with respect to such Award shall not be less than one year, and in the event any such Restricted Stock Units granted to employees shall have a time-based restriction, the total restriction period with respect to such Award shall not be less than three years; provided, however, that any Restricted Stock Units with a time-based restriction may become vested incrementally over such three-year period. At the end of the deferral period, the Restricted Stock Units, to the extent vested, shall be settled in the form of shares of Stock. To the extent that an award of Restricted Stock Units is subject to Section 409A, it may contain such additional terms and conditions as the Administrator shall determine in its sole discretion in order for such Award to comply with the requirements of Section 409A.</w:t>
      </w:r>
    </w:p>
    <w:p>
      <w:pPr>
        <w:spacing w:after="0" w:line="177" w:lineRule="exact"/>
        <w:rPr>
          <w:rFonts w:ascii="Arial" w:cs="Arial" w:eastAsia="Arial" w:hAnsi="Arial"/>
          <w:sz w:val="17"/>
          <w:szCs w:val="17"/>
          <w:color w:val="auto"/>
        </w:rPr>
      </w:pPr>
    </w:p>
    <w:p>
      <w:pPr>
        <w:ind w:right="100" w:firstLine="449"/>
        <w:spacing w:after="0" w:line="290" w:lineRule="auto"/>
        <w:tabs>
          <w:tab w:leader="none" w:pos="696"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Election to Receive Restricted Stock Units in Lieu of Compensation</w:t>
      </w:r>
      <w:r>
        <w:rPr>
          <w:rFonts w:ascii="Arial" w:cs="Arial" w:eastAsia="Arial" w:hAnsi="Arial"/>
          <w:sz w:val="16"/>
          <w:szCs w:val="16"/>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66" w:lineRule="exact"/>
        <w:rPr>
          <w:rFonts w:ascii="Arial" w:cs="Arial" w:eastAsia="Arial" w:hAnsi="Arial"/>
          <w:sz w:val="16"/>
          <w:szCs w:val="16"/>
          <w:color w:val="auto"/>
        </w:rPr>
      </w:pPr>
    </w:p>
    <w:p>
      <w:pPr>
        <w:ind w:right="440" w:firstLine="449"/>
        <w:spacing w:after="0" w:line="286" w:lineRule="auto"/>
        <w:tabs>
          <w:tab w:leader="none" w:pos="68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r>
        <w:rPr>
          <w:rFonts w:ascii="Arial" w:cs="Arial" w:eastAsia="Arial" w:hAnsi="Arial"/>
          <w:sz w:val="17"/>
          <w:szCs w:val="17"/>
          <w:color w:val="auto"/>
        </w:rPr>
        <w:t>. A grantee shall have the rights as a shareholder only as to shares of Stock acquired by the grantee upon settlement of Restricted Stock Units; provided, however, that the grantee may be credited with Dividend Equivalent Rights with respect to the phantom stock units underlying his Restricted Stock Units, subject to such terms and conditions as the Administrator may determine.</w:t>
      </w:r>
    </w:p>
    <w:p>
      <w:pPr>
        <w:spacing w:after="0" w:line="165" w:lineRule="exact"/>
        <w:rPr>
          <w:rFonts w:ascii="Arial" w:cs="Arial" w:eastAsia="Arial" w:hAnsi="Arial"/>
          <w:sz w:val="17"/>
          <w:szCs w:val="17"/>
          <w:color w:val="auto"/>
        </w:rPr>
      </w:pPr>
    </w:p>
    <w:p>
      <w:pPr>
        <w:jc w:val="both"/>
        <w:ind w:right="160" w:firstLine="449"/>
        <w:spacing w:after="0" w:line="264" w:lineRule="auto"/>
        <w:tabs>
          <w:tab w:leader="none" w:pos="69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UNRESTRICTED STOCK AWARDS</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in its sole discretion, grant (or sell at par value or such higher purchase price determined by the Administrator) an Unrestricted Stock Award under the Plan. Unrestricted Stock Awards may be granted in respect of past services or other valid consideration, or in lieu of cash compensation due to such grantee.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CASH-BASED AWARDS</w:t>
      </w:r>
    </w:p>
    <w:p>
      <w:pPr>
        <w:spacing w:after="0" w:line="225"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u w:val="single" w:color="auto"/>
          <w:color w:val="auto"/>
        </w:rPr>
        <w:t>Grant of Cash-Based Awards</w:t>
      </w:r>
      <w:r>
        <w:rPr>
          <w:rFonts w:ascii="Arial" w:cs="Arial" w:eastAsia="Arial" w:hAnsi="Arial"/>
          <w:sz w:val="16"/>
          <w:szCs w:val="16"/>
          <w:color w:val="auto"/>
        </w:rPr>
        <w:t>. The Administrator may, in its sole discretion, grant Cash-Based Awards to any grantee in such number or amount and upon 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of Stock, as the Administrator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PERFORMANCE SHARE AWARDS</w:t>
      </w:r>
    </w:p>
    <w:p>
      <w:pPr>
        <w:spacing w:after="0" w:line="225" w:lineRule="exact"/>
        <w:rPr>
          <w:sz w:val="20"/>
          <w:szCs w:val="20"/>
          <w:color w:val="auto"/>
        </w:rPr>
      </w:pPr>
    </w:p>
    <w:p>
      <w:pPr>
        <w:ind w:right="120" w:firstLine="449"/>
        <w:spacing w:after="0" w:line="259" w:lineRule="auto"/>
        <w:tabs>
          <w:tab w:leader="none" w:pos="68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Nature of Performance Share Awards</w:t>
      </w:r>
      <w:r>
        <w:rPr>
          <w:rFonts w:ascii="Arial" w:cs="Arial" w:eastAsia="Arial" w:hAnsi="Arial"/>
          <w:sz w:val="18"/>
          <w:szCs w:val="18"/>
          <w:color w:val="auto"/>
        </w:rPr>
        <w:t>. The Administrator may, in its sole discretion, grant Performance Share Awards independent of, or in connection with, the granting of any other Award under the Plan. The Administrator shall determine whether and to whom Performance Share Awards shall be granted, the Performance Goals, the periods during which performance is to be measured, which may not be less than one year, and such other limitations and conditions as the Administrator shall determine.</w:t>
      </w:r>
    </w:p>
    <w:p>
      <w:pPr>
        <w:spacing w:after="0" w:line="186" w:lineRule="exact"/>
        <w:rPr>
          <w:rFonts w:ascii="Arial" w:cs="Arial" w:eastAsia="Arial" w:hAnsi="Arial"/>
          <w:sz w:val="18"/>
          <w:szCs w:val="18"/>
          <w:color w:val="auto"/>
        </w:rPr>
      </w:pPr>
    </w:p>
    <w:p>
      <w:pPr>
        <w:ind w:right="20" w:firstLine="449"/>
        <w:spacing w:after="0" w:line="259" w:lineRule="auto"/>
        <w:tabs>
          <w:tab w:leader="none" w:pos="6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Rights as a Shareholder. A grantee receiving a Performance Share Award shall have the rights of a shareholder only as to shares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86" w:lineRule="exact"/>
        <w:rPr>
          <w:rFonts w:ascii="Arial" w:cs="Arial" w:eastAsia="Arial" w:hAnsi="Arial"/>
          <w:sz w:val="18"/>
          <w:szCs w:val="18"/>
          <w:color w:val="auto"/>
        </w:rPr>
      </w:pPr>
    </w:p>
    <w:p>
      <w:pPr>
        <w:ind w:right="140" w:firstLine="449"/>
        <w:spacing w:after="0" w:line="264" w:lineRule="auto"/>
        <w:tabs>
          <w:tab w:leader="none" w:pos="68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PERFORMANCE-BASED AWARDS TO COVERED EMPLOYEES</w:t>
      </w:r>
    </w:p>
    <w:p>
      <w:pPr>
        <w:spacing w:after="0" w:line="225" w:lineRule="exact"/>
        <w:rPr>
          <w:sz w:val="20"/>
          <w:szCs w:val="20"/>
          <w:color w:val="auto"/>
        </w:rPr>
      </w:pPr>
    </w:p>
    <w:p>
      <w:pPr>
        <w:ind w:firstLine="449"/>
        <w:spacing w:after="0" w:line="287" w:lineRule="auto"/>
        <w:tabs>
          <w:tab w:leader="none" w:pos="68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Any employee or other key person providing services to the Company and who is selected by the Administrator may be granted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The Administrator, in its discretion, may adjust or modify the calculation of Performance Goals for such Performance Cycle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the financial statements of the Company, or (iii) in response to, or in anticipation of, changes in applicable laws, regulations, accounting principles, or business conditions provided however, that the Administrator may not exercise such discretion in a manner that would increase the Performance-Based Award granted to a Covered Employee. Each Performance-Based Award shall comply with the provisions set forth below.</w:t>
      </w:r>
    </w:p>
    <w:p>
      <w:pPr>
        <w:spacing w:after="0" w:line="168" w:lineRule="exact"/>
        <w:rPr>
          <w:rFonts w:ascii="Arial" w:cs="Arial" w:eastAsia="Arial" w:hAnsi="Arial"/>
          <w:sz w:val="16"/>
          <w:szCs w:val="16"/>
          <w:color w:val="auto"/>
        </w:rPr>
      </w:pPr>
    </w:p>
    <w:p>
      <w:pPr>
        <w:ind w:right="20" w:firstLine="449"/>
        <w:spacing w:after="0" w:line="255" w:lineRule="auto"/>
        <w:tabs>
          <w:tab w:leader="none" w:pos="69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Grant of Performance-Based Awards</w:t>
      </w:r>
      <w:r>
        <w:rPr>
          <w:rFonts w:ascii="Arial" w:cs="Arial" w:eastAsia="Arial" w:hAnsi="Arial"/>
          <w:sz w:val="18"/>
          <w:szCs w:val="18"/>
          <w:color w:val="auto"/>
        </w:rPr>
        <w:t>. With respect to each Performance-Based Award granted to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89" w:lineRule="exact"/>
        <w:rPr>
          <w:rFonts w:ascii="Arial" w:cs="Arial" w:eastAsia="Arial" w:hAnsi="Arial"/>
          <w:sz w:val="18"/>
          <w:szCs w:val="18"/>
          <w:color w:val="auto"/>
        </w:rPr>
      </w:pPr>
    </w:p>
    <w:p>
      <w:pPr>
        <w:ind w:right="20" w:firstLine="449"/>
        <w:spacing w:after="0" w:line="257" w:lineRule="auto"/>
        <w:tabs>
          <w:tab w:leader="none" w:pos="68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88" w:lineRule="exact"/>
        <w:rPr>
          <w:rFonts w:ascii="Arial" w:cs="Arial" w:eastAsia="Arial" w:hAnsi="Arial"/>
          <w:sz w:val="18"/>
          <w:szCs w:val="18"/>
          <w:color w:val="auto"/>
        </w:rPr>
      </w:pPr>
    </w:p>
    <w:p>
      <w:pPr>
        <w:ind w:right="100" w:firstLine="449"/>
        <w:spacing w:after="0" w:line="264" w:lineRule="auto"/>
        <w:tabs>
          <w:tab w:leader="none" w:pos="69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Maximum Award Payable</w:t>
      </w:r>
      <w:r>
        <w:rPr>
          <w:rFonts w:ascii="Arial" w:cs="Arial" w:eastAsia="Arial" w:hAnsi="Arial"/>
          <w:sz w:val="18"/>
          <w:szCs w:val="18"/>
          <w:color w:val="auto"/>
        </w:rPr>
        <w:t>. The maximum Performance-Based Award payable to any one Covered Employee under the Plan for a Performance Cycle is 237,616 shares of Stock (subject to adjustment as provided in Section 3(c) hereof) or $3,309,991 in the case of a Performance-Based Award that is a Cash-Based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DIVIDEND EQUIVALENT RIGHTS</w:t>
      </w:r>
    </w:p>
    <w:p>
      <w:pPr>
        <w:spacing w:after="0" w:line="225" w:lineRule="exact"/>
        <w:rPr>
          <w:sz w:val="20"/>
          <w:szCs w:val="20"/>
          <w:color w:val="auto"/>
        </w:rPr>
      </w:pPr>
    </w:p>
    <w:p>
      <w:pPr>
        <w:ind w:right="20" w:firstLine="449"/>
        <w:spacing w:after="0" w:line="270" w:lineRule="auto"/>
        <w:tabs>
          <w:tab w:leader="none" w:pos="68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A Dividend Equivalent Right may be granted hereunder to any grantee as a component of an award of Restricted Stock 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81" w:lineRule="exact"/>
        <w:rPr>
          <w:rFonts w:ascii="Arial" w:cs="Arial" w:eastAsia="Arial" w:hAnsi="Arial"/>
          <w:sz w:val="17"/>
          <w:szCs w:val="17"/>
          <w:color w:val="auto"/>
        </w:rPr>
      </w:pPr>
    </w:p>
    <w:p>
      <w:pPr>
        <w:jc w:val="both"/>
        <w:ind w:right="240" w:firstLine="449"/>
        <w:spacing w:after="0" w:line="264" w:lineRule="auto"/>
        <w:tabs>
          <w:tab w:leader="none" w:pos="69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Interest Equivalents</w:t>
      </w:r>
      <w:r>
        <w:rPr>
          <w:rFonts w:ascii="Arial" w:cs="Arial" w:eastAsia="Arial" w:hAnsi="Arial"/>
          <w:sz w:val="18"/>
          <w:szCs w:val="18"/>
          <w:color w:val="auto"/>
        </w:rPr>
        <w:t>. Any Award under this Plan that is settled in whole or in part in cash on a deferred basis may provide in the grant for interest equivalents to be credited with respect to such cash payment. Interest equivalents may be compounded and shall be paid upon such terms and conditions as may be specified by the grant.</w:t>
      </w:r>
    </w:p>
    <w:p>
      <w:pPr>
        <w:spacing w:after="0" w:line="181" w:lineRule="exact"/>
        <w:rPr>
          <w:rFonts w:ascii="Arial" w:cs="Arial" w:eastAsia="Arial" w:hAnsi="Arial"/>
          <w:sz w:val="18"/>
          <w:szCs w:val="18"/>
          <w:color w:val="auto"/>
        </w:rPr>
      </w:pPr>
    </w:p>
    <w:p>
      <w:pPr>
        <w:ind w:right="160" w:firstLine="449"/>
        <w:spacing w:after="0" w:line="259" w:lineRule="auto"/>
        <w:tabs>
          <w:tab w:leader="none" w:pos="68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18 below, in writing after the Award is issued, a grantee’s rights in all Dividend Equivalent Rights or interest equivalents granted as a component of an award of Restricted Stock Units, Restricted Stock Award or Performance Share Award that has not vested shall automatically terminate upon the grantee’s termination of employment (or cessation of service relationship) with the Company and its Subsidiaries for any reason.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TRANSFERABILITY OF AWARDS</w:t>
      </w:r>
    </w:p>
    <w:p>
      <w:pPr>
        <w:spacing w:after="0" w:line="225" w:lineRule="exact"/>
        <w:rPr>
          <w:sz w:val="20"/>
          <w:szCs w:val="20"/>
          <w:color w:val="auto"/>
        </w:rPr>
      </w:pPr>
    </w:p>
    <w:p>
      <w:pPr>
        <w:ind w:right="40" w:firstLine="449"/>
        <w:spacing w:after="0" w:line="302" w:lineRule="auto"/>
        <w:tabs>
          <w:tab w:leader="none" w:pos="68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54" w:lineRule="exact"/>
        <w:rPr>
          <w:rFonts w:ascii="Arial" w:cs="Arial" w:eastAsia="Arial" w:hAnsi="Arial"/>
          <w:sz w:val="16"/>
          <w:szCs w:val="16"/>
          <w:color w:val="auto"/>
        </w:rPr>
      </w:pPr>
    </w:p>
    <w:p>
      <w:pPr>
        <w:ind w:right="240" w:firstLine="449"/>
        <w:spacing w:after="0" w:line="276" w:lineRule="auto"/>
        <w:tabs>
          <w:tab w:leader="none" w:pos="69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Administrator Action</w:t>
      </w:r>
      <w:r>
        <w:rPr>
          <w:rFonts w:ascii="Arial" w:cs="Arial" w:eastAsia="Arial" w:hAnsi="Arial"/>
          <w:sz w:val="17"/>
          <w:szCs w:val="17"/>
          <w:color w:val="auto"/>
        </w:rPr>
        <w:t>. Notwithstanding Section 14(a), the Administrator, in its discretion, may provide either in the Award Certificate regarding a given Award or by subsequent written approval that the grantee (who is an employee or director) may transfer his or her Awards (other than any Incentive Stock Options or Restricted Stock Units)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72" w:lineRule="exact"/>
        <w:rPr>
          <w:rFonts w:ascii="Arial" w:cs="Arial" w:eastAsia="Arial" w:hAnsi="Arial"/>
          <w:sz w:val="17"/>
          <w:szCs w:val="17"/>
          <w:color w:val="auto"/>
        </w:rPr>
      </w:pPr>
    </w:p>
    <w:p>
      <w:pPr>
        <w:ind w:firstLine="449"/>
        <w:spacing w:after="0" w:line="276" w:lineRule="auto"/>
        <w:tabs>
          <w:tab w:leader="none" w:pos="68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2" w:lineRule="exact"/>
        <w:rPr>
          <w:rFonts w:ascii="Arial" w:cs="Arial" w:eastAsia="Arial" w:hAnsi="Arial"/>
          <w:sz w:val="17"/>
          <w:szCs w:val="17"/>
          <w:color w:val="auto"/>
        </w:rPr>
      </w:pPr>
    </w:p>
    <w:p>
      <w:pPr>
        <w:ind w:right="100" w:firstLine="449"/>
        <w:spacing w:after="0" w:line="279" w:lineRule="auto"/>
        <w:tabs>
          <w:tab w:leader="none" w:pos="696"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Designation of Beneficiary.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TAX WITHHOLDING</w:t>
      </w:r>
    </w:p>
    <w:p>
      <w:pPr>
        <w:spacing w:after="0" w:line="225" w:lineRule="exact"/>
        <w:rPr>
          <w:sz w:val="20"/>
          <w:szCs w:val="20"/>
          <w:color w:val="auto"/>
        </w:rPr>
      </w:pPr>
    </w:p>
    <w:p>
      <w:pPr>
        <w:ind w:right="140" w:firstLine="449"/>
        <w:spacing w:after="0" w:line="255" w:lineRule="auto"/>
        <w:tabs>
          <w:tab w:leader="none" w:pos="68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93" w:lineRule="exact"/>
        <w:rPr>
          <w:rFonts w:ascii="Arial" w:cs="Arial" w:eastAsia="Arial" w:hAnsi="Arial"/>
          <w:sz w:val="18"/>
          <w:szCs w:val="18"/>
          <w:color w:val="auto"/>
        </w:rPr>
      </w:pPr>
    </w:p>
    <w:p>
      <w:pPr>
        <w:ind w:right="80" w:firstLine="449"/>
        <w:spacing w:after="0" w:line="286" w:lineRule="auto"/>
        <w:tabs>
          <w:tab w:leader="none" w:pos="69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Payment in Stock</w:t>
      </w:r>
      <w:r>
        <w:rPr>
          <w:rFonts w:ascii="Arial" w:cs="Arial" w:eastAsia="Arial" w:hAnsi="Arial"/>
          <w:sz w:val="17"/>
          <w:szCs w:val="17"/>
          <w:color w:val="auto"/>
        </w:rPr>
        <w:t>. Subject to approval by the Administrator, a grantee may elect to have the Company’s minimum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SECTION 409A AWARDS</w:t>
      </w:r>
    </w:p>
    <w:p>
      <w:pPr>
        <w:spacing w:after="0" w:line="225"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w:t>
      </w:r>
    </w:p>
    <w:p>
      <w:pPr>
        <w:ind w:right="40"/>
        <w:spacing w:after="0" w:line="253" w:lineRule="auto"/>
        <w:rPr>
          <w:sz w:val="20"/>
          <w:szCs w:val="20"/>
          <w:color w:val="auto"/>
        </w:rPr>
      </w:pPr>
      <w:r>
        <w:rPr>
          <w:rFonts w:ascii="Arial" w:cs="Arial" w:eastAsia="Arial" w:hAnsi="Arial"/>
          <w:sz w:val="18"/>
          <w:szCs w:val="18"/>
          <w:color w:val="auto"/>
        </w:rPr>
        <w:t>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TRANSFER, LEAVE OF ABSENCE, ETC.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Plan, the following events shall not be deemed a termination of employment:</w:t>
      </w:r>
    </w:p>
    <w:p>
      <w:pPr>
        <w:spacing w:after="0" w:line="225" w:lineRule="exact"/>
        <w:rPr>
          <w:sz w:val="20"/>
          <w:szCs w:val="20"/>
          <w:color w:val="auto"/>
        </w:rPr>
      </w:pPr>
    </w:p>
    <w:p>
      <w:pPr>
        <w:ind w:left="700" w:hanging="251"/>
        <w:spacing w:after="0"/>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transfer to the employment of the Company from a Subsidiary or from the Company to a Subsidiary, or from one Subsidiary to another; or</w:t>
      </w:r>
    </w:p>
    <w:p>
      <w:pPr>
        <w:spacing w:after="0" w:line="236" w:lineRule="exact"/>
        <w:rPr>
          <w:rFonts w:ascii="Arial" w:cs="Arial" w:eastAsia="Arial" w:hAnsi="Arial"/>
          <w:sz w:val="17"/>
          <w:szCs w:val="17"/>
          <w:color w:val="auto"/>
        </w:rPr>
      </w:pPr>
    </w:p>
    <w:p>
      <w:pPr>
        <w:ind w:right="320" w:firstLine="449"/>
        <w:spacing w:after="0" w:line="264" w:lineRule="auto"/>
        <w:tabs>
          <w:tab w:leader="none" w:pos="6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AMENDMENTS AND TERMINATION</w:t>
      </w:r>
    </w:p>
    <w:p>
      <w:pPr>
        <w:spacing w:after="0" w:line="225"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shareholder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shareholders entitled to vote at a meeting of shareholders. Nothing in this Section 18 shall limit the Administrator’s authority to take any action permitted pursuant to Section 3(c) or 3(d).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STATUS OF PLAN</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right="200" w:firstLine="449"/>
        <w:spacing w:after="0" w:line="277" w:lineRule="auto"/>
        <w:tabs>
          <w:tab w:leader="none" w:pos="68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70" w:lineRule="exact"/>
        <w:rPr>
          <w:rFonts w:ascii="Arial" w:cs="Arial" w:eastAsia="Arial" w:hAnsi="Arial"/>
          <w:sz w:val="18"/>
          <w:szCs w:val="18"/>
          <w:color w:val="auto"/>
        </w:rPr>
      </w:pPr>
    </w:p>
    <w:p>
      <w:pPr>
        <w:ind w:right="20" w:firstLine="449"/>
        <w:spacing w:after="0" w:line="268" w:lineRule="auto"/>
        <w:tabs>
          <w:tab w:leader="none" w:pos="69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Delivery of Stock Certificates</w:t>
      </w:r>
      <w:r>
        <w:rPr>
          <w:rFonts w:ascii="Arial" w:cs="Arial" w:eastAsia="Arial" w:hAnsi="Arial"/>
          <w:sz w:val="17"/>
          <w:szCs w:val="17"/>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80" w:lineRule="exact"/>
        <w:rPr>
          <w:rFonts w:ascii="Arial" w:cs="Arial" w:eastAsia="Arial" w:hAnsi="Arial"/>
          <w:sz w:val="17"/>
          <w:szCs w:val="17"/>
          <w:color w:val="auto"/>
        </w:rPr>
      </w:pPr>
    </w:p>
    <w:p>
      <w:pPr>
        <w:ind w:right="100" w:firstLine="449"/>
        <w:spacing w:after="0" w:line="264" w:lineRule="auto"/>
        <w:tabs>
          <w:tab w:leader="none" w:pos="68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Shareholder Rights</w:t>
      </w:r>
      <w:r>
        <w:rPr>
          <w:rFonts w:ascii="Arial" w:cs="Arial" w:eastAsia="Arial" w:hAnsi="Arial"/>
          <w:sz w:val="18"/>
          <w:szCs w:val="18"/>
          <w:color w:val="auto"/>
        </w:rPr>
        <w:t>. Until Stock is deemed delivered in accordance with Section 20(b), no right to vote or receive dividends or any other rights of a shareholder will exist with respect to shares of Stock to be issued in connection with an Award, notwithstanding the exercise of a Stock Option or any other action by the grantee with respect to an Award.</w:t>
      </w:r>
    </w:p>
    <w:p>
      <w:pPr>
        <w:spacing w:after="0" w:line="181" w:lineRule="exact"/>
        <w:rPr>
          <w:rFonts w:ascii="Arial" w:cs="Arial" w:eastAsia="Arial" w:hAnsi="Arial"/>
          <w:sz w:val="18"/>
          <w:szCs w:val="18"/>
          <w:color w:val="auto"/>
        </w:rPr>
      </w:pPr>
    </w:p>
    <w:p>
      <w:pPr>
        <w:ind w:right="220" w:firstLine="449"/>
        <w:spacing w:after="0" w:line="312" w:lineRule="auto"/>
        <w:tabs>
          <w:tab w:leader="none" w:pos="696" w:val="left"/>
        </w:tabs>
        <w:numPr>
          <w:ilvl w:val="0"/>
          <w:numId w:val="77"/>
        </w:numPr>
        <w:rPr>
          <w:rFonts w:ascii="Arial" w:cs="Arial" w:eastAsia="Arial" w:hAnsi="Arial"/>
          <w:sz w:val="16"/>
          <w:szCs w:val="16"/>
          <w:color w:val="auto"/>
        </w:rPr>
      </w:pPr>
      <w:r>
        <w:rPr>
          <w:rFonts w:ascii="Arial" w:cs="Arial" w:eastAsia="Arial" w:hAnsi="Arial"/>
          <w:sz w:val="16"/>
          <w:szCs w:val="16"/>
          <w:color w:val="auto"/>
        </w:rPr>
        <w:t>Other Compensation Arrangements; No Employment Rights.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6" w:lineRule="exact"/>
        <w:rPr>
          <w:rFonts w:ascii="Arial" w:cs="Arial" w:eastAsia="Arial" w:hAnsi="Arial"/>
          <w:sz w:val="16"/>
          <w:szCs w:val="16"/>
          <w:color w:val="auto"/>
        </w:rPr>
      </w:pPr>
    </w:p>
    <w:p>
      <w:pPr>
        <w:ind w:right="580" w:firstLine="449"/>
        <w:spacing w:after="0" w:line="277" w:lineRule="auto"/>
        <w:tabs>
          <w:tab w:leader="none" w:pos="68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70" w:lineRule="exact"/>
        <w:rPr>
          <w:rFonts w:ascii="Arial" w:cs="Arial" w:eastAsia="Arial" w:hAnsi="Arial"/>
          <w:sz w:val="18"/>
          <w:szCs w:val="18"/>
          <w:color w:val="auto"/>
        </w:rPr>
      </w:pPr>
    </w:p>
    <w:p>
      <w:pPr>
        <w:ind w:right="20" w:firstLine="449"/>
        <w:spacing w:after="0" w:line="276" w:lineRule="auto"/>
        <w:tabs>
          <w:tab w:leader="none" w:pos="66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Forfeiture of Awards under Sarbanes-Oxley Act</w:t>
      </w:r>
      <w:r>
        <w:rPr>
          <w:rFonts w:ascii="Arial" w:cs="Arial" w:eastAsia="Arial" w:hAnsi="Arial"/>
          <w:sz w:val="17"/>
          <w:szCs w:val="17"/>
          <w:color w:val="auto"/>
        </w:rPr>
        <w:t>. If the Company is required to prepare an accounting restatement due to the material noncompliance of the Company, as a result of misconduct, with any financial reporting requirement under the securities laws, then any grantee who is one of the individuals subject to automatic forfeiture under Section 304 of the Sarbanes-Oxley Act of 2002 shall reimburse the Company for the amount of any Award received by such individual under the Plan during the 12-month period following the first public issuance or filing with the United States Securities and Exchange Commission, as the case may be, of the financial document embodying such financial reporting requirement.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EFFECTIVE DATE OF PLAN</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This Plan, as amended and restated, shall become effective upon shareholder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laws of the State of Maine, applied without regard to conflict of law principles.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DATE APPROVED BY BOARD OF DIRECTORS:</w:t>
            </w:r>
          </w:p>
        </w:tc>
        <w:tc>
          <w:tcPr>
            <w:tcW w:w="4160" w:type="dxa"/>
            <w:vAlign w:val="bottom"/>
          </w:tcPr>
          <w:p>
            <w:pPr>
              <w:jc w:val="right"/>
              <w:spacing w:after="0"/>
              <w:rPr>
                <w:sz w:val="20"/>
                <w:szCs w:val="20"/>
                <w:color w:val="auto"/>
              </w:rPr>
            </w:pPr>
            <w:r>
              <w:rPr>
                <w:rFonts w:ascii="Arial" w:cs="Arial" w:eastAsia="Arial" w:hAnsi="Arial"/>
                <w:sz w:val="18"/>
                <w:szCs w:val="18"/>
                <w:color w:val="auto"/>
              </w:rPr>
              <w:t>September 21,</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2012</w:t>
            </w:r>
          </w:p>
        </w:tc>
      </w:tr>
      <w:tr>
        <w:trPr>
          <w:trHeight w:val="432"/>
        </w:trPr>
        <w:tc>
          <w:tcPr>
            <w:tcW w:w="6880" w:type="dxa"/>
            <w:vAlign w:val="bottom"/>
          </w:tcPr>
          <w:p>
            <w:pPr>
              <w:spacing w:after="0"/>
              <w:rPr>
                <w:sz w:val="20"/>
                <w:szCs w:val="20"/>
                <w:color w:val="auto"/>
              </w:rPr>
            </w:pPr>
            <w:r>
              <w:rPr>
                <w:rFonts w:ascii="Arial" w:cs="Arial" w:eastAsia="Arial" w:hAnsi="Arial"/>
                <w:sz w:val="18"/>
                <w:szCs w:val="18"/>
                <w:color w:val="auto"/>
              </w:rPr>
              <w:t>DATE APPROVED BY SHAREHOLDERS:</w:t>
            </w:r>
          </w:p>
        </w:tc>
        <w:tc>
          <w:tcPr>
            <w:tcW w:w="4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2012</w:t>
            </w:r>
          </w:p>
        </w:tc>
      </w:tr>
    </w:tbl>
    <w:p>
      <w:pPr>
        <w:sectPr>
          <w:pgSz w:w="11900" w:h="16838" w:orient="portrait"/>
          <w:cols w:equalWidth="0" w:num="1">
            <w:col w:w="11420"/>
          </w:cols>
          <w:pgMar w:left="240" w:top="58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RESTRICTED STOCK AWARD AGREEMENT UNDER NORTHEAST BANCORP AMENDED AND RESTATED 2010 STOCK OPTION AND INCENTIVE PLAN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18783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Type of Stock:</w:t>
      </w:r>
      <w:r>
        <w:rPr>
          <w:sz w:val="20"/>
          <w:szCs w:val="20"/>
          <w:color w:val="auto"/>
        </w:rPr>
        <w:tab/>
      </w:r>
      <w:r>
        <w:rPr>
          <w:rFonts w:ascii="Arial" w:cs="Arial" w:eastAsia="Arial" w:hAnsi="Arial"/>
          <w:sz w:val="16"/>
          <w:szCs w:val="16"/>
          <w:color w:val="auto"/>
        </w:rPr>
        <w:t>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18783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18783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18783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Pursuant to the Northeast Bancorp Amended and Restated 2010 Stock Option and Incentive Plan (the “Plan”) as amended through the date hereof, Northeast Bancorp (the “Company”) hereby grants a Restricted Stock Award (an “Award”) to the Grantee named above. Upon acceptance of this Award, the Grantee shall receive the number of shares of Voting Common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58" w:lineRule="exact"/>
        <w:rPr>
          <w:sz w:val="20"/>
          <w:szCs w:val="20"/>
          <w:color w:val="auto"/>
        </w:rPr>
      </w:pPr>
    </w:p>
    <w:p>
      <w:pPr>
        <w:ind w:right="60" w:firstLine="656"/>
        <w:spacing w:after="0" w:line="302" w:lineRule="auto"/>
        <w:tabs>
          <w:tab w:leader="none" w:pos="100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54" w:lineRule="exact"/>
        <w:rPr>
          <w:rFonts w:ascii="Arial" w:cs="Arial" w:eastAsia="Arial" w:hAnsi="Arial"/>
          <w:sz w:val="16"/>
          <w:szCs w:val="16"/>
          <w:color w:val="auto"/>
        </w:rPr>
      </w:pPr>
    </w:p>
    <w:p>
      <w:pPr>
        <w:ind w:left="1020" w:hanging="364"/>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80"/>
        <w:spacing w:after="0" w:line="277" w:lineRule="auto"/>
        <w:tabs>
          <w:tab w:leader="none" w:pos="138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70" w:lineRule="exact"/>
        <w:rPr>
          <w:rFonts w:ascii="Arial" w:cs="Arial" w:eastAsia="Arial" w:hAnsi="Arial"/>
          <w:sz w:val="18"/>
          <w:szCs w:val="18"/>
          <w:color w:val="auto"/>
        </w:rPr>
      </w:pPr>
    </w:p>
    <w:p>
      <w:pPr>
        <w:ind w:right="180" w:firstLine="980"/>
        <w:spacing w:after="0" w:line="277" w:lineRule="auto"/>
        <w:tabs>
          <w:tab w:leader="none" w:pos="1407" w:val="left"/>
        </w:tabs>
        <w:numPr>
          <w:ilvl w:val="1"/>
          <w:numId w:val="78"/>
        </w:numPr>
        <w:rPr>
          <w:rFonts w:ascii="Arial" w:cs="Arial" w:eastAsia="Arial" w:hAnsi="Arial"/>
          <w:sz w:val="18"/>
          <w:szCs w:val="18"/>
          <w:color w:val="auto"/>
        </w:rPr>
      </w:pPr>
      <w:r>
        <w:rPr>
          <w:rFonts w:ascii="Arial" w:cs="Arial" w:eastAsia="Arial" w:hAnsi="Arial"/>
          <w:sz w:val="18"/>
          <w:szCs w:val="18"/>
          <w:color w:val="auto"/>
        </w:rPr>
        <w:t>Shares of Restricted Stock granted herein may not be sold, assigned, transferred, pledged or otherwise encumbered or disposed of by the Grantee prior to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ind w:right="80" w:firstLine="980"/>
        <w:spacing w:after="0" w:line="255" w:lineRule="auto"/>
        <w:tabs>
          <w:tab w:leader="none" w:pos="13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Grantee’s employment with the Company and its Subsidiaries is voluntarily or involuntarily terminated for any reason prior to vesting of shares of Restricted Stock granted herein, all shares of Restricted Stock shall immediately and automatically be forfeited and returned to the Company. Notwithstanding the foregoing, if the Grantee’s employment with the Company and its Subsidiaries is terminated due to the Grantee’s death or disability prior to the vesting of shares of Restricted Stock granted herein, all restrictions shall lapse and such shares shall automatically become fully vested. The Administrator’s determination of the reason for termination of the Grantee’s employment shall be conclusive and binding on the Grantee and his or her representatives or legatees.</w:t>
      </w:r>
    </w:p>
    <w:p>
      <w:pPr>
        <w:spacing w:after="0" w:line="220" w:lineRule="exact"/>
        <w:rPr>
          <w:rFonts w:ascii="Arial" w:cs="Arial" w:eastAsia="Arial" w:hAnsi="Arial"/>
          <w:sz w:val="18"/>
          <w:szCs w:val="18"/>
          <w:color w:val="auto"/>
        </w:rPr>
      </w:pPr>
    </w:p>
    <w:p>
      <w:pPr>
        <w:ind w:firstLine="980"/>
        <w:spacing w:after="0" w:line="289" w:lineRule="auto"/>
        <w:tabs>
          <w:tab w:leader="none" w:pos="14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Award Agreement to the contrary, (i) in the case of a Sale Event (as defined in the Plan) prior to any Vesting Date in which this Award is assumed or continued by the successor entity in such Sale Event or substituted with a new award of such successor (in accordance with Section 3(c) of the Plan), this Award Agreement and the shares of Restricted Stock granted herein shall be treated in accordance with Section 3(c)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connection with a Sale Event in which this Award is assumed or continued by the successor entity in such Sale Event or substituted with a new award of such successor (in accordance with Section 3(c) of the Plan), the shares of Restricted Stock granted herein shall be deemed vested in full upon the date on which the Grantee’s employment with the Company and its Subsidiaries or the successor entity terminates if such termination occurs on or following the date of such Sale Event and is without Cause (as defined below) and in connection with a Sale Event in which this Award is not assumed or continued by the successor entity in such Sale Event or substituted with a new award of such successor, the shares of Restricted Stock granted herein shall be deemed vested in full as of the effective time of such Sale Event.</w:t>
      </w:r>
    </w:p>
    <w:p>
      <w:pPr>
        <w:spacing w:after="0" w:line="16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“Cause” means a termination of the Grantee’s employment as a result of (i) conduct by the Grantee constituting deliberate dishonesty or gross misconduct in connection with the Grantee’s employment; (b) the Grantee’s commission of any crime involving moral turpitude or any felony; (c) the Grantee’s commitment of any fraud, embezzlement, breach of fiduciary duty or misappropriation of funds against the Company or its Subsidiaries or successor entity; (d) the Grantee’s material violation of any provision of any agreement(s) between the Grantee and the Company or its Subsidiaries or successor entity relating to noncompetition, nonsolicitation, nondisclosure and/or assignment of inventions; (e) the Grantee’s material violation of the Company’s (or a Subsidiary’s or successor entity’s) written policies or rules material to the Grantee’s employment that results in material demonstrable harm to the Company or its Subsidiaries or successor entity; or (f) failure to cooperate with a bona fide internal investigation or an investigation by regulatory or law enforcement authorities, after being instructed by the Company or its Subsidiaries or successor entity to cooperate, or the willful destruction or failure to preserve documents or other materials known to be relevant to such investigation or the inducement of others to fail to cooperate or to produce documents or other materials in connection with such investigation. In the event the Grantee is a party to an employment agreement with the Company or any Subsidiary that contains a different definition of “Cause,” the definition set forth in such other agreement shall be applicable to the Grantee for purposes of this Agreement and not this definition.</w:t>
      </w:r>
    </w:p>
    <w:p>
      <w:pPr>
        <w:spacing w:after="0" w:line="180" w:lineRule="exact"/>
        <w:rPr>
          <w:sz w:val="20"/>
          <w:szCs w:val="20"/>
          <w:color w:val="auto"/>
        </w:rPr>
      </w:pPr>
    </w:p>
    <w:p>
      <w:pPr>
        <w:jc w:val="both"/>
        <w:ind w:right="20" w:firstLine="656"/>
        <w:spacing w:after="0" w:line="312" w:lineRule="auto"/>
        <w:tabs>
          <w:tab w:leader="none" w:pos="1008"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restrictions and conditions in Paragraph 2 of this Agreement shall lapse on the Vesting Date or Dates specified in the following schedule so long as the Grantee remains an employee of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1" w:name="page122"/>
    <w:bookmarkEnd w:id="121"/>
    <w:tbl>
      <w:tblPr>
        <w:tblLayout w:type="fixed"/>
        <w:tblInd w:w="334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94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Number of</w:t>
            </w: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0"/>
        </w:trPr>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4"/>
              </w:rPr>
              <w:t>Shares Vested</w:t>
            </w: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1"/>
              </w:rPr>
              <w:t>Vesting Date</w:t>
            </w:r>
          </w:p>
        </w:tc>
        <w:tc>
          <w:tcPr>
            <w:tcW w:w="760" w:type="dxa"/>
            <w:vAlign w:val="bottom"/>
          </w:tcPr>
          <w:p>
            <w:pPr>
              <w:spacing w:after="0"/>
              <w:rPr>
                <w:sz w:val="16"/>
                <w:szCs w:val="16"/>
                <w:color w:val="auto"/>
              </w:rPr>
            </w:pPr>
          </w:p>
        </w:tc>
      </w:tr>
      <w:tr>
        <w:trPr>
          <w:trHeight w:val="415"/>
        </w:trPr>
        <w:tc>
          <w:tcPr>
            <w:tcW w:w="2100" w:type="dxa"/>
            <w:vAlign w:val="bottom"/>
            <w:gridSpan w:val="3"/>
          </w:tcPr>
          <w:p>
            <w:pPr>
              <w:jc w:val="center"/>
              <w:ind w:right="760"/>
              <w:spacing w:after="0"/>
              <w:rPr>
                <w:sz w:val="20"/>
                <w:szCs w:val="20"/>
                <w:color w:val="auto"/>
              </w:rPr>
            </w:pPr>
            <w:r>
              <w:rPr>
                <w:rFonts w:ascii="Arial" w:cs="Arial" w:eastAsia="Arial" w:hAnsi="Arial"/>
                <w:sz w:val="18"/>
                <w:szCs w:val="18"/>
                <w:color w:val="auto"/>
                <w:w w:val="88"/>
              </w:rPr>
              <w:t xml:space="preserve">33 </w:t>
            </w:r>
            <w:r>
              <w:rPr>
                <w:rFonts w:ascii="Arial" w:cs="Arial" w:eastAsia="Arial" w:hAnsi="Arial"/>
                <w:sz w:val="30"/>
                <w:szCs w:val="30"/>
                <w:color w:val="auto"/>
                <w:w w:val="88"/>
                <w:vertAlign w:val="superscript"/>
              </w:rPr>
              <w:t>1</w:t>
            </w:r>
            <w:r>
              <w:rPr>
                <w:rFonts w:ascii="Arial" w:cs="Arial" w:eastAsia="Arial" w:hAnsi="Arial"/>
                <w:sz w:val="18"/>
                <w:szCs w:val="18"/>
                <w:color w:val="auto"/>
                <w:w w:val="88"/>
              </w:rPr>
              <w:t xml:space="preserve">/3% (33 </w:t>
            </w:r>
            <w:r>
              <w:rPr>
                <w:rFonts w:ascii="Arial" w:cs="Arial" w:eastAsia="Arial" w:hAnsi="Arial"/>
                <w:sz w:val="30"/>
                <w:szCs w:val="30"/>
                <w:color w:val="auto"/>
                <w:w w:val="88"/>
                <w:vertAlign w:val="superscript"/>
              </w:rPr>
              <w:t>1</w:t>
            </w:r>
            <w:r>
              <w:rPr>
                <w:rFonts w:ascii="Arial" w:cs="Arial" w:eastAsia="Arial" w:hAnsi="Arial"/>
                <w:sz w:val="18"/>
                <w:szCs w:val="18"/>
                <w:color w:val="auto"/>
                <w:w w:val="88"/>
              </w:rPr>
              <w:t>/3%)</w:t>
            </w:r>
          </w:p>
        </w:tc>
        <w:tc>
          <w:tcPr>
            <w:tcW w:w="3220" w:type="dxa"/>
            <w:vAlign w:val="bottom"/>
            <w:gridSpan w:val="3"/>
          </w:tcPr>
          <w:p>
            <w:pPr>
              <w:jc w:val="center"/>
              <w:ind w:left="670"/>
              <w:spacing w:after="0"/>
              <w:rPr>
                <w:sz w:val="20"/>
                <w:szCs w:val="20"/>
                <w:color w:val="auto"/>
              </w:rPr>
            </w:pPr>
            <w:r>
              <w:rPr>
                <w:rFonts w:ascii="Arial" w:cs="Arial" w:eastAsia="Arial" w:hAnsi="Arial"/>
                <w:sz w:val="18"/>
                <w:szCs w:val="18"/>
                <w:color w:val="auto"/>
                <w:w w:val="93"/>
              </w:rPr>
              <w:t>Third Anniversary of Grant Date</w:t>
            </w:r>
          </w:p>
        </w:tc>
      </w:tr>
      <w:tr>
        <w:trPr>
          <w:trHeight w:val="216"/>
        </w:trPr>
        <w:tc>
          <w:tcPr>
            <w:tcW w:w="2100" w:type="dxa"/>
            <w:vAlign w:val="bottom"/>
            <w:gridSpan w:val="3"/>
          </w:tcPr>
          <w:p>
            <w:pPr>
              <w:jc w:val="center"/>
              <w:ind w:right="760"/>
              <w:spacing w:after="0" w:line="216" w:lineRule="exact"/>
              <w:rPr>
                <w:sz w:val="20"/>
                <w:szCs w:val="20"/>
                <w:color w:val="auto"/>
              </w:rPr>
            </w:pPr>
            <w:r>
              <w:rPr>
                <w:rFonts w:ascii="Arial" w:cs="Arial" w:eastAsia="Arial" w:hAnsi="Arial"/>
                <w:sz w:val="16"/>
                <w:szCs w:val="16"/>
                <w:color w:val="auto"/>
              </w:rPr>
              <w:t xml:space="preserve">33 </w:t>
            </w:r>
            <w:r>
              <w:rPr>
                <w:rFonts w:ascii="Arial" w:cs="Arial" w:eastAsia="Arial" w:hAnsi="Arial"/>
                <w:sz w:val="25"/>
                <w:szCs w:val="25"/>
                <w:color w:val="auto"/>
                <w:vertAlign w:val="superscript"/>
              </w:rPr>
              <w:t>1</w:t>
            </w:r>
            <w:r>
              <w:rPr>
                <w:rFonts w:ascii="Arial" w:cs="Arial" w:eastAsia="Arial" w:hAnsi="Arial"/>
                <w:sz w:val="16"/>
                <w:szCs w:val="16"/>
                <w:color w:val="auto"/>
              </w:rPr>
              <w:t xml:space="preserve">/3% (66 </w:t>
            </w:r>
            <w:r>
              <w:rPr>
                <w:rFonts w:ascii="Arial" w:cs="Arial" w:eastAsia="Arial" w:hAnsi="Arial"/>
                <w:sz w:val="25"/>
                <w:szCs w:val="25"/>
                <w:color w:val="auto"/>
                <w:vertAlign w:val="superscript"/>
              </w:rPr>
              <w:t>2</w:t>
            </w:r>
            <w:r>
              <w:rPr>
                <w:rFonts w:ascii="Arial" w:cs="Arial" w:eastAsia="Arial" w:hAnsi="Arial"/>
                <w:sz w:val="16"/>
                <w:szCs w:val="16"/>
                <w:color w:val="auto"/>
              </w:rPr>
              <w:t>/3%)</w:t>
            </w:r>
          </w:p>
        </w:tc>
        <w:tc>
          <w:tcPr>
            <w:tcW w:w="3220" w:type="dxa"/>
            <w:vAlign w:val="bottom"/>
            <w:gridSpan w:val="3"/>
          </w:tcPr>
          <w:p>
            <w:pPr>
              <w:jc w:val="center"/>
              <w:ind w:left="670"/>
              <w:spacing w:after="0"/>
              <w:rPr>
                <w:sz w:val="20"/>
                <w:szCs w:val="20"/>
                <w:color w:val="auto"/>
              </w:rPr>
            </w:pPr>
            <w:r>
              <w:rPr>
                <w:rFonts w:ascii="Arial" w:cs="Arial" w:eastAsia="Arial" w:hAnsi="Arial"/>
                <w:sz w:val="18"/>
                <w:szCs w:val="18"/>
                <w:color w:val="auto"/>
                <w:w w:val="92"/>
              </w:rPr>
              <w:t>Fourth Anniversary of Grant Date</w:t>
            </w:r>
          </w:p>
        </w:tc>
      </w:tr>
      <w:tr>
        <w:trPr>
          <w:trHeight w:val="390"/>
        </w:trPr>
        <w:tc>
          <w:tcPr>
            <w:tcW w:w="210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 xml:space="preserve">33 </w:t>
            </w:r>
            <w:r>
              <w:rPr>
                <w:rFonts w:ascii="Arial" w:cs="Arial" w:eastAsia="Arial" w:hAnsi="Arial"/>
                <w:sz w:val="30"/>
                <w:szCs w:val="30"/>
                <w:color w:val="auto"/>
                <w:w w:val="90"/>
                <w:vertAlign w:val="superscript"/>
              </w:rPr>
              <w:t>1</w:t>
            </w:r>
            <w:r>
              <w:rPr>
                <w:rFonts w:ascii="Arial" w:cs="Arial" w:eastAsia="Arial" w:hAnsi="Arial"/>
                <w:sz w:val="18"/>
                <w:szCs w:val="18"/>
                <w:color w:val="auto"/>
                <w:w w:val="90"/>
              </w:rPr>
              <w:t>/3% (100%)</w:t>
            </w:r>
          </w:p>
        </w:tc>
        <w:tc>
          <w:tcPr>
            <w:tcW w:w="322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Fifth Anniversary of Grant Date</w:t>
            </w:r>
          </w:p>
        </w:tc>
      </w:tr>
    </w:tbl>
    <w:p>
      <w:pPr>
        <w:spacing w:after="0" w:line="6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70" w:lineRule="exact"/>
        <w:rPr>
          <w:sz w:val="20"/>
          <w:szCs w:val="20"/>
          <w:color w:val="auto"/>
        </w:rPr>
      </w:pPr>
    </w:p>
    <w:p>
      <w:pPr>
        <w:ind w:left="1020" w:hanging="364"/>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on shares of Restricted Stock shall be paid currently to the Grantee.</w:t>
      </w:r>
    </w:p>
    <w:p>
      <w:pPr>
        <w:spacing w:after="0" w:line="225" w:lineRule="exact"/>
        <w:rPr>
          <w:rFonts w:ascii="Arial" w:cs="Arial" w:eastAsia="Arial" w:hAnsi="Arial"/>
          <w:sz w:val="18"/>
          <w:szCs w:val="18"/>
          <w:color w:val="auto"/>
        </w:rPr>
      </w:pPr>
    </w:p>
    <w:p>
      <w:pPr>
        <w:ind w:right="380" w:firstLine="656"/>
        <w:spacing w:after="0" w:line="264" w:lineRule="auto"/>
        <w:tabs>
          <w:tab w:leader="none" w:pos="100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1" w:lineRule="exact"/>
        <w:rPr>
          <w:rFonts w:ascii="Arial" w:cs="Arial" w:eastAsia="Arial" w:hAnsi="Arial"/>
          <w:sz w:val="18"/>
          <w:szCs w:val="18"/>
          <w:color w:val="auto"/>
        </w:rPr>
      </w:pPr>
    </w:p>
    <w:p>
      <w:pPr>
        <w:ind w:right="440" w:firstLine="656"/>
        <w:spacing w:after="0" w:line="277" w:lineRule="auto"/>
        <w:tabs>
          <w:tab w:leader="none" w:pos="100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170" w:lineRule="exact"/>
        <w:rPr>
          <w:rFonts w:ascii="Arial" w:cs="Arial" w:eastAsia="Arial" w:hAnsi="Arial"/>
          <w:sz w:val="18"/>
          <w:szCs w:val="18"/>
          <w:color w:val="auto"/>
        </w:rPr>
      </w:pPr>
    </w:p>
    <w:p>
      <w:pPr>
        <w:ind w:right="80" w:firstLine="656"/>
        <w:spacing w:after="0" w:line="297" w:lineRule="auto"/>
        <w:tabs>
          <w:tab w:leader="none" w:pos="1008"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Optionee may elect to have the minimum required tax withholding obligation satisfied, in whole or in part, by authorizing the Company to withhold from shares of Stock to be issued a number of shares of Stock with an aggregate Fair Market Value that would satisfy the minimum withholding amount due..</w:t>
      </w:r>
    </w:p>
    <w:p>
      <w:pPr>
        <w:spacing w:after="0" w:line="158" w:lineRule="exact"/>
        <w:rPr>
          <w:rFonts w:ascii="Arial" w:cs="Arial" w:eastAsia="Arial" w:hAnsi="Arial"/>
          <w:sz w:val="16"/>
          <w:szCs w:val="16"/>
          <w:color w:val="auto"/>
        </w:rPr>
      </w:pPr>
    </w:p>
    <w:p>
      <w:pPr>
        <w:ind w:right="160" w:firstLine="656"/>
        <w:spacing w:after="0" w:line="276" w:lineRule="auto"/>
        <w:tabs>
          <w:tab w:leader="none" w:pos="100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Election Under Section 83(b)</w:t>
      </w:r>
      <w:r>
        <w:rPr>
          <w:rFonts w:ascii="Arial" w:cs="Arial" w:eastAsia="Arial" w:hAnsi="Arial"/>
          <w:sz w:val="17"/>
          <w:szCs w:val="17"/>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72" w:lineRule="exact"/>
        <w:rPr>
          <w:rFonts w:ascii="Arial" w:cs="Arial" w:eastAsia="Arial" w:hAnsi="Arial"/>
          <w:sz w:val="17"/>
          <w:szCs w:val="17"/>
          <w:color w:val="auto"/>
        </w:rPr>
      </w:pPr>
    </w:p>
    <w:p>
      <w:pPr>
        <w:ind w:firstLine="656"/>
        <w:spacing w:after="0" w:line="264" w:lineRule="auto"/>
        <w:tabs>
          <w:tab w:leader="none" w:pos="100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2" w:name="page123"/>
    <w:bookmarkEnd w:id="122"/>
    <w:p>
      <w:pPr>
        <w:ind w:left="-80" w:right="740" w:firstLine="656"/>
        <w:spacing w:after="0" w:line="277" w:lineRule="auto"/>
        <w:tabs>
          <w:tab w:leader="none" w:pos="101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left="-80" w:firstLine="656"/>
        <w:spacing w:after="0" w:line="290" w:lineRule="auto"/>
        <w:tabs>
          <w:tab w:leader="none" w:pos="1011"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 LEFT BLANK]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123" w:name="page124"/>
    <w:bookmarkEnd w:id="123"/>
    <w:p>
      <w:pPr>
        <w:ind w:firstLine="656"/>
        <w:spacing w:after="0" w:line="264" w:lineRule="auto"/>
        <w:tabs>
          <w:tab w:leader="none" w:pos="109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NORTHEAST BANCORP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663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572135</wp:posOffset>
            </wp:positionV>
            <wp:extent cx="36188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855345</wp:posOffset>
            </wp:positionV>
            <wp:extent cx="36188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240" w:top="584" w:right="4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10.2b</w:t>
      </w:r>
    </w:p>
    <w:p>
      <w:pPr>
        <w:spacing w:after="0" w:line="200" w:lineRule="exact"/>
        <w:rPr>
          <w:sz w:val="20"/>
          <w:szCs w:val="20"/>
          <w:color w:val="auto"/>
        </w:rPr>
      </w:pPr>
    </w:p>
    <w:p>
      <w:pPr>
        <w:spacing w:after="0" w:line="300"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RESTRICTED STOCK AWARD AGREEMENT UNDER NORTHEAST BANCORP AMENDED AND RESTATED 2010 STOCK OPTION AND INCENTIVE PLAN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18783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Type of Stock:</w:t>
      </w:r>
      <w:r>
        <w:rPr>
          <w:sz w:val="20"/>
          <w:szCs w:val="20"/>
          <w:color w:val="auto"/>
        </w:rPr>
        <w:tab/>
      </w:r>
      <w:r>
        <w:rPr>
          <w:rFonts w:ascii="Arial" w:cs="Arial" w:eastAsia="Arial" w:hAnsi="Arial"/>
          <w:sz w:val="16"/>
          <w:szCs w:val="16"/>
          <w:color w:val="auto"/>
        </w:rPr>
        <w:t>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18783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18783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18783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Pursuant to the Northeast Bancorp Amended and Restated 2010 Stock Option and Incentive Plan (the “Plan”) as amended through the date hereof, Northeast Bancorp (the “Company”) hereby grants a Restricted Stock Award (an “Award”) to the Grantee named above. Upon acceptance of this Award, the Grantee shall receive the number of shares of Voting Common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58" w:lineRule="exact"/>
        <w:rPr>
          <w:sz w:val="20"/>
          <w:szCs w:val="20"/>
          <w:color w:val="auto"/>
        </w:rPr>
      </w:pPr>
    </w:p>
    <w:p>
      <w:pPr>
        <w:ind w:right="60" w:firstLine="656"/>
        <w:spacing w:after="0" w:line="302" w:lineRule="auto"/>
        <w:tabs>
          <w:tab w:leader="none" w:pos="1008"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54" w:lineRule="exact"/>
        <w:rPr>
          <w:rFonts w:ascii="Arial" w:cs="Arial" w:eastAsia="Arial" w:hAnsi="Arial"/>
          <w:sz w:val="16"/>
          <w:szCs w:val="16"/>
          <w:color w:val="auto"/>
        </w:rPr>
      </w:pPr>
    </w:p>
    <w:p>
      <w:pPr>
        <w:ind w:left="1020" w:hanging="364"/>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80"/>
        <w:spacing w:after="0" w:line="277" w:lineRule="auto"/>
        <w:tabs>
          <w:tab w:leader="none" w:pos="1387"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70" w:lineRule="exact"/>
        <w:rPr>
          <w:rFonts w:ascii="Arial" w:cs="Arial" w:eastAsia="Arial" w:hAnsi="Arial"/>
          <w:sz w:val="18"/>
          <w:szCs w:val="18"/>
          <w:color w:val="auto"/>
        </w:rPr>
      </w:pPr>
    </w:p>
    <w:p>
      <w:pPr>
        <w:ind w:right="180" w:firstLine="980"/>
        <w:spacing w:after="0" w:line="277" w:lineRule="auto"/>
        <w:tabs>
          <w:tab w:leader="none" w:pos="1407" w:val="left"/>
        </w:tabs>
        <w:numPr>
          <w:ilvl w:val="1"/>
          <w:numId w:val="84"/>
        </w:numPr>
        <w:rPr>
          <w:rFonts w:ascii="Arial" w:cs="Arial" w:eastAsia="Arial" w:hAnsi="Arial"/>
          <w:sz w:val="18"/>
          <w:szCs w:val="18"/>
          <w:color w:val="auto"/>
        </w:rPr>
      </w:pPr>
      <w:r>
        <w:rPr>
          <w:rFonts w:ascii="Arial" w:cs="Arial" w:eastAsia="Arial" w:hAnsi="Arial"/>
          <w:sz w:val="18"/>
          <w:szCs w:val="18"/>
          <w:color w:val="auto"/>
        </w:rPr>
        <w:t>Shares of Restricted Stock granted herein may not be sold, assigned, transferred, pledged or otherwise encumbered or disposed of by the Grantee prior to vesting.</w:t>
      </w:r>
    </w:p>
    <w:p>
      <w:pPr>
        <w:spacing w:after="0" w:line="170" w:lineRule="exact"/>
        <w:rPr>
          <w:rFonts w:ascii="Arial" w:cs="Arial" w:eastAsia="Arial" w:hAnsi="Arial"/>
          <w:sz w:val="18"/>
          <w:szCs w:val="18"/>
          <w:color w:val="auto"/>
        </w:rPr>
      </w:pPr>
    </w:p>
    <w:p>
      <w:pPr>
        <w:ind w:right="100" w:firstLine="980"/>
        <w:spacing w:after="0" w:line="255" w:lineRule="auto"/>
        <w:tabs>
          <w:tab w:leader="none" w:pos="1397"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Grantee’s employment with the Company and its Subsidiaries is voluntarily or involuntarily terminated for any reason prior to vesting of shares of Restricted Stock granted herein, all shares of Restricted Stock shall immediately and automatically be forfeited and returned to the Company. Notwithstanding the foregoing, if the Grantee’s employment with the Company and its Subsidiaries is terminated due to the Grantee’s death or disability prior to the vesting of shares of Restricted Stock granted herein, all restrictions shall lapse and such shares shall automatically become fully vested. The Administrator’s determination of the reason for termination of the Grantee’s employment shall be conclusive and binding on the Grantee and his or her representatives or legatees.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jc w:val="both"/>
        <w:ind w:firstLine="656"/>
        <w:spacing w:after="0" w:line="312" w:lineRule="auto"/>
        <w:tabs>
          <w:tab w:leader="none" w:pos="100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restrictions and conditions in Paragraph 2 of this Agreement shall lapse on the Vesting Date or Dates specified in the following schedule so long as the Grantee remains an employee of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147" w:lineRule="exact"/>
        <w:rPr>
          <w:sz w:val="20"/>
          <w:szCs w:val="20"/>
          <w:color w:val="auto"/>
        </w:rPr>
      </w:pPr>
    </w:p>
    <w:tbl>
      <w:tblPr>
        <w:tblLayout w:type="fixed"/>
        <w:tblInd w:w="334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94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Number of</w:t>
            </w: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0"/>
        </w:trPr>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4"/>
              </w:rPr>
              <w:t>Shares Vested</w:t>
            </w: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1"/>
              </w:rPr>
              <w:t>Vesting Date</w:t>
            </w:r>
          </w:p>
        </w:tc>
        <w:tc>
          <w:tcPr>
            <w:tcW w:w="760" w:type="dxa"/>
            <w:vAlign w:val="bottom"/>
          </w:tcPr>
          <w:p>
            <w:pPr>
              <w:spacing w:after="0"/>
              <w:rPr>
                <w:sz w:val="16"/>
                <w:szCs w:val="16"/>
                <w:color w:val="auto"/>
              </w:rPr>
            </w:pPr>
          </w:p>
        </w:tc>
      </w:tr>
      <w:tr>
        <w:trPr>
          <w:trHeight w:val="415"/>
        </w:trPr>
        <w:tc>
          <w:tcPr>
            <w:tcW w:w="2100" w:type="dxa"/>
            <w:vAlign w:val="bottom"/>
            <w:gridSpan w:val="3"/>
          </w:tcPr>
          <w:p>
            <w:pPr>
              <w:jc w:val="center"/>
              <w:ind w:right="760"/>
              <w:spacing w:after="0"/>
              <w:rPr>
                <w:sz w:val="20"/>
                <w:szCs w:val="20"/>
                <w:color w:val="auto"/>
              </w:rPr>
            </w:pPr>
            <w:r>
              <w:rPr>
                <w:rFonts w:ascii="Arial" w:cs="Arial" w:eastAsia="Arial" w:hAnsi="Arial"/>
                <w:sz w:val="18"/>
                <w:szCs w:val="18"/>
                <w:color w:val="auto"/>
                <w:w w:val="88"/>
              </w:rPr>
              <w:t xml:space="preserve">33 </w:t>
            </w:r>
            <w:r>
              <w:rPr>
                <w:rFonts w:ascii="Arial" w:cs="Arial" w:eastAsia="Arial" w:hAnsi="Arial"/>
                <w:sz w:val="30"/>
                <w:szCs w:val="30"/>
                <w:color w:val="auto"/>
                <w:w w:val="88"/>
                <w:vertAlign w:val="superscript"/>
              </w:rPr>
              <w:t>1</w:t>
            </w:r>
            <w:r>
              <w:rPr>
                <w:rFonts w:ascii="Arial" w:cs="Arial" w:eastAsia="Arial" w:hAnsi="Arial"/>
                <w:sz w:val="18"/>
                <w:szCs w:val="18"/>
                <w:color w:val="auto"/>
                <w:w w:val="88"/>
              </w:rPr>
              <w:t xml:space="preserve">/3% (33 </w:t>
            </w:r>
            <w:r>
              <w:rPr>
                <w:rFonts w:ascii="Arial" w:cs="Arial" w:eastAsia="Arial" w:hAnsi="Arial"/>
                <w:sz w:val="30"/>
                <w:szCs w:val="30"/>
                <w:color w:val="auto"/>
                <w:w w:val="88"/>
                <w:vertAlign w:val="superscript"/>
              </w:rPr>
              <w:t>1</w:t>
            </w:r>
            <w:r>
              <w:rPr>
                <w:rFonts w:ascii="Arial" w:cs="Arial" w:eastAsia="Arial" w:hAnsi="Arial"/>
                <w:sz w:val="18"/>
                <w:szCs w:val="18"/>
                <w:color w:val="auto"/>
                <w:w w:val="88"/>
              </w:rPr>
              <w:t>/3%)</w:t>
            </w:r>
          </w:p>
        </w:tc>
        <w:tc>
          <w:tcPr>
            <w:tcW w:w="3220" w:type="dxa"/>
            <w:vAlign w:val="bottom"/>
            <w:gridSpan w:val="3"/>
          </w:tcPr>
          <w:p>
            <w:pPr>
              <w:jc w:val="center"/>
              <w:ind w:left="670"/>
              <w:spacing w:after="0"/>
              <w:rPr>
                <w:sz w:val="20"/>
                <w:szCs w:val="20"/>
                <w:color w:val="auto"/>
              </w:rPr>
            </w:pPr>
            <w:r>
              <w:rPr>
                <w:rFonts w:ascii="Arial" w:cs="Arial" w:eastAsia="Arial" w:hAnsi="Arial"/>
                <w:sz w:val="18"/>
                <w:szCs w:val="18"/>
                <w:color w:val="auto"/>
                <w:w w:val="93"/>
              </w:rPr>
              <w:t>Third Anniversary of Grant Date</w:t>
            </w:r>
          </w:p>
        </w:tc>
      </w:tr>
      <w:tr>
        <w:trPr>
          <w:trHeight w:val="216"/>
        </w:trPr>
        <w:tc>
          <w:tcPr>
            <w:tcW w:w="2100" w:type="dxa"/>
            <w:vAlign w:val="bottom"/>
            <w:gridSpan w:val="3"/>
          </w:tcPr>
          <w:p>
            <w:pPr>
              <w:jc w:val="center"/>
              <w:ind w:right="760"/>
              <w:spacing w:after="0" w:line="216" w:lineRule="exact"/>
              <w:rPr>
                <w:sz w:val="20"/>
                <w:szCs w:val="20"/>
                <w:color w:val="auto"/>
              </w:rPr>
            </w:pPr>
            <w:r>
              <w:rPr>
                <w:rFonts w:ascii="Arial" w:cs="Arial" w:eastAsia="Arial" w:hAnsi="Arial"/>
                <w:sz w:val="16"/>
                <w:szCs w:val="16"/>
                <w:color w:val="auto"/>
              </w:rPr>
              <w:t xml:space="preserve">33 </w:t>
            </w:r>
            <w:r>
              <w:rPr>
                <w:rFonts w:ascii="Arial" w:cs="Arial" w:eastAsia="Arial" w:hAnsi="Arial"/>
                <w:sz w:val="25"/>
                <w:szCs w:val="25"/>
                <w:color w:val="auto"/>
                <w:vertAlign w:val="superscript"/>
              </w:rPr>
              <w:t>1</w:t>
            </w:r>
            <w:r>
              <w:rPr>
                <w:rFonts w:ascii="Arial" w:cs="Arial" w:eastAsia="Arial" w:hAnsi="Arial"/>
                <w:sz w:val="16"/>
                <w:szCs w:val="16"/>
                <w:color w:val="auto"/>
              </w:rPr>
              <w:t xml:space="preserve">/3% (66 </w:t>
            </w:r>
            <w:r>
              <w:rPr>
                <w:rFonts w:ascii="Arial" w:cs="Arial" w:eastAsia="Arial" w:hAnsi="Arial"/>
                <w:sz w:val="25"/>
                <w:szCs w:val="25"/>
                <w:color w:val="auto"/>
                <w:vertAlign w:val="superscript"/>
              </w:rPr>
              <w:t>2</w:t>
            </w:r>
            <w:r>
              <w:rPr>
                <w:rFonts w:ascii="Arial" w:cs="Arial" w:eastAsia="Arial" w:hAnsi="Arial"/>
                <w:sz w:val="16"/>
                <w:szCs w:val="16"/>
                <w:color w:val="auto"/>
              </w:rPr>
              <w:t>/3%)</w:t>
            </w:r>
          </w:p>
        </w:tc>
        <w:tc>
          <w:tcPr>
            <w:tcW w:w="3220" w:type="dxa"/>
            <w:vAlign w:val="bottom"/>
            <w:gridSpan w:val="3"/>
          </w:tcPr>
          <w:p>
            <w:pPr>
              <w:jc w:val="center"/>
              <w:ind w:left="670"/>
              <w:spacing w:after="0"/>
              <w:rPr>
                <w:sz w:val="20"/>
                <w:szCs w:val="20"/>
                <w:color w:val="auto"/>
              </w:rPr>
            </w:pPr>
            <w:r>
              <w:rPr>
                <w:rFonts w:ascii="Arial" w:cs="Arial" w:eastAsia="Arial" w:hAnsi="Arial"/>
                <w:sz w:val="18"/>
                <w:szCs w:val="18"/>
                <w:color w:val="auto"/>
                <w:w w:val="92"/>
              </w:rPr>
              <w:t>Fourth Anniversary of Grant Date</w:t>
            </w:r>
          </w:p>
        </w:tc>
      </w:tr>
      <w:tr>
        <w:trPr>
          <w:trHeight w:val="390"/>
        </w:trPr>
        <w:tc>
          <w:tcPr>
            <w:tcW w:w="210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 xml:space="preserve">33 </w:t>
            </w:r>
            <w:r>
              <w:rPr>
                <w:rFonts w:ascii="Arial" w:cs="Arial" w:eastAsia="Arial" w:hAnsi="Arial"/>
                <w:sz w:val="30"/>
                <w:szCs w:val="30"/>
                <w:color w:val="auto"/>
                <w:w w:val="90"/>
                <w:vertAlign w:val="superscript"/>
              </w:rPr>
              <w:t>1</w:t>
            </w:r>
            <w:r>
              <w:rPr>
                <w:rFonts w:ascii="Arial" w:cs="Arial" w:eastAsia="Arial" w:hAnsi="Arial"/>
                <w:sz w:val="18"/>
                <w:szCs w:val="18"/>
                <w:color w:val="auto"/>
                <w:w w:val="90"/>
              </w:rPr>
              <w:t>/3% (100%)</w:t>
            </w:r>
          </w:p>
        </w:tc>
        <w:tc>
          <w:tcPr>
            <w:tcW w:w="322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Fifth Anniversary of Grant Date</w:t>
            </w:r>
          </w:p>
        </w:tc>
      </w:tr>
    </w:tbl>
    <w:p>
      <w:pPr>
        <w:spacing w:after="0" w:line="65"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Subsequent to such Vesting Date or Dates, the shares of Stock on which all restrictions and conditions have lapsed shall no longer be deemed Restricted Stock. The Administrator may at any time accelerate the vesting schedule specified in this Paragraph 3. Notwithstanding anything herein to the contrary, in the case of a Sale Event, all restrictions and conditions shall lapse and such shares shall automatically become fully vested.</w:t>
      </w:r>
    </w:p>
    <w:p>
      <w:pPr>
        <w:spacing w:after="0" w:line="147" w:lineRule="exact"/>
        <w:rPr>
          <w:sz w:val="20"/>
          <w:szCs w:val="20"/>
          <w:color w:val="auto"/>
        </w:rPr>
      </w:pPr>
    </w:p>
    <w:p>
      <w:pPr>
        <w:ind w:left="1020" w:hanging="364"/>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on shares of Restricted Stock shall be paid currently to the Grantee.</w:t>
      </w:r>
    </w:p>
    <w:p>
      <w:pPr>
        <w:spacing w:after="0" w:line="225" w:lineRule="exact"/>
        <w:rPr>
          <w:rFonts w:ascii="Arial" w:cs="Arial" w:eastAsia="Arial" w:hAnsi="Arial"/>
          <w:sz w:val="18"/>
          <w:szCs w:val="18"/>
          <w:color w:val="auto"/>
        </w:rPr>
      </w:pPr>
    </w:p>
    <w:p>
      <w:pPr>
        <w:ind w:right="380" w:firstLine="656"/>
        <w:spacing w:after="0" w:line="264" w:lineRule="auto"/>
        <w:tabs>
          <w:tab w:leader="none" w:pos="100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1" w:lineRule="exact"/>
        <w:rPr>
          <w:rFonts w:ascii="Arial" w:cs="Arial" w:eastAsia="Arial" w:hAnsi="Arial"/>
          <w:sz w:val="18"/>
          <w:szCs w:val="18"/>
          <w:color w:val="auto"/>
        </w:rPr>
      </w:pPr>
    </w:p>
    <w:p>
      <w:pPr>
        <w:ind w:right="440" w:firstLine="656"/>
        <w:spacing w:after="0" w:line="277" w:lineRule="auto"/>
        <w:tabs>
          <w:tab w:leader="none" w:pos="100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170" w:lineRule="exact"/>
        <w:rPr>
          <w:rFonts w:ascii="Arial" w:cs="Arial" w:eastAsia="Arial" w:hAnsi="Arial"/>
          <w:sz w:val="18"/>
          <w:szCs w:val="18"/>
          <w:color w:val="auto"/>
        </w:rPr>
      </w:pPr>
    </w:p>
    <w:p>
      <w:pPr>
        <w:ind w:right="80" w:firstLine="656"/>
        <w:spacing w:after="0" w:line="297" w:lineRule="auto"/>
        <w:tabs>
          <w:tab w:leader="none" w:pos="1008"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Optionee may elect to have the minimum required tax withholding obligation satisfied, in whole or in part, by authorizing the Company to withhold from shares of Stock to be issued a number of shares of Stock with an aggregate Fair Market Value that would satisfy the minimum withholding amount due..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6" w:name="page127"/>
    <w:bookmarkEnd w:id="126"/>
    <w:p>
      <w:pPr>
        <w:ind w:right="160" w:firstLine="656"/>
        <w:spacing w:after="0" w:line="276" w:lineRule="auto"/>
        <w:tabs>
          <w:tab w:leader="none" w:pos="100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Election Under Section 83(b)</w:t>
      </w:r>
      <w:r>
        <w:rPr>
          <w:rFonts w:ascii="Arial" w:cs="Arial" w:eastAsia="Arial" w:hAnsi="Arial"/>
          <w:sz w:val="17"/>
          <w:szCs w:val="17"/>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72" w:lineRule="exact"/>
        <w:rPr>
          <w:rFonts w:ascii="Arial" w:cs="Arial" w:eastAsia="Arial" w:hAnsi="Arial"/>
          <w:sz w:val="17"/>
          <w:szCs w:val="17"/>
          <w:color w:val="auto"/>
        </w:rPr>
      </w:pPr>
    </w:p>
    <w:p>
      <w:pPr>
        <w:ind w:firstLine="656"/>
        <w:spacing w:after="0" w:line="264" w:lineRule="auto"/>
        <w:tabs>
          <w:tab w:leader="none" w:pos="100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81" w:lineRule="exact"/>
        <w:rPr>
          <w:rFonts w:ascii="Arial" w:cs="Arial" w:eastAsia="Arial" w:hAnsi="Arial"/>
          <w:sz w:val="18"/>
          <w:szCs w:val="18"/>
          <w:color w:val="auto"/>
        </w:rPr>
      </w:pPr>
    </w:p>
    <w:p>
      <w:pPr>
        <w:ind w:right="780" w:firstLine="656"/>
        <w:spacing w:after="0" w:line="277" w:lineRule="auto"/>
        <w:tabs>
          <w:tab w:leader="none" w:pos="109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right="40" w:firstLine="656"/>
        <w:spacing w:after="0" w:line="290" w:lineRule="auto"/>
        <w:tabs>
          <w:tab w:leader="none" w:pos="10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7" w:name="page128"/>
    <w:bookmarkEnd w:id="127"/>
    <w:p>
      <w:pPr>
        <w:ind w:firstLine="656"/>
        <w:spacing w:after="0" w:line="264" w:lineRule="auto"/>
        <w:tabs>
          <w:tab w:leader="none" w:pos="109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NORTHEAST BANCORP</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&amp; Chief Executive Officer</w:t>
      </w:r>
    </w:p>
    <w:p>
      <w:pPr>
        <w:spacing w:after="0" w:line="200" w:lineRule="exact"/>
        <w:rPr>
          <w:sz w:val="20"/>
          <w:szCs w:val="20"/>
          <w:color w:val="auto"/>
        </w:rPr>
      </w:pPr>
    </w:p>
    <w:p>
      <w:pPr>
        <w:spacing w:after="0" w:line="25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663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572135</wp:posOffset>
            </wp:positionV>
            <wp:extent cx="36188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855345</wp:posOffset>
            </wp:positionV>
            <wp:extent cx="36188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240" w:top="584" w:right="47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COMPANY EMPLOYEES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NORTHEAST BANCORP AMENDED AND RESTATED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STOCK OPTION AND INCENTIVE PLAN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4490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Type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4490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4490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Option Exercise Price per Share: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22225</wp:posOffset>
            </wp:positionV>
            <wp:extent cx="14490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4490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4490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Northeast Bancorp Amended and Restated 2010 Stock Option and Incentive Plan as amended through the date hereof (the “Plan”), Northeast Bancorp (the “Company”) hereby grants to the Optionee named above an option (the “Stock Option”) to purchase on or prior to the Expiration Date specified above all or part of the number of shares of Voting Common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 (the “Code”).</w:t>
      </w:r>
    </w:p>
    <w:p>
      <w:pPr>
        <w:spacing w:after="0" w:line="188" w:lineRule="exact"/>
        <w:rPr>
          <w:sz w:val="20"/>
          <w:szCs w:val="20"/>
          <w:color w:val="auto"/>
        </w:rPr>
      </w:pPr>
    </w:p>
    <w:p>
      <w:pPr>
        <w:ind w:right="60" w:firstLine="656"/>
        <w:spacing w:after="0" w:line="259" w:lineRule="auto"/>
        <w:tabs>
          <w:tab w:leader="none" w:pos="100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remains an employee of the Company or a Subsidiary on such dates:</w:t>
      </w:r>
    </w:p>
    <w:p>
      <w:pPr>
        <w:spacing w:after="0" w:line="187" w:lineRule="exact"/>
        <w:rPr>
          <w:sz w:val="20"/>
          <w:szCs w:val="20"/>
          <w:color w:val="auto"/>
        </w:rPr>
      </w:pPr>
    </w:p>
    <w:tbl>
      <w:tblPr>
        <w:tblLayout w:type="fixed"/>
        <w:tblInd w:w="2800" w:type="dxa"/>
        <w:tblCellMar>
          <w:top w:w="0" w:type="dxa"/>
          <w:left w:w="0" w:type="dxa"/>
          <w:bottom w:w="0" w:type="dxa"/>
          <w:right w:w="0" w:type="dxa"/>
        </w:tblCellMar>
      </w:tblPr>
      <w:tr>
        <w:trPr>
          <w:trHeight w:val="216"/>
        </w:trPr>
        <w:tc>
          <w:tcPr>
            <w:tcW w:w="292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Incremental (Aggregate Number)</w:t>
            </w: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0"/>
        </w:trPr>
        <w:tc>
          <w:tcPr>
            <w:tcW w:w="160" w:type="dxa"/>
            <w:vAlign w:val="bottom"/>
          </w:tcPr>
          <w:p>
            <w:pPr>
              <w:spacing w:after="0"/>
              <w:rPr>
                <w:sz w:val="16"/>
                <w:szCs w:val="16"/>
                <w:color w:val="auto"/>
              </w:rPr>
            </w:pPr>
          </w:p>
        </w:tc>
        <w:tc>
          <w:tcPr>
            <w:tcW w:w="2760" w:type="dxa"/>
            <w:vAlign w:val="bottom"/>
            <w:gridSpan w:val="2"/>
          </w:tcPr>
          <w:p>
            <w:pPr>
              <w:jc w:val="center"/>
              <w:ind w:right="660"/>
              <w:spacing w:after="0" w:line="190" w:lineRule="exact"/>
              <w:rPr>
                <w:sz w:val="20"/>
                <w:szCs w:val="20"/>
                <w:color w:val="auto"/>
              </w:rPr>
            </w:pPr>
            <w:r>
              <w:rPr>
                <w:rFonts w:ascii="Arial" w:cs="Arial" w:eastAsia="Arial" w:hAnsi="Arial"/>
                <w:sz w:val="18"/>
                <w:szCs w:val="18"/>
                <w:color w:val="auto"/>
                <w:w w:val="90"/>
              </w:rPr>
              <w:t>of Option Shares Exercisable</w:t>
            </w:r>
          </w:p>
        </w:tc>
        <w:tc>
          <w:tcPr>
            <w:tcW w:w="2940" w:type="dxa"/>
            <w:vAlign w:val="bottom"/>
            <w:gridSpan w:val="3"/>
          </w:tcPr>
          <w:p>
            <w:pPr>
              <w:jc w:val="center"/>
              <w:ind w:left="390"/>
              <w:spacing w:after="0" w:line="190" w:lineRule="exact"/>
              <w:rPr>
                <w:sz w:val="20"/>
                <w:szCs w:val="20"/>
                <w:color w:val="auto"/>
              </w:rPr>
            </w:pPr>
            <w:r>
              <w:rPr>
                <w:rFonts w:ascii="Arial" w:cs="Arial" w:eastAsia="Arial" w:hAnsi="Arial"/>
                <w:sz w:val="18"/>
                <w:szCs w:val="18"/>
                <w:color w:val="auto"/>
                <w:w w:val="93"/>
              </w:rPr>
              <w:t>Exercisability Date</w:t>
            </w:r>
          </w:p>
        </w:tc>
      </w:tr>
      <w:tr>
        <w:trPr>
          <w:trHeight w:val="20"/>
        </w:trPr>
        <w:tc>
          <w:tcPr>
            <w:tcW w:w="1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5"/>
        </w:trPr>
        <w:tc>
          <w:tcPr>
            <w:tcW w:w="16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 xml:space="preserve">33 </w:t>
            </w:r>
            <w:r>
              <w:rPr>
                <w:rFonts w:ascii="Arial" w:cs="Arial" w:eastAsia="Arial" w:hAnsi="Arial"/>
                <w:sz w:val="30"/>
                <w:szCs w:val="30"/>
                <w:color w:val="auto"/>
                <w:w w:val="88"/>
                <w:vertAlign w:val="superscript"/>
              </w:rPr>
              <w:t>1</w:t>
            </w:r>
            <w:r>
              <w:rPr>
                <w:rFonts w:ascii="Arial" w:cs="Arial" w:eastAsia="Arial" w:hAnsi="Arial"/>
                <w:sz w:val="18"/>
                <w:szCs w:val="18"/>
                <w:color w:val="auto"/>
                <w:w w:val="88"/>
              </w:rPr>
              <w:t>/</w:t>
            </w:r>
            <w:r>
              <w:rPr>
                <w:rFonts w:ascii="Arial" w:cs="Arial" w:eastAsia="Arial" w:hAnsi="Arial"/>
                <w:sz w:val="14"/>
                <w:szCs w:val="14"/>
                <w:color w:val="auto"/>
                <w:w w:val="88"/>
              </w:rPr>
              <w:t>3</w:t>
            </w:r>
            <w:r>
              <w:rPr>
                <w:rFonts w:ascii="Arial" w:cs="Arial" w:eastAsia="Arial" w:hAnsi="Arial"/>
                <w:sz w:val="18"/>
                <w:szCs w:val="18"/>
                <w:color w:val="auto"/>
                <w:w w:val="88"/>
              </w:rPr>
              <w:t xml:space="preserve">% (33 </w:t>
            </w:r>
            <w:r>
              <w:rPr>
                <w:rFonts w:ascii="Arial" w:cs="Arial" w:eastAsia="Arial" w:hAnsi="Arial"/>
                <w:sz w:val="30"/>
                <w:szCs w:val="30"/>
                <w:color w:val="auto"/>
                <w:w w:val="88"/>
                <w:vertAlign w:val="superscript"/>
              </w:rPr>
              <w:t>1</w:t>
            </w:r>
            <w:r>
              <w:rPr>
                <w:rFonts w:ascii="Arial" w:cs="Arial" w:eastAsia="Arial" w:hAnsi="Arial"/>
                <w:sz w:val="18"/>
                <w:szCs w:val="18"/>
                <w:color w:val="auto"/>
                <w:w w:val="88"/>
              </w:rPr>
              <w:t>/</w:t>
            </w:r>
            <w:r>
              <w:rPr>
                <w:rFonts w:ascii="Arial" w:cs="Arial" w:eastAsia="Arial" w:hAnsi="Arial"/>
                <w:sz w:val="14"/>
                <w:szCs w:val="14"/>
                <w:color w:val="auto"/>
                <w:w w:val="88"/>
              </w:rPr>
              <w:t>3</w:t>
            </w:r>
            <w:r>
              <w:rPr>
                <w:rFonts w:ascii="Arial" w:cs="Arial" w:eastAsia="Arial" w:hAnsi="Arial"/>
                <w:sz w:val="18"/>
                <w:szCs w:val="18"/>
                <w:color w:val="auto"/>
                <w:w w:val="88"/>
              </w:rPr>
              <w:t>%)</w:t>
            </w:r>
          </w:p>
        </w:tc>
        <w:tc>
          <w:tcPr>
            <w:tcW w:w="660" w:type="dxa"/>
            <w:vAlign w:val="bottom"/>
          </w:tcPr>
          <w:p>
            <w:pPr>
              <w:spacing w:after="0"/>
              <w:rPr>
                <w:sz w:val="24"/>
                <w:szCs w:val="24"/>
                <w:color w:val="auto"/>
              </w:rPr>
            </w:pPr>
          </w:p>
        </w:tc>
        <w:tc>
          <w:tcPr>
            <w:tcW w:w="294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Third Anniversary of Grant Date</w:t>
            </w:r>
          </w:p>
        </w:tc>
      </w:tr>
      <w:tr>
        <w:trPr>
          <w:trHeight w:val="216"/>
        </w:trPr>
        <w:tc>
          <w:tcPr>
            <w:tcW w:w="2260" w:type="dxa"/>
            <w:vAlign w:val="bottom"/>
            <w:gridSpan w:val="2"/>
          </w:tcPr>
          <w:p>
            <w:pPr>
              <w:jc w:val="center"/>
              <w:ind w:left="74"/>
              <w:spacing w:after="0" w:line="216" w:lineRule="exact"/>
              <w:rPr>
                <w:sz w:val="20"/>
                <w:szCs w:val="20"/>
                <w:color w:val="auto"/>
              </w:rPr>
            </w:pPr>
            <w:r>
              <w:rPr>
                <w:rFonts w:ascii="Arial" w:cs="Arial" w:eastAsia="Arial" w:hAnsi="Arial"/>
                <w:sz w:val="16"/>
                <w:szCs w:val="16"/>
                <w:color w:val="auto"/>
              </w:rPr>
              <w:t xml:space="preserve">33 </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(66 </w:t>
            </w:r>
            <w:r>
              <w:rPr>
                <w:rFonts w:ascii="Arial" w:cs="Arial" w:eastAsia="Arial" w:hAnsi="Arial"/>
                <w:sz w:val="25"/>
                <w:szCs w:val="25"/>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940" w:type="dxa"/>
            <w:vAlign w:val="bottom"/>
            <w:gridSpan w:val="3"/>
          </w:tcPr>
          <w:p>
            <w:pPr>
              <w:jc w:val="center"/>
              <w:ind w:left="390"/>
              <w:spacing w:after="0"/>
              <w:rPr>
                <w:sz w:val="20"/>
                <w:szCs w:val="20"/>
                <w:color w:val="auto"/>
              </w:rPr>
            </w:pPr>
            <w:r>
              <w:rPr>
                <w:rFonts w:ascii="Arial" w:cs="Arial" w:eastAsia="Arial" w:hAnsi="Arial"/>
                <w:sz w:val="18"/>
                <w:szCs w:val="18"/>
                <w:color w:val="auto"/>
                <w:w w:val="92"/>
              </w:rPr>
              <w:t>Fourth Anniversary of Grant Date</w:t>
            </w:r>
          </w:p>
        </w:tc>
      </w:tr>
      <w:tr>
        <w:trPr>
          <w:trHeight w:val="390"/>
        </w:trPr>
        <w:tc>
          <w:tcPr>
            <w:tcW w:w="2260" w:type="dxa"/>
            <w:vAlign w:val="bottom"/>
            <w:gridSpan w:val="2"/>
          </w:tcPr>
          <w:p>
            <w:pPr>
              <w:jc w:val="center"/>
              <w:ind w:left="94"/>
              <w:spacing w:after="0"/>
              <w:rPr>
                <w:sz w:val="20"/>
                <w:szCs w:val="20"/>
                <w:color w:val="auto"/>
              </w:rPr>
            </w:pPr>
            <w:r>
              <w:rPr>
                <w:rFonts w:ascii="Arial" w:cs="Arial" w:eastAsia="Arial" w:hAnsi="Arial"/>
                <w:sz w:val="18"/>
                <w:szCs w:val="18"/>
                <w:color w:val="auto"/>
                <w:w w:val="90"/>
              </w:rPr>
              <w:t xml:space="preserve">33 </w:t>
            </w:r>
            <w:r>
              <w:rPr>
                <w:rFonts w:ascii="Arial" w:cs="Arial" w:eastAsia="Arial" w:hAnsi="Arial"/>
                <w:sz w:val="30"/>
                <w:szCs w:val="30"/>
                <w:color w:val="auto"/>
                <w:w w:val="90"/>
                <w:vertAlign w:val="superscript"/>
              </w:rPr>
              <w:t>1</w:t>
            </w:r>
            <w:r>
              <w:rPr>
                <w:rFonts w:ascii="Arial" w:cs="Arial" w:eastAsia="Arial" w:hAnsi="Arial"/>
                <w:sz w:val="18"/>
                <w:szCs w:val="18"/>
                <w:color w:val="auto"/>
                <w:w w:val="90"/>
              </w:rPr>
              <w:t>/</w:t>
            </w:r>
            <w:r>
              <w:rPr>
                <w:rFonts w:ascii="Arial" w:cs="Arial" w:eastAsia="Arial" w:hAnsi="Arial"/>
                <w:sz w:val="14"/>
                <w:szCs w:val="14"/>
                <w:color w:val="auto"/>
                <w:w w:val="90"/>
              </w:rPr>
              <w:t>3</w:t>
            </w:r>
            <w:r>
              <w:rPr>
                <w:rFonts w:ascii="Arial" w:cs="Arial" w:eastAsia="Arial" w:hAnsi="Arial"/>
                <w:sz w:val="18"/>
                <w:szCs w:val="18"/>
                <w:color w:val="auto"/>
                <w:w w:val="90"/>
              </w:rPr>
              <w:t>% (100%)</w:t>
            </w:r>
          </w:p>
        </w:tc>
        <w:tc>
          <w:tcPr>
            <w:tcW w:w="660" w:type="dxa"/>
            <w:vAlign w:val="bottom"/>
          </w:tcPr>
          <w:p>
            <w:pPr>
              <w:spacing w:after="0"/>
              <w:rPr>
                <w:sz w:val="24"/>
                <w:szCs w:val="24"/>
                <w:color w:val="auto"/>
              </w:rPr>
            </w:pPr>
          </w:p>
        </w:tc>
        <w:tc>
          <w:tcPr>
            <w:tcW w:w="294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Fifth Anniversary of Grant Date</w:t>
            </w:r>
          </w:p>
        </w:tc>
      </w:tr>
    </w:tbl>
    <w:p>
      <w:pPr>
        <w:spacing w:after="0" w:line="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 In the case of and subject to the consummation of a Sale Event, this Stock Option shall vest and become fully exercisable as of the effective time of the Sale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ind w:left="1020" w:hanging="364"/>
        <w:spacing w:after="0"/>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0"/>
        <w:spacing w:after="0" w:line="264" w:lineRule="auto"/>
        <w:tabs>
          <w:tab w:leader="none" w:pos="1394"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ind w:right="20" w:firstLine="980"/>
        <w:spacing w:after="0" w:line="272" w:lineRule="auto"/>
        <w:tabs>
          <w:tab w:leader="none" w:pos="1404"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issuance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0" w:name="page131"/>
    <w:bookmarkEnd w:id="130"/>
    <w:p>
      <w:pPr>
        <w:ind w:right="120" w:firstLine="980"/>
        <w:spacing w:after="0" w:line="264" w:lineRule="auto"/>
        <w:tabs>
          <w:tab w:leader="none" w:pos="139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1" w:lineRule="exact"/>
        <w:rPr>
          <w:rFonts w:ascii="Arial" w:cs="Arial" w:eastAsia="Arial" w:hAnsi="Arial"/>
          <w:sz w:val="18"/>
          <w:szCs w:val="18"/>
          <w:color w:val="auto"/>
        </w:rPr>
      </w:pPr>
    </w:p>
    <w:p>
      <w:pPr>
        <w:ind w:left="1420" w:hanging="440"/>
        <w:spacing w:after="0"/>
        <w:tabs>
          <w:tab w:leader="none" w:pos="14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right="100" w:firstLine="656"/>
        <w:spacing w:after="0" w:line="257" w:lineRule="auto"/>
        <w:tabs>
          <w:tab w:leader="none" w:pos="100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Optionee’s employment by the Company or a Subsidiary (as defined in the Plan) is terminated, the exercisability of this Stock Option may be accelerated and the period within which to exercise the Stock Option may be subject to earlier termination as set forth below. The Administrator’s determination of the reason for termination of the Optionee’s employment shall be conclusive and binding on the Optionee and his or her representatives or legatees. Except as set forth below, any portion of this Stock Option that is not exercisable on the date of termination shall terminate immediately and be of no further force or effect.</w:t>
      </w:r>
    </w:p>
    <w:p>
      <w:pPr>
        <w:spacing w:after="0" w:line="188" w:lineRule="exact"/>
        <w:rPr>
          <w:rFonts w:ascii="Arial" w:cs="Arial" w:eastAsia="Arial" w:hAnsi="Arial"/>
          <w:sz w:val="18"/>
          <w:szCs w:val="18"/>
          <w:color w:val="auto"/>
        </w:rPr>
      </w:pPr>
    </w:p>
    <w:p>
      <w:pPr>
        <w:ind w:right="40" w:firstLine="980"/>
        <w:spacing w:after="0" w:line="259" w:lineRule="auto"/>
        <w:tabs>
          <w:tab w:leader="none" w:pos="1397"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the Optionee’s employment terminates by reason of the Optionee’s death or disability (as determined by the Administrator), any portion of this Stock Option outstanding on such date shall become fully exercisable and may thereafter be exercised by the Optionee or the Optionee’s legal representative or legatee (as applicable) for a period of 12 months from the date of termination or until the Expiration Date, if earlier.</w:t>
      </w:r>
    </w:p>
    <w:p>
      <w:pPr>
        <w:spacing w:after="0" w:line="186" w:lineRule="exact"/>
        <w:rPr>
          <w:rFonts w:ascii="Arial" w:cs="Arial" w:eastAsia="Arial" w:hAnsi="Arial"/>
          <w:sz w:val="18"/>
          <w:szCs w:val="18"/>
          <w:color w:val="auto"/>
        </w:rPr>
      </w:pPr>
    </w:p>
    <w:p>
      <w:pPr>
        <w:ind w:firstLine="980"/>
        <w:spacing w:after="0" w:line="253" w:lineRule="auto"/>
        <w:tabs>
          <w:tab w:leader="none" w:pos="1407"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Optionee’s employment terminates for Cause, any portion of this Stock Option outstanding on such date, whether or not exercisable, shall terminate immediately and be of no further force and effect. For purposes hereof, unless otherwise provided in an employment agreement between the Company and the Optionee, “Cause” for termination shall be deemed to exist upon (a) the Optionee’s continued non-performance of the Optionee’s duties to the Company or a Subsidiary (other than by reason of the Optionee’s physical or mental illness, incapacity or disability); (b) the Optionee’s commission of any crime involving moral turpitude or any felony; (c) the Optionee’s violation of any confidentiality, noncompetition or nonsolicitation covenants with respect to the Company or a Subsidiary; (d) the Optionee’s material violation of the Company’s or a Subsidiary’s policies or rules material to the Optionee’s employment; (e) the Optionee’s engagement in deliberate dishonesty with regard to the Company or a Subsidiary or (f) the Optionee’s failure to cooperate with a bona fide internal investigation or an investigation by regulatory or law enforcement authorities, after being instructed by the Company or a Subsidiary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1" w:name="page132"/>
    <w:bookmarkEnd w:id="131"/>
    <w:p>
      <w:pPr>
        <w:ind w:left="-40" w:right="200" w:firstLine="980"/>
        <w:spacing w:after="0" w:line="312" w:lineRule="auto"/>
        <w:tabs>
          <w:tab w:leader="none" w:pos="1357"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w:t>
      </w:r>
    </w:p>
    <w:p>
      <w:pPr>
        <w:spacing w:after="0" w:line="146" w:lineRule="exact"/>
        <w:rPr>
          <w:rFonts w:ascii="Arial" w:cs="Arial" w:eastAsia="Arial" w:hAnsi="Arial"/>
          <w:sz w:val="16"/>
          <w:szCs w:val="16"/>
          <w:color w:val="auto"/>
        </w:rPr>
      </w:pPr>
    </w:p>
    <w:p>
      <w:pPr>
        <w:ind w:left="-40" w:right="100" w:firstLine="656"/>
        <w:spacing w:after="0" w:line="264" w:lineRule="auto"/>
        <w:tabs>
          <w:tab w:leader="none" w:pos="96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1" w:lineRule="exact"/>
        <w:rPr>
          <w:rFonts w:ascii="Arial" w:cs="Arial" w:eastAsia="Arial" w:hAnsi="Arial"/>
          <w:sz w:val="18"/>
          <w:szCs w:val="18"/>
          <w:color w:val="auto"/>
        </w:rPr>
      </w:pPr>
    </w:p>
    <w:p>
      <w:pPr>
        <w:ind w:left="-40" w:right="180" w:firstLine="656"/>
        <w:spacing w:after="0" w:line="264" w:lineRule="auto"/>
        <w:tabs>
          <w:tab w:leader="none" w:pos="96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1" w:lineRule="exact"/>
        <w:rPr>
          <w:rFonts w:ascii="Arial" w:cs="Arial" w:eastAsia="Arial" w:hAnsi="Arial"/>
          <w:sz w:val="18"/>
          <w:szCs w:val="18"/>
          <w:color w:val="auto"/>
        </w:rPr>
      </w:pPr>
    </w:p>
    <w:p>
      <w:pPr>
        <w:ind w:left="-40" w:right="60" w:firstLine="656"/>
        <w:spacing w:after="0" w:line="257" w:lineRule="auto"/>
        <w:tabs>
          <w:tab w:leader="none" w:pos="96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Optionee may elect to have the minimum required tax withholding obligation satisfied, in whole or in part, by authorizing the Company to withhold from shares of Stock to be issued a number of shares of Stock with an aggregate Fair Market Value that would satisfy the minimum withholding amount due.</w:t>
      </w:r>
    </w:p>
    <w:p>
      <w:pPr>
        <w:spacing w:after="0" w:line="188" w:lineRule="exact"/>
        <w:rPr>
          <w:rFonts w:ascii="Arial" w:cs="Arial" w:eastAsia="Arial" w:hAnsi="Arial"/>
          <w:sz w:val="18"/>
          <w:szCs w:val="18"/>
          <w:color w:val="auto"/>
        </w:rPr>
      </w:pPr>
    </w:p>
    <w:p>
      <w:pPr>
        <w:ind w:left="-40" w:firstLine="656"/>
        <w:spacing w:after="0" w:line="264" w:lineRule="auto"/>
        <w:tabs>
          <w:tab w:leader="none" w:pos="96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81" w:lineRule="exact"/>
        <w:rPr>
          <w:rFonts w:ascii="Arial" w:cs="Arial" w:eastAsia="Arial" w:hAnsi="Arial"/>
          <w:sz w:val="18"/>
          <w:szCs w:val="18"/>
          <w:color w:val="auto"/>
        </w:rPr>
      </w:pPr>
    </w:p>
    <w:p>
      <w:pPr>
        <w:ind w:left="-40" w:right="400" w:firstLine="656"/>
        <w:spacing w:after="0" w:line="277" w:lineRule="auto"/>
        <w:tabs>
          <w:tab w:leader="none" w:pos="96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left="-40" w:right="60" w:firstLine="656"/>
        <w:spacing w:after="0" w:line="290" w:lineRule="auto"/>
        <w:tabs>
          <w:tab w:leader="none" w:pos="968"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132" w:name="page133"/>
    <w:bookmarkEnd w:id="132"/>
    <w:p>
      <w:pPr>
        <w:ind w:firstLine="656"/>
        <w:spacing w:after="0" w:line="264" w:lineRule="auto"/>
        <w:tabs>
          <w:tab w:leader="none" w:pos="109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NORTHEAST BANCORP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Optionee’s Signaturec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663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572135</wp:posOffset>
            </wp:positionV>
            <wp:extent cx="36188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855345</wp:posOffset>
            </wp:positionV>
            <wp:extent cx="36188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240" w:top="584" w:right="47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spacing w:after="0"/>
              <w:rPr>
                <w:sz w:val="20"/>
                <w:szCs w:val="20"/>
                <w:color w:val="auto"/>
              </w:rPr>
            </w:pPr>
            <w:r>
              <w:rPr>
                <w:rFonts w:ascii="Arial" w:cs="Arial" w:eastAsia="Arial" w:hAnsi="Arial"/>
                <w:sz w:val="18"/>
                <w:szCs w:val="18"/>
                <w:color w:val="auto"/>
              </w:rPr>
              <w:t>Exhibit 21. Subsidiaries of Registrant</w:t>
            </w: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654"/>
        </w:trPr>
        <w:tc>
          <w:tcPr>
            <w:tcW w:w="86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gridSpan w:val="2"/>
          </w:tcPr>
          <w:p>
            <w:pPr>
              <w:jc w:val="center"/>
              <w:ind w:right="820"/>
              <w:spacing w:after="0"/>
              <w:rPr>
                <w:sz w:val="20"/>
                <w:szCs w:val="20"/>
                <w:color w:val="auto"/>
              </w:rPr>
            </w:pPr>
            <w:r>
              <w:rPr>
                <w:rFonts w:ascii="Arial" w:cs="Arial" w:eastAsia="Arial" w:hAnsi="Arial"/>
                <w:sz w:val="18"/>
                <w:szCs w:val="18"/>
                <w:color w:val="auto"/>
                <w:w w:val="89"/>
              </w:rPr>
              <w:t>Year</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Percentage</w:t>
            </w:r>
          </w:p>
        </w:tc>
      </w:tr>
      <w:tr>
        <w:trPr>
          <w:trHeight w:val="216"/>
        </w:trPr>
        <w:tc>
          <w:tcPr>
            <w:tcW w:w="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gridSpan w:val="2"/>
          </w:tcPr>
          <w:p>
            <w:pPr>
              <w:jc w:val="center"/>
              <w:ind w:right="800"/>
              <w:spacing w:after="0"/>
              <w:rPr>
                <w:sz w:val="20"/>
                <w:szCs w:val="20"/>
                <w:color w:val="auto"/>
              </w:rPr>
            </w:pPr>
            <w:r>
              <w:rPr>
                <w:rFonts w:ascii="Arial" w:cs="Arial" w:eastAsia="Arial" w:hAnsi="Arial"/>
                <w:sz w:val="18"/>
                <w:szCs w:val="18"/>
                <w:color w:val="auto"/>
                <w:w w:val="93"/>
              </w:rPr>
              <w:t>Jurisdiction</w:t>
            </w:r>
          </w:p>
        </w:tc>
        <w:tc>
          <w:tcPr>
            <w:tcW w:w="152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Acquired</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of Voting</w:t>
            </w:r>
          </w:p>
        </w:tc>
      </w:tr>
      <w:tr>
        <w:trPr>
          <w:trHeight w:val="216"/>
        </w:trPr>
        <w:tc>
          <w:tcPr>
            <w:tcW w:w="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of</w:t>
            </w:r>
          </w:p>
        </w:tc>
        <w:tc>
          <w:tcPr>
            <w:tcW w:w="1520" w:type="dxa"/>
            <w:vAlign w:val="bottom"/>
            <w:gridSpan w:val="2"/>
          </w:tcPr>
          <w:p>
            <w:pPr>
              <w:jc w:val="center"/>
              <w:ind w:right="820"/>
              <w:spacing w:after="0"/>
              <w:rPr>
                <w:sz w:val="20"/>
                <w:szCs w:val="20"/>
                <w:color w:val="auto"/>
              </w:rPr>
            </w:pPr>
            <w:r>
              <w:rPr>
                <w:rFonts w:ascii="Arial" w:cs="Arial" w:eastAsia="Arial" w:hAnsi="Arial"/>
                <w:sz w:val="18"/>
                <w:szCs w:val="18"/>
                <w:color w:val="auto"/>
                <w:w w:val="87"/>
              </w:rPr>
              <w:t>or</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Securities</w:t>
            </w:r>
          </w:p>
        </w:tc>
      </w:tr>
      <w:tr>
        <w:trPr>
          <w:trHeight w:val="230"/>
        </w:trPr>
        <w:tc>
          <w:tcPr>
            <w:tcW w:w="6260" w:type="dxa"/>
            <w:vAlign w:val="bottom"/>
            <w:gridSpan w:val="3"/>
          </w:tcPr>
          <w:p>
            <w:pPr>
              <w:spacing w:after="0"/>
              <w:rPr>
                <w:sz w:val="20"/>
                <w:szCs w:val="20"/>
                <w:color w:val="auto"/>
              </w:rPr>
            </w:pPr>
            <w:r>
              <w:rPr>
                <w:rFonts w:ascii="Arial" w:cs="Arial" w:eastAsia="Arial" w:hAnsi="Arial"/>
                <w:sz w:val="18"/>
                <w:szCs w:val="18"/>
                <w:color w:val="auto"/>
              </w:rPr>
              <w:t>Name of Subsidiary</w:t>
            </w:r>
          </w:p>
        </w:tc>
        <w:tc>
          <w:tcPr>
            <w:tcW w:w="760" w:type="dxa"/>
            <w:vAlign w:val="bottom"/>
          </w:tcPr>
          <w:p>
            <w:pPr>
              <w:spacing w:after="0"/>
              <w:rPr>
                <w:sz w:val="20"/>
                <w:szCs w:val="20"/>
                <w:color w:val="auto"/>
              </w:rPr>
            </w:pPr>
          </w:p>
        </w:tc>
        <w:tc>
          <w:tcPr>
            <w:tcW w:w="1840" w:type="dxa"/>
            <w:vAlign w:val="bottom"/>
            <w:gridSpan w:val="2"/>
          </w:tcPr>
          <w:p>
            <w:pPr>
              <w:jc w:val="center"/>
              <w:ind w:right="820"/>
              <w:spacing w:after="0"/>
              <w:rPr>
                <w:sz w:val="20"/>
                <w:szCs w:val="20"/>
                <w:color w:val="auto"/>
              </w:rPr>
            </w:pPr>
            <w:r>
              <w:rPr>
                <w:rFonts w:ascii="Arial" w:cs="Arial" w:eastAsia="Arial" w:hAnsi="Arial"/>
                <w:sz w:val="18"/>
                <w:szCs w:val="18"/>
                <w:color w:val="auto"/>
                <w:w w:val="93"/>
              </w:rPr>
              <w:t>Incorporation</w:t>
            </w:r>
          </w:p>
        </w:tc>
        <w:tc>
          <w:tcPr>
            <w:tcW w:w="1520" w:type="dxa"/>
            <w:vAlign w:val="bottom"/>
            <w:gridSpan w:val="2"/>
          </w:tcPr>
          <w:p>
            <w:pPr>
              <w:jc w:val="center"/>
              <w:ind w:right="800"/>
              <w:spacing w:after="0"/>
              <w:rPr>
                <w:sz w:val="20"/>
                <w:szCs w:val="20"/>
                <w:color w:val="auto"/>
              </w:rPr>
            </w:pPr>
            <w:r>
              <w:rPr>
                <w:rFonts w:ascii="Arial" w:cs="Arial" w:eastAsia="Arial" w:hAnsi="Arial"/>
                <w:sz w:val="18"/>
                <w:szCs w:val="18"/>
                <w:color w:val="auto"/>
                <w:w w:val="90"/>
              </w:rPr>
              <w:t>Formed</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r>
      <w:tr>
        <w:trPr>
          <w:trHeight w:val="195"/>
        </w:trPr>
        <w:tc>
          <w:tcPr>
            <w:tcW w:w="626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2"/>
              </w:rPr>
              <w:t>Northeast Bank (and its 100% owned subsidiaries: Northeast Bank Insurance Group,</w:t>
            </w:r>
          </w:p>
        </w:tc>
        <w:tc>
          <w:tcPr>
            <w:tcW w:w="76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6"/>
        </w:trPr>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Inc.; 200 Elm Realty, LLC; 500 Pine Realty, LLC; 17 Dogwood Realty, LLC; and</w:t>
            </w: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Portland Inc.)</w:t>
            </w:r>
          </w:p>
        </w:tc>
        <w:tc>
          <w:tcPr>
            <w:tcW w:w="7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Maine</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1987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108"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(Form S-8: Nos. 333-135452, 333-171466 and 333-186356) of Northeast Bancorp and subsidiary of our report dated September 13, 2017, with respect to the consolidated financial statements of Northeast Bancorp and subsidiary, included in this Annual Report (Form 10-K) for the year ended June 30, 2017.</w:t>
      </w:r>
    </w:p>
    <w:p>
      <w:pPr>
        <w:spacing w:after="0" w:line="39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/s/RSM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2017</w:t>
      </w:r>
    </w:p>
    <w:p>
      <w:pPr>
        <w:sectPr>
          <w:pgSz w:w="11900" w:h="16838" w:orient="portrait"/>
          <w:cols w:equalWidth="0" w:num="1">
            <w:col w:w="11420"/>
          </w:cols>
          <w:pgMar w:left="240" w:top="1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(Form S-8: Nos. 333-135452, 333-171466 and 333-186356) of Northeast Bancorp and subsidiary of our report dated September 28, 2015, with respect to the consolidated financial statements of Northeast Bancorp and subsidiary, included in this Annual Report (Form 10-K) for the year ended June 30, 2017.</w:t>
      </w:r>
    </w:p>
    <w:p>
      <w:pPr>
        <w:spacing w:after="0" w:line="39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2017</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65" w:lineRule="exact"/>
        <w:rPr>
          <w:sz w:val="20"/>
          <w:szCs w:val="20"/>
          <w:color w:val="auto"/>
        </w:rPr>
      </w:pPr>
    </w:p>
    <w:p>
      <w:pPr>
        <w:ind w:left="620" w:hanging="376"/>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25" w:lineRule="exact"/>
        <w:rPr>
          <w:rFonts w:ascii="Arial" w:cs="Arial" w:eastAsia="Arial" w:hAnsi="Arial"/>
          <w:sz w:val="18"/>
          <w:szCs w:val="18"/>
          <w:color w:val="auto"/>
        </w:rPr>
      </w:pPr>
    </w:p>
    <w:p>
      <w:pPr>
        <w:jc w:val="both"/>
        <w:ind w:left="620" w:right="340" w:hanging="376"/>
        <w:spacing w:after="0" w:line="264" w:lineRule="auto"/>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620" w:right="300" w:hanging="376"/>
        <w:spacing w:after="0" w:line="308" w:lineRule="auto"/>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320" w:hanging="376"/>
        <w:spacing w:after="0" w:line="264" w:lineRule="auto"/>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40" w:right="20"/>
        <w:spacing w:after="0" w:line="264" w:lineRule="auto"/>
        <w:tabs>
          <w:tab w:leader="none" w:pos="118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40" w:right="400"/>
        <w:spacing w:after="0" w:line="264" w:lineRule="auto"/>
        <w:tabs>
          <w:tab w:leader="none" w:pos="119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40" w:right="540"/>
        <w:spacing w:after="0" w:line="342" w:lineRule="auto"/>
        <w:tabs>
          <w:tab w:leader="none" w:pos="1185"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40"/>
        <w:spacing w:after="0" w:line="264" w:lineRule="auto"/>
        <w:tabs>
          <w:tab w:leader="none" w:pos="119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620" w:right="40" w:hanging="376"/>
        <w:spacing w:after="0" w:line="308" w:lineRule="auto"/>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40" w:right="740"/>
        <w:spacing w:after="0" w:line="308" w:lineRule="auto"/>
        <w:tabs>
          <w:tab w:leader="none" w:pos="1185" w:val="left"/>
        </w:tabs>
        <w:numPr>
          <w:ilvl w:val="1"/>
          <w:numId w:val="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40" w:right="420"/>
        <w:spacing w:after="0" w:line="277" w:lineRule="auto"/>
        <w:tabs>
          <w:tab w:leader="none" w:pos="1195"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September 13, 2017</w:t>
            </w:r>
          </w:p>
        </w:tc>
        <w:tc>
          <w:tcPr>
            <w:tcW w:w="216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20" w:type="dxa"/>
            <w:vAlign w:val="bottom"/>
          </w:tcPr>
          <w:p>
            <w:pPr>
              <w:spacing w:after="0"/>
              <w:rPr>
                <w:sz w:val="18"/>
                <w:szCs w:val="18"/>
                <w:color w:val="auto"/>
              </w:rPr>
            </w:pP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Richard Wayne</w:t>
            </w: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1420"/>
          </w:cols>
          <w:pgMar w:left="240" w:top="12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Brian Shaughnessy, certify that:</w:t>
      </w:r>
    </w:p>
    <w:p>
      <w:pPr>
        <w:spacing w:after="0" w:line="265" w:lineRule="exact"/>
        <w:rPr>
          <w:sz w:val="20"/>
          <w:szCs w:val="20"/>
          <w:color w:val="auto"/>
        </w:rPr>
      </w:pPr>
    </w:p>
    <w:p>
      <w:pPr>
        <w:ind w:left="620" w:hanging="376"/>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25" w:lineRule="exact"/>
        <w:rPr>
          <w:rFonts w:ascii="Arial" w:cs="Arial" w:eastAsia="Arial" w:hAnsi="Arial"/>
          <w:sz w:val="18"/>
          <w:szCs w:val="18"/>
          <w:color w:val="auto"/>
        </w:rPr>
      </w:pPr>
    </w:p>
    <w:p>
      <w:pPr>
        <w:jc w:val="both"/>
        <w:ind w:left="620" w:hanging="376"/>
        <w:spacing w:after="0" w:line="264" w:lineRule="auto"/>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620" w:hanging="376"/>
        <w:spacing w:after="0" w:line="277" w:lineRule="auto"/>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20" w:right="320" w:hanging="376"/>
        <w:spacing w:after="0" w:line="264" w:lineRule="auto"/>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40" w:right="20"/>
        <w:spacing w:after="0" w:line="264" w:lineRule="auto"/>
        <w:tabs>
          <w:tab w:leader="none" w:pos="1185"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40" w:right="400"/>
        <w:spacing w:after="0" w:line="264" w:lineRule="auto"/>
        <w:tabs>
          <w:tab w:leader="none" w:pos="1195"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40" w:right="540"/>
        <w:spacing w:after="0" w:line="342" w:lineRule="auto"/>
        <w:tabs>
          <w:tab w:leader="none" w:pos="1185"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40"/>
        <w:spacing w:after="0" w:line="264" w:lineRule="auto"/>
        <w:tabs>
          <w:tab w:leader="none" w:pos="1195"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620" w:right="40" w:hanging="376"/>
        <w:spacing w:after="0" w:line="308" w:lineRule="auto"/>
        <w:tabs>
          <w:tab w:leader="none" w:pos="6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40" w:right="740"/>
        <w:spacing w:after="0" w:line="308" w:lineRule="auto"/>
        <w:tabs>
          <w:tab w:leader="none" w:pos="1185"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40" w:right="420"/>
        <w:spacing w:after="0" w:line="277" w:lineRule="auto"/>
        <w:tabs>
          <w:tab w:leader="none" w:pos="1195"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September 13, 2017</w:t>
            </w:r>
          </w:p>
        </w:tc>
        <w:tc>
          <w:tcPr>
            <w:tcW w:w="4400" w:type="dxa"/>
            <w:vAlign w:val="bottom"/>
            <w:gridSpan w:val="2"/>
          </w:tcPr>
          <w:p>
            <w:pPr>
              <w:ind w:left="2160"/>
              <w:spacing w:after="0"/>
              <w:rPr>
                <w:sz w:val="20"/>
                <w:szCs w:val="20"/>
                <w:color w:val="auto"/>
              </w:rPr>
            </w:pPr>
            <w:r>
              <w:rPr>
                <w:rFonts w:ascii="Arial" w:cs="Arial" w:eastAsia="Arial" w:hAnsi="Arial"/>
                <w:sz w:val="18"/>
                <w:szCs w:val="18"/>
                <w:color w:val="auto"/>
              </w:rPr>
              <w:t>/s/ Brian Shaughnessy</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Brian Shaughnessy</w:t>
            </w: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4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Exchange Act Rule 13a-14(b) and 18 U.S.C. Section 1350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report of Northeast Bancorp (the “Company”) on Form 10-K for the annual period ending June 30, 2017 as filed with the Securities and Exchange Commission on the date hereof (the “Report”), each of the undersigned officers of the Company hereby certify, pursuant to Exchange Act Rule 13a-14(b) and 18 U.S.C. 1350, that to the best of such officer’s knowledge:</w:t>
      </w:r>
    </w:p>
    <w:p>
      <w:pPr>
        <w:spacing w:after="0" w:line="181" w:lineRule="exact"/>
        <w:rPr>
          <w:sz w:val="20"/>
          <w:szCs w:val="20"/>
          <w:color w:val="auto"/>
        </w:rPr>
      </w:pPr>
    </w:p>
    <w:p>
      <w:pPr>
        <w:ind w:left="680" w:hanging="294"/>
        <w:spacing w:after="0"/>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80" w:right="40" w:firstLine="6"/>
        <w:spacing w:after="0" w:line="277" w:lineRule="auto"/>
        <w:tabs>
          <w:tab w:leader="none" w:pos="6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September 13, 2017</w:t>
            </w:r>
          </w:p>
        </w:tc>
        <w:tc>
          <w:tcPr>
            <w:tcW w:w="4220" w:type="dxa"/>
            <w:vAlign w:val="bottom"/>
            <w:gridSpan w:val="3"/>
          </w:tcPr>
          <w:p>
            <w:pPr>
              <w:ind w:left="2160"/>
              <w:spacing w:after="0"/>
              <w:rPr>
                <w:sz w:val="20"/>
                <w:szCs w:val="20"/>
                <w:color w:val="auto"/>
              </w:rPr>
            </w:pPr>
            <w:r>
              <w:rPr>
                <w:rFonts w:ascii="Arial" w:cs="Arial" w:eastAsia="Arial" w:hAnsi="Arial"/>
                <w:sz w:val="18"/>
                <w:szCs w:val="18"/>
                <w:color w:val="auto"/>
              </w:rPr>
              <w:t>/s/ Richard Wayne</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6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Richard Wayne</w:t>
            </w: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w w:val="98"/>
              </w:rPr>
              <w:t>Chief Executive Officer</w:t>
            </w:r>
          </w:p>
        </w:tc>
      </w:tr>
      <w:tr>
        <w:trPr>
          <w:trHeight w:val="608"/>
        </w:trPr>
        <w:tc>
          <w:tcPr>
            <w:tcW w:w="3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Shaughnessy</w:t>
            </w:r>
          </w:p>
        </w:tc>
        <w:tc>
          <w:tcPr>
            <w:tcW w:w="40" w:type="dxa"/>
            <w:vAlign w:val="bottom"/>
          </w:tcPr>
          <w:p>
            <w:pPr>
              <w:spacing w:after="0"/>
              <w:rPr>
                <w:sz w:val="24"/>
                <w:szCs w:val="24"/>
                <w:color w:val="auto"/>
              </w:rPr>
            </w:pP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Brian Shaughnessy</w:t>
            </w: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1."/>
      <w:numFmt w:val="decimal"/>
      <w:start w:val="30"/>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1)"/>
      <w:numFmt w:val="decimal"/>
      <w:start w:val="4"/>
    </w:lvl>
  </w:abstractNum>
  <w:abstractNum w:abstractNumId="30">
    <w:nsid w:val="2F305DEF"/>
    <w:multiLevelType w:val="hybridMultilevel"/>
    <w:lvl w:ilvl="0">
      <w:lvlJc w:val="left"/>
      <w:lvlText w:val="%1."/>
      <w:numFmt w:val="decimal"/>
      <w:start w:val="2"/>
    </w:lvl>
  </w:abstractNum>
  <w:abstractNum w:abstractNumId="31">
    <w:nsid w:val="25A70BF7"/>
    <w:multiLevelType w:val="hybridMultilevel"/>
    <w:lvl w:ilvl="0">
      <w:lvlJc w:val="left"/>
      <w:lvlText w:val="%1."/>
      <w:numFmt w:val="decimal"/>
      <w:start w:val="3"/>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1."/>
      <w:numFmt w:val="decimal"/>
      <w:start w:val="4"/>
    </w:lvl>
  </w:abstractNum>
  <w:abstractNum w:abstractNumId="34">
    <w:nsid w:val="1F48EAA1"/>
    <w:multiLevelType w:val="hybridMultilevel"/>
    <w:lvl w:ilvl="0">
      <w:lvlJc w:val="left"/>
      <w:lvlText w:val="5"/>
      <w:numFmt w:val="bullet"/>
      <w:start w:val="1"/>
    </w:lvl>
  </w:abstractNum>
  <w:abstractNum w:abstractNumId="35">
    <w:nsid w:val="1381823A"/>
    <w:multiLevelType w:val="hybridMultilevel"/>
    <w:lvl w:ilvl="0">
      <w:lvlJc w:val="left"/>
      <w:lvlText w:val="%1."/>
      <w:numFmt w:val="decimal"/>
      <w:start w:val="6"/>
    </w:lvl>
  </w:abstractNum>
  <w:abstractNum w:abstractNumId="36">
    <w:nsid w:val="5DB70AE5"/>
    <w:multiLevelType w:val="hybridMultilevel"/>
    <w:lvl w:ilvl="0">
      <w:lvlJc w:val="left"/>
      <w:lvlText w:val="%1."/>
      <w:numFmt w:val="decimal"/>
      <w:start w:val="7"/>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1."/>
      <w:numFmt w:val="decimal"/>
      <w:start w:val="8"/>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decimal"/>
      <w:start w:val="9"/>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decimal"/>
      <w:start w:val="10"/>
    </w:lvl>
  </w:abstractNum>
  <w:abstractNum w:abstractNumId="43">
    <w:nsid w:val="6B94764"/>
    <w:multiLevelType w:val="hybridMultilevel"/>
    <w:lvl w:ilvl="0">
      <w:lvlJc w:val="left"/>
      <w:lvlText w:val="%1."/>
      <w:numFmt w:val="decimal"/>
      <w:start w:val="11"/>
    </w:lvl>
  </w:abstractNum>
  <w:abstractNum w:abstractNumId="44">
    <w:nsid w:val="42C296BD"/>
    <w:multiLevelType w:val="hybridMultilevel"/>
    <w:lvl w:ilvl="0">
      <w:lvlJc w:val="left"/>
      <w:lvlText w:val="%1."/>
      <w:numFmt w:val="decimal"/>
      <w:start w:val="13"/>
    </w:lvl>
  </w:abstractNum>
  <w:abstractNum w:abstractNumId="45">
    <w:nsid w:val="168E121F"/>
    <w:multiLevelType w:val="hybridMultilevel"/>
    <w:lvl w:ilvl="0">
      <w:lvlJc w:val="left"/>
      <w:lvlText w:val="%1."/>
      <w:numFmt w:val="decimal"/>
      <w:start w:val="14"/>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15"/>
    </w:lvl>
  </w:abstractNum>
  <w:abstractNum w:abstractNumId="49">
    <w:nsid w:val="540A471C"/>
    <w:multiLevelType w:val="hybridMultilevel"/>
    <w:lvl w:ilvl="0">
      <w:lvlJc w:val="left"/>
      <w:lvlText w:val="%1."/>
      <w:numFmt w:val="decimal"/>
      <w:start w:val="16"/>
    </w:lvl>
  </w:abstractNum>
  <w:abstractNum w:abstractNumId="50">
    <w:nsid w:val="7BD3EE7B"/>
    <w:multiLevelType w:val="hybridMultilevel"/>
    <w:lvl w:ilvl="0">
      <w:lvlJc w:val="left"/>
      <w:lvlText w:val="%1."/>
      <w:numFmt w:val="decimal"/>
      <w:start w:val="17"/>
    </w:lvl>
  </w:abstractNum>
  <w:abstractNum w:abstractNumId="51">
    <w:nsid w:val="51D9C564"/>
    <w:multiLevelType w:val="hybridMultilevel"/>
    <w:lvl w:ilvl="0">
      <w:lvlJc w:val="left"/>
      <w:lvlText w:val="%1."/>
      <w:numFmt w:val="decimal"/>
      <w:start w:val="18"/>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1"/>
    </w:lvl>
    <w:lvl w:ilvl="1">
      <w:lvlJc w:val="left"/>
      <w:lvlText w:val="(%2)"/>
      <w:numFmt w:val="decimal"/>
      <w:start w:val="1"/>
    </w:lvl>
  </w:abstractNum>
  <w:abstractNum w:abstractNumId="55">
    <w:nsid w:val="42963E5A"/>
    <w:multiLevelType w:val="hybridMultilevel"/>
    <w:lvl w:ilvl="0">
      <w:lvlJc w:val="left"/>
      <w:lvlText w:val="%1."/>
      <w:numFmt w:val="decimal"/>
      <w:start w:val="19"/>
    </w:lvl>
    <w:lvl w:ilvl="1">
      <w:lvlJc w:val="left"/>
      <w:lvlText w:val="%2"/>
      <w:numFmt w:val="decimal"/>
      <w:start w:val="1"/>
    </w:lvl>
  </w:abstractNum>
  <w:abstractNum w:abstractNumId="56">
    <w:nsid w:val="A0382C5"/>
    <w:multiLevelType w:val="hybridMultilevel"/>
    <w:lvl w:ilvl="0">
      <w:lvlJc w:val="left"/>
      <w:lvlText w:val="%1."/>
      <w:numFmt w:val="decimal"/>
      <w:start w:val="20"/>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1"/>
      <w:numFmt w:val="decimal"/>
      <w:start w:val="21"/>
    </w:lvl>
  </w:abstractNum>
  <w:abstractNum w:abstractNumId="59">
    <w:nsid w:val="3B0FD379"/>
    <w:multiLevelType w:val="hybridMultilevel"/>
    <w:lvl w:ilvl="0">
      <w:lvlJc w:val="left"/>
      <w:lvlText w:val="(%1)"/>
      <w:numFmt w:val="lowerLetter"/>
      <w:start w:val="1"/>
    </w:lvl>
    <w:lvl w:ilvl="1">
      <w:lvlJc w:val="left"/>
      <w:lvlText w:val="(%2)"/>
      <w:numFmt w:val="lowerRoman"/>
      <w:start w:val="1"/>
    </w:lvl>
  </w:abstractNum>
  <w:abstractNum w:abstractNumId="60">
    <w:nsid w:val="68EB2F63"/>
    <w:multiLevelType w:val="hybridMultilevel"/>
    <w:lvl w:ilvl="0">
      <w:lvlJc w:val="left"/>
      <w:lvlText w:val="(%1)"/>
      <w:numFmt w:val="lowerLetter"/>
      <w:start w:val="3"/>
    </w:lvl>
  </w:abstractNum>
  <w:abstractNum w:abstractNumId="61">
    <w:nsid w:val="4962813B"/>
    <w:multiLevelType w:val="hybridMultilevel"/>
    <w:lvl w:ilvl="0">
      <w:lvlJc w:val="left"/>
      <w:lvlText w:val="%1"/>
      <w:numFmt w:val="lowerLetter"/>
      <w:start w:val="1"/>
    </w:lvl>
    <w:lvl w:ilvl="1">
      <w:lvlJc w:val="left"/>
      <w:lvlText w:val="(%2)"/>
      <w:numFmt w:val="lowerLetter"/>
      <w:start w:val="1"/>
    </w:lvl>
  </w:abstractNum>
  <w:abstractNum w:abstractNumId="62">
    <w:nsid w:val="60B6DF70"/>
    <w:multiLevelType w:val="hybridMultilevel"/>
    <w:lvl w:ilvl="0">
      <w:lvlJc w:val="left"/>
      <w:lvlText w:val="(%1)"/>
      <w:numFmt w:val="lowerLetter"/>
      <w:start w:val="9"/>
    </w:lvl>
    <w:lvl w:ilvl="1">
      <w:lvlJc w:val="left"/>
      <w:lvlText w:val="(%2)"/>
      <w:numFmt w:val="lowerLetter"/>
      <w:start w:val="2"/>
    </w:lvl>
  </w:abstractNum>
  <w:abstractNum w:abstractNumId="63">
    <w:nsid w:val="6A5EE64"/>
    <w:multiLevelType w:val="hybridMultilevel"/>
    <w:lvl w:ilvl="0">
      <w:lvlJc w:val="left"/>
      <w:lvlText w:val="(%1)"/>
      <w:numFmt w:val="lowerLetter"/>
      <w:start w:val="3"/>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lowerLetter"/>
      <w:start w:val="2"/>
    </w:lvl>
    <w:lvl w:ilvl="1">
      <w:lvlJc w:val="left"/>
      <w:lvlText w:val="(%2)"/>
      <w:numFmt w:val="lowerRoman"/>
      <w:start w:val="1"/>
    </w:lvl>
  </w:abstractNum>
  <w:abstractNum w:abstractNumId="66">
    <w:nsid w:val="1A27709E"/>
    <w:multiLevelType w:val="hybridMultilevel"/>
    <w:lvl w:ilvl="0">
      <w:lvlJc w:val="left"/>
      <w:lvlText w:val="(%1)"/>
      <w:numFmt w:val="lowerLetter"/>
      <w:start w:val="5"/>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lowerLetter"/>
      <w:start w:val="1"/>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decimal"/>
      <w:start w:val="1"/>
    </w:lvl>
    <w:lvl w:ilvl="1">
      <w:lvlJc w:val="left"/>
      <w:lvlText w:val="(%2)"/>
      <w:numFmt w:val="lowerLetter"/>
      <w:start w:val="1"/>
    </w:lvl>
  </w:abstractNum>
  <w:abstractNum w:abstractNumId="78">
    <w:nsid w:val="3222E7CD"/>
    <w:multiLevelType w:val="hybridMultilevel"/>
    <w:lvl w:ilvl="0">
      <w:lvlJc w:val="left"/>
      <w:lvlText w:val="(%1)"/>
      <w:numFmt w:val="lowerLetter"/>
      <w:start w:val="3"/>
    </w:lvl>
  </w:abstractNum>
  <w:abstractNum w:abstractNumId="79">
    <w:nsid w:val="74DE0EE3"/>
    <w:multiLevelType w:val="hybridMultilevel"/>
    <w:lvl w:ilvl="0">
      <w:lvlJc w:val="left"/>
      <w:lvlText w:val="%1."/>
      <w:numFmt w:val="decimal"/>
      <w:start w:val="3"/>
    </w:lvl>
  </w:abstractNum>
  <w:abstractNum w:abstractNumId="80">
    <w:nsid w:val="68EBC550"/>
    <w:multiLevelType w:val="hybridMultilevel"/>
    <w:lvl w:ilvl="0">
      <w:lvlJc w:val="left"/>
      <w:lvlText w:val="%1."/>
      <w:numFmt w:val="decimal"/>
      <w:start w:val="4"/>
    </w:lvl>
  </w:abstractNum>
  <w:abstractNum w:abstractNumId="81">
    <w:nsid w:val="2DF6D648"/>
    <w:multiLevelType w:val="hybridMultilevel"/>
    <w:lvl w:ilvl="0">
      <w:lvlJc w:val="left"/>
      <w:lvlText w:val="%1."/>
      <w:numFmt w:val="decimal"/>
      <w:start w:val="10"/>
    </w:lvl>
  </w:abstractNum>
  <w:abstractNum w:abstractNumId="82">
    <w:nsid w:val="46B7D447"/>
    <w:multiLevelType w:val="hybridMultilevel"/>
    <w:lvl w:ilvl="0">
      <w:lvlJc w:val="left"/>
      <w:lvlText w:val="%1."/>
      <w:numFmt w:val="decimal"/>
      <w:start w:val="12"/>
    </w:lvl>
  </w:abstractNum>
  <w:abstractNum w:abstractNumId="83">
    <w:nsid w:val="4A2AC315"/>
    <w:multiLevelType w:val="hybridMultilevel"/>
    <w:lvl w:ilvl="0">
      <w:lvlJc w:val="left"/>
      <w:lvlText w:val="%1."/>
      <w:numFmt w:val="decimal"/>
      <w:start w:val="1"/>
    </w:lvl>
    <w:lvl w:ilvl="1">
      <w:lvlJc w:val="left"/>
      <w:lvlText w:val="(%2)"/>
      <w:numFmt w:val="lowerLetter"/>
      <w:start w:val="1"/>
    </w:lvl>
  </w:abstractNum>
  <w:abstractNum w:abstractNumId="84">
    <w:nsid w:val="39EE015C"/>
    <w:multiLevelType w:val="hybridMultilevel"/>
    <w:lvl w:ilvl="0">
      <w:lvlJc w:val="left"/>
      <w:lvlText w:val="%1."/>
      <w:numFmt w:val="decimal"/>
      <w:start w:val="3"/>
    </w:lvl>
  </w:abstractNum>
  <w:abstractNum w:abstractNumId="85">
    <w:nsid w:val="57FC4FBB"/>
    <w:multiLevelType w:val="hybridMultilevel"/>
    <w:lvl w:ilvl="0">
      <w:lvlJc w:val="left"/>
      <w:lvlText w:val="%1."/>
      <w:numFmt w:val="decimal"/>
      <w:start w:val="4"/>
    </w:lvl>
  </w:abstractNum>
  <w:abstractNum w:abstractNumId="86">
    <w:nsid w:val="CC1016F"/>
    <w:multiLevelType w:val="hybridMultilevel"/>
    <w:lvl w:ilvl="0">
      <w:lvlJc w:val="left"/>
      <w:lvlText w:val="%1."/>
      <w:numFmt w:val="decimal"/>
      <w:start w:val="8"/>
    </w:lvl>
  </w:abstractNum>
  <w:abstractNum w:abstractNumId="87">
    <w:nsid w:val="43F18422"/>
    <w:multiLevelType w:val="hybridMultilevel"/>
    <w:lvl w:ilvl="0">
      <w:lvlJc w:val="left"/>
      <w:lvlText w:val="%1."/>
      <w:numFmt w:val="decimal"/>
      <w:start w:val="12"/>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1."/>
      <w:numFmt w:val="decimal"/>
      <w:start w:val="2"/>
    </w:lvl>
    <w:lvl w:ilvl="1">
      <w:lvlJc w:val="left"/>
      <w:lvlText w:val="(%2)"/>
      <w:numFmt w:val="lowerLetter"/>
      <w:start w:val="1"/>
    </w:lvl>
  </w:abstractNum>
  <w:abstractNum w:abstractNumId="90">
    <w:nsid w:val="7F01579B"/>
    <w:multiLevelType w:val="hybridMultilevel"/>
    <w:lvl w:ilvl="0">
      <w:lvlJc w:val="left"/>
      <w:lvlText w:val="(%1)"/>
      <w:numFmt w:val="lowerLetter"/>
      <w:start w:val="2"/>
    </w:lvl>
  </w:abstractNum>
  <w:abstractNum w:abstractNumId="91">
    <w:nsid w:val="49DA307D"/>
    <w:multiLevelType w:val="hybridMultilevel"/>
    <w:lvl w:ilvl="0">
      <w:lvlJc w:val="left"/>
      <w:lvlText w:val="%1"/>
      <w:numFmt w:val="decimal"/>
      <w:start w:val="1"/>
    </w:lvl>
    <w:lvl w:ilvl="1">
      <w:lvlJc w:val="left"/>
      <w:lvlText w:val="(%2)"/>
      <w:numFmt w:val="lowerLetter"/>
      <w:start w:val="3"/>
    </w:lvl>
  </w:abstractNum>
  <w:abstractNum w:abstractNumId="92">
    <w:nsid w:val="7055A5F5"/>
    <w:multiLevelType w:val="hybridMultilevel"/>
    <w:lvl w:ilvl="0">
      <w:lvlJc w:val="left"/>
      <w:lvlText w:val="%1."/>
      <w:numFmt w:val="decimal"/>
      <w:start w:val="3"/>
    </w:lvl>
    <w:lvl w:ilvl="1">
      <w:lvlJc w:val="left"/>
      <w:lvlText w:val="(%2)"/>
      <w:numFmt w:val="lowerLetter"/>
      <w:start w:val="1"/>
    </w:lvl>
  </w:abstractNum>
  <w:abstractNum w:abstractNumId="93">
    <w:nsid w:val="5FB8370B"/>
    <w:multiLevelType w:val="hybridMultilevel"/>
    <w:lvl w:ilvl="0">
      <w:lvlJc w:val="left"/>
      <w:lvlText w:val="%1"/>
      <w:numFmt w:val="decimal"/>
      <w:start w:val="1"/>
    </w:lvl>
    <w:lvl w:ilvl="1">
      <w:lvlJc w:val="left"/>
      <w:lvlText w:val="(%2)"/>
      <w:numFmt w:val="lowerLetter"/>
      <w:start w:val="3"/>
    </w:lvl>
  </w:abstractNum>
  <w:abstractNum w:abstractNumId="94">
    <w:nsid w:val="50801EE1"/>
    <w:multiLevelType w:val="hybridMultilevel"/>
    <w:lvl w:ilvl="0">
      <w:lvlJc w:val="left"/>
      <w:lvlText w:val="%1."/>
      <w:numFmt w:val="decimal"/>
      <w:start w:val="4"/>
    </w:lvl>
    <w:lvl w:ilvl="1">
      <w:lvlJc w:val="left"/>
      <w:lvlText w:val="%2"/>
      <w:numFmt w:val="lowerLetter"/>
      <w:start w:val="1"/>
    </w:lvl>
  </w:abstractNum>
  <w:abstractNum w:abstractNumId="95">
    <w:nsid w:val="488AC1A"/>
    <w:multiLevelType w:val="hybridMultilevel"/>
    <w:lvl w:ilvl="0">
      <w:lvlJc w:val="left"/>
      <w:lvlText w:val="%1."/>
      <w:numFmt w:val="decimal"/>
      <w:start w:val="10"/>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7"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156" Type="http://schemas.openxmlformats.org/officeDocument/2006/relationships/hyperlink" Target="http://www.sec.gov/Archives/edgar/data/811831/000119312511002039/dex31.htm" TargetMode="External"/><Relationship Id="rId157" Type="http://schemas.openxmlformats.org/officeDocument/2006/relationships/hyperlink" Target="http://www.sec.gov/Archives/edgar/data/811831/000119312511073788/dex31.htm" TargetMode="External"/><Relationship Id="rId158" Type="http://schemas.openxmlformats.org/officeDocument/2006/relationships/hyperlink" Target="http://www.sec.gov/Archives/edgar/data/811831/000081183112000042/nov2012ex3.htm" TargetMode="External"/><Relationship Id="rId159" Type="http://schemas.openxmlformats.org/officeDocument/2006/relationships/hyperlink" Target="http://www.sec.gov/Archives/edgar/data/811831/000119312511002039/dex32.htm" TargetMode="External"/><Relationship Id="rId160" Type="http://schemas.openxmlformats.org/officeDocument/2006/relationships/hyperlink" Target="http://www.sec.gov/Archives/edgar/data/811831/000119312512121749/d288212dex41.htm" TargetMode="External"/><Relationship Id="rId161" Type="http://schemas.openxmlformats.org/officeDocument/2006/relationships/hyperlink" Target="http://www.sec.gov/Archives/edgar/data/811831/000143774916034629/ex4-1.htm" TargetMode="External"/><Relationship Id="rId162" Type="http://schemas.openxmlformats.org/officeDocument/2006/relationships/hyperlink" Target="http://www.sec.gov/Archives/edgar/data/811831/000119312511002039/dex105.htm" TargetMode="External"/><Relationship Id="rId163" Type="http://schemas.openxmlformats.org/officeDocument/2006/relationships/hyperlink" Target="http://www.sec.gov/Archives/edgar/data/811831/000110465913024499/a13-8794_1ex10d1.htm" TargetMode="External"/><Relationship Id="rId164" Type="http://schemas.openxmlformats.org/officeDocument/2006/relationships/hyperlink" Target="http://www.sec.gov/Archives/edgar/data/811831/000119312511002039/dex1011.htm" TargetMode="External"/><Relationship Id="rId165" Type="http://schemas.openxmlformats.org/officeDocument/2006/relationships/hyperlink" Target="http://www.sec.gov/Archives/edgar/data/811831/000119312511082648/dex101.htm" TargetMode="External"/><Relationship Id="rId166" Type="http://schemas.openxmlformats.org/officeDocument/2006/relationships/hyperlink" Target="http://www.sec.gov/Archives/edgar/data/811831/000119312511082648/dex102.htm" TargetMode="External"/><Relationship Id="rId168" Type="http://schemas.openxmlformats.org/officeDocument/2006/relationships/hyperlink" Target="http://www.sec.gov/Archives/edgar/data/811831/000119312511082648/dex103.htm" TargetMode="External"/><Relationship Id="rId169" Type="http://schemas.openxmlformats.org/officeDocument/2006/relationships/hyperlink" Target="http://www.sec.gov/Archives/edgar/data/811831/000119312511002039/dex101.htm" TargetMode="External"/><Relationship Id="rId170" Type="http://schemas.openxmlformats.org/officeDocument/2006/relationships/hyperlink" Target="http://www.sec.gov/Archives/edgar/data/811831/000119312511002039/dex102.htm" TargetMode="External"/><Relationship Id="rId171" Type="http://schemas.openxmlformats.org/officeDocument/2006/relationships/hyperlink" Target="http://www.sec.gov/Archives/edgar/data/811831/00014377491603462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2019-12-29T04:51:16Z</dcterms:created>
  <dcterms:modified xsi:type="dcterms:W3CDTF">2019-12-29T04:51:16Z</dcterms:modified>
</cp:coreProperties>
</file>