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1-14588</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2"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3"/>
              </w:rPr>
              <w:t>Maine</w:t>
            </w:r>
          </w:p>
        </w:tc>
        <w:tc>
          <w:tcPr>
            <w:tcW w:w="5240" w:type="dxa"/>
            <w:vAlign w:val="bottom"/>
            <w:gridSpan w:val="2"/>
          </w:tcPr>
          <w:p>
            <w:pPr>
              <w:jc w:val="right"/>
              <w:ind w:right="2010"/>
              <w:spacing w:after="0"/>
              <w:rPr>
                <w:sz w:val="20"/>
                <w:szCs w:val="20"/>
                <w:color w:val="auto"/>
              </w:rPr>
            </w:pPr>
            <w:r>
              <w:rPr>
                <w:rFonts w:ascii="Arial" w:cs="Arial" w:eastAsia="Arial" w:hAnsi="Arial"/>
                <w:sz w:val="18"/>
                <w:szCs w:val="18"/>
                <w:b w:val="1"/>
                <w:bCs w:val="1"/>
                <w:color w:val="auto"/>
              </w:rPr>
              <w:t>01-0425066</w:t>
            </w:r>
          </w:p>
        </w:tc>
      </w:tr>
      <w:tr>
        <w:trPr>
          <w:trHeight w:val="191"/>
        </w:trPr>
        <w:tc>
          <w:tcPr>
            <w:tcW w:w="50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20" w:type="dxa"/>
            <w:vAlign w:val="bottom"/>
          </w:tcPr>
          <w:p>
            <w:pPr>
              <w:spacing w:after="0"/>
              <w:rPr>
                <w:sz w:val="16"/>
                <w:szCs w:val="16"/>
                <w:color w:val="auto"/>
              </w:rPr>
            </w:pPr>
          </w:p>
        </w:tc>
        <w:tc>
          <w:tcPr>
            <w:tcW w:w="50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(I.R.S. Employer Identification No.)</w:t>
            </w:r>
          </w:p>
        </w:tc>
      </w:tr>
      <w:tr>
        <w:trPr>
          <w:trHeight w:val="234"/>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1"/>
              </w:rPr>
              <w:t>500 Canal Street, Lewiston, Maine</w:t>
            </w:r>
          </w:p>
        </w:tc>
        <w:tc>
          <w:tcPr>
            <w:tcW w:w="524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04240</w:t>
            </w:r>
          </w:p>
        </w:tc>
      </w:tr>
      <w:tr>
        <w:trPr>
          <w:trHeight w:val="228"/>
        </w:trPr>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20" w:type="dxa"/>
            <w:vAlign w:val="bottom"/>
          </w:tcPr>
          <w:p>
            <w:pPr>
              <w:spacing w:after="0"/>
              <w:rPr>
                <w:sz w:val="19"/>
                <w:szCs w:val="19"/>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(Zip Code)</w:t>
            </w:r>
          </w:p>
        </w:tc>
      </w:tr>
    </w:tbl>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(207) 786-3245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jc w:val="both"/>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 Large accelerated filer __ Accelerated filer __ Non-accelerated filer ___ Smaller Reporting Company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Yes_ No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12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May 6, 2016, the registrant had outstanding 8,089,790 shares of voting common stock, $1.00 par value per share and 1,227,683 shares of non-voting common stock, $1.00 par value per share.</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6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  </w:t>
            </w:r>
            <w:hyperlink w:anchor="page3">
              <w:r>
                <w:rPr>
                  <w:rFonts w:ascii="Arial" w:cs="Arial" w:eastAsia="Arial" w:hAnsi="Arial"/>
                  <w:sz w:val="18"/>
                  <w:szCs w:val="18"/>
                  <w:b w:val="1"/>
                  <w:bCs w:val="1"/>
                  <w:color w:val="0000EE"/>
                </w:rPr>
                <w:t>Financial Information</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360" w:type="dxa"/>
            <w:vAlign w:val="bottom"/>
          </w:tcPr>
          <w:p>
            <w:pPr>
              <w:spacing w:after="0" w:line="196" w:lineRule="exact"/>
              <w:rPr>
                <w:sz w:val="20"/>
                <w:szCs w:val="20"/>
                <w:color w:val="auto"/>
              </w:rPr>
            </w:pPr>
            <w:r>
              <w:rPr>
                <w:rFonts w:ascii="Arial" w:cs="Arial" w:eastAsia="Arial" w:hAnsi="Arial"/>
                <w:sz w:val="18"/>
                <w:szCs w:val="18"/>
                <w:b w:val="1"/>
                <w:bCs w:val="1"/>
                <w:color w:val="auto"/>
              </w:rPr>
              <w:t>Item 1.</w:t>
            </w:r>
          </w:p>
        </w:tc>
        <w:tc>
          <w:tcPr>
            <w:tcW w:w="25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89"/>
              </w:rPr>
            </w:pPr>
            <w:hyperlink w:anchor="page3">
              <w:r>
                <w:rPr>
                  <w:rFonts w:ascii="Arial" w:cs="Arial" w:eastAsia="Arial" w:hAnsi="Arial"/>
                  <w:sz w:val="18"/>
                  <w:szCs w:val="18"/>
                  <w:b w:val="1"/>
                  <w:bCs w:val="1"/>
                  <w:color w:val="0000EE"/>
                  <w:w w:val="89"/>
                </w:rPr>
                <w:t>Financial Statements (unaudited)</w:t>
              </w:r>
            </w:hyperlink>
          </w:p>
        </w:tc>
        <w:tc>
          <w:tcPr>
            <w:tcW w:w="5460" w:type="dxa"/>
            <w:vAlign w:val="bottom"/>
            <w:gridSpan w:val="8"/>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6"/>
              </w:rPr>
            </w:pPr>
            <w:hyperlink w:anchor="page3">
              <w:r>
                <w:rPr>
                  <w:rFonts w:ascii="Arial" w:cs="Arial" w:eastAsia="Arial" w:hAnsi="Arial"/>
                  <w:sz w:val="18"/>
                  <w:szCs w:val="18"/>
                  <w:b w:val="1"/>
                  <w:bCs w:val="1"/>
                  <w:color w:val="0000EE"/>
                  <w:w w:val="86"/>
                </w:rPr>
                <w:t>Consolidated Balance Sheets</w:t>
              </w:r>
            </w:hyperlink>
          </w:p>
        </w:tc>
        <w:tc>
          <w:tcPr>
            <w:tcW w:w="5820" w:type="dxa"/>
            <w:vAlign w:val="bottom"/>
            <w:gridSpan w:val="10"/>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37"/>
        </w:trPr>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40" w:type="dxa"/>
            <w:vAlign w:val="bottom"/>
            <w:gridSpan w:val="17"/>
          </w:tcPr>
          <w:p>
            <w:pPr>
              <w:ind w:left="80"/>
              <w:spacing w:after="0"/>
              <w:rPr>
                <w:sz w:val="20"/>
                <w:szCs w:val="20"/>
                <w:color w:val="auto"/>
              </w:rPr>
            </w:pPr>
            <w:r>
              <w:rPr>
                <w:rFonts w:ascii="Arial" w:cs="Arial" w:eastAsia="Arial" w:hAnsi="Arial"/>
                <w:sz w:val="18"/>
                <w:szCs w:val="18"/>
                <w:b w:val="1"/>
                <w:bCs w:val="1"/>
                <w:color w:val="auto"/>
              </w:rPr>
              <w:t>March 31, 2016 and June 30, 2015</w:t>
            </w:r>
          </w:p>
        </w:tc>
        <w:tc>
          <w:tcPr>
            <w:tcW w:w="1400" w:type="dxa"/>
            <w:vAlign w:val="bottom"/>
          </w:tcPr>
          <w:p>
            <w:pPr>
              <w:spacing w:after="0"/>
              <w:rPr>
                <w:sz w:val="20"/>
                <w:szCs w:val="20"/>
                <w:color w:val="auto"/>
              </w:rPr>
            </w:pPr>
          </w:p>
        </w:tc>
      </w:tr>
      <w:tr>
        <w:trPr>
          <w:trHeight w:val="392"/>
        </w:trPr>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20" w:type="dxa"/>
            <w:vAlign w:val="bottom"/>
            <w:gridSpan w:val="1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Consolidated Statements of Income</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8"/>
        </w:trPr>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40" w:type="dxa"/>
            <w:vAlign w:val="bottom"/>
            <w:gridSpan w:val="17"/>
          </w:tcPr>
          <w:p>
            <w:pPr>
              <w:ind w:left="80"/>
              <w:spacing w:after="0"/>
              <w:rPr>
                <w:sz w:val="20"/>
                <w:szCs w:val="20"/>
                <w:color w:val="auto"/>
              </w:rPr>
            </w:pPr>
            <w:r>
              <w:rPr>
                <w:rFonts w:ascii="Arial" w:cs="Arial" w:eastAsia="Arial" w:hAnsi="Arial"/>
                <w:sz w:val="18"/>
                <w:szCs w:val="18"/>
                <w:b w:val="1"/>
                <w:bCs w:val="1"/>
                <w:color w:val="auto"/>
              </w:rPr>
              <w:t>Three Months Ended March 31, 2016 and 2015</w:t>
            </w:r>
          </w:p>
        </w:tc>
        <w:tc>
          <w:tcPr>
            <w:tcW w:w="140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40" w:type="dxa"/>
            <w:vAlign w:val="bottom"/>
            <w:gridSpan w:val="17"/>
          </w:tcPr>
          <w:p>
            <w:pPr>
              <w:ind w:left="80"/>
              <w:spacing w:after="0"/>
              <w:rPr>
                <w:sz w:val="20"/>
                <w:szCs w:val="20"/>
                <w:color w:val="auto"/>
              </w:rPr>
            </w:pPr>
            <w:r>
              <w:rPr>
                <w:rFonts w:ascii="Arial" w:cs="Arial" w:eastAsia="Arial" w:hAnsi="Arial"/>
                <w:sz w:val="18"/>
                <w:szCs w:val="18"/>
                <w:b w:val="1"/>
                <w:bCs w:val="1"/>
                <w:color w:val="auto"/>
              </w:rPr>
              <w:t>Nine Months Ended March 31, 2016 and 2015</w:t>
            </w:r>
          </w:p>
        </w:tc>
        <w:tc>
          <w:tcPr>
            <w:tcW w:w="1400" w:type="dxa"/>
            <w:vAlign w:val="bottom"/>
          </w:tcPr>
          <w:p>
            <w:pPr>
              <w:spacing w:after="0"/>
              <w:rPr>
                <w:sz w:val="20"/>
                <w:szCs w:val="20"/>
                <w:color w:val="auto"/>
              </w:rPr>
            </w:pPr>
          </w:p>
        </w:tc>
      </w:tr>
      <w:tr>
        <w:trPr>
          <w:trHeight w:val="392"/>
        </w:trPr>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20" w:type="dxa"/>
            <w:vAlign w:val="bottom"/>
            <w:gridSpan w:val="1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Statements of Comprehensive Income</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8"/>
        </w:trPr>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60" w:type="dxa"/>
            <w:vAlign w:val="bottom"/>
            <w:tcBorders>
              <w:top w:val="single" w:sz="8" w:color="0000EE"/>
            </w:tcBorders>
            <w:gridSpan w:val="13"/>
          </w:tcPr>
          <w:p>
            <w:pPr>
              <w:ind w:left="80"/>
              <w:spacing w:after="0"/>
              <w:rPr>
                <w:sz w:val="20"/>
                <w:szCs w:val="20"/>
                <w:color w:val="auto"/>
              </w:rPr>
            </w:pPr>
            <w:r>
              <w:rPr>
                <w:rFonts w:ascii="Arial" w:cs="Arial" w:eastAsia="Arial" w:hAnsi="Arial"/>
                <w:sz w:val="18"/>
                <w:szCs w:val="18"/>
                <w:b w:val="1"/>
                <w:bCs w:val="1"/>
                <w:color w:val="auto"/>
                <w:w w:val="95"/>
              </w:rPr>
              <w:t>Three Months Ended March 31, 2016 and 2015</w:t>
            </w:r>
          </w:p>
        </w:tc>
        <w:tc>
          <w:tcPr>
            <w:tcW w:w="4080" w:type="dxa"/>
            <w:vAlign w:val="bottom"/>
            <w:gridSpan w:val="4"/>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40" w:type="dxa"/>
            <w:vAlign w:val="bottom"/>
            <w:gridSpan w:val="17"/>
          </w:tcPr>
          <w:p>
            <w:pPr>
              <w:ind w:left="80"/>
              <w:spacing w:after="0"/>
              <w:rPr>
                <w:sz w:val="20"/>
                <w:szCs w:val="20"/>
                <w:color w:val="auto"/>
              </w:rPr>
            </w:pPr>
            <w:r>
              <w:rPr>
                <w:rFonts w:ascii="Arial" w:cs="Arial" w:eastAsia="Arial" w:hAnsi="Arial"/>
                <w:sz w:val="18"/>
                <w:szCs w:val="18"/>
                <w:b w:val="1"/>
                <w:bCs w:val="1"/>
                <w:color w:val="auto"/>
              </w:rPr>
              <w:t>Nine Months Ended March 31, 2016 and 2015</w:t>
            </w:r>
          </w:p>
        </w:tc>
        <w:tc>
          <w:tcPr>
            <w:tcW w:w="1400" w:type="dxa"/>
            <w:vAlign w:val="bottom"/>
          </w:tcPr>
          <w:p>
            <w:pPr>
              <w:spacing w:after="0"/>
              <w:rPr>
                <w:sz w:val="20"/>
                <w:szCs w:val="20"/>
                <w:color w:val="auto"/>
              </w:rPr>
            </w:pPr>
          </w:p>
        </w:tc>
      </w:tr>
      <w:tr>
        <w:trPr>
          <w:trHeight w:val="392"/>
        </w:trPr>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60" w:type="dxa"/>
            <w:vAlign w:val="bottom"/>
            <w:tcBorders>
              <w:bottom w:val="single" w:sz="8" w:color="0000EE"/>
            </w:tcBorders>
            <w:gridSpan w:val="16"/>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Consolidated Statements of Changes in Stockholders' Equity</w:t>
              </w:r>
            </w:hyperlink>
          </w:p>
        </w:tc>
        <w:tc>
          <w:tcPr>
            <w:tcW w:w="3360" w:type="dxa"/>
            <w:vAlign w:val="bottom"/>
            <w:gridSpan w:val="2"/>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40" w:type="dxa"/>
            <w:vAlign w:val="bottom"/>
            <w:gridSpan w:val="17"/>
          </w:tcPr>
          <w:p>
            <w:pPr>
              <w:ind w:left="80"/>
              <w:spacing w:after="0"/>
              <w:rPr>
                <w:sz w:val="20"/>
                <w:szCs w:val="20"/>
                <w:color w:val="auto"/>
              </w:rPr>
            </w:pPr>
            <w:r>
              <w:rPr>
                <w:rFonts w:ascii="Arial" w:cs="Arial" w:eastAsia="Arial" w:hAnsi="Arial"/>
                <w:sz w:val="18"/>
                <w:szCs w:val="18"/>
                <w:b w:val="1"/>
                <w:bCs w:val="1"/>
                <w:color w:val="auto"/>
              </w:rPr>
              <w:t>Nine Months Ended March 31, 2016 and 2015</w:t>
            </w:r>
          </w:p>
        </w:tc>
        <w:tc>
          <w:tcPr>
            <w:tcW w:w="1400" w:type="dxa"/>
            <w:vAlign w:val="bottom"/>
          </w:tcPr>
          <w:p>
            <w:pPr>
              <w:spacing w:after="0"/>
              <w:rPr>
                <w:sz w:val="20"/>
                <w:szCs w:val="20"/>
                <w:color w:val="auto"/>
              </w:rPr>
            </w:pPr>
          </w:p>
        </w:tc>
      </w:tr>
      <w:tr>
        <w:trPr>
          <w:trHeight w:val="392"/>
        </w:trPr>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20" w:type="dxa"/>
            <w:vAlign w:val="bottom"/>
            <w:gridSpan w:val="18"/>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Consolidated Statements of Cash Flows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940" w:type="dxa"/>
            <w:vAlign w:val="bottom"/>
            <w:gridSpan w:val="17"/>
          </w:tcPr>
          <w:p>
            <w:pPr>
              <w:ind w:left="80"/>
              <w:spacing w:after="0"/>
              <w:rPr>
                <w:sz w:val="20"/>
                <w:szCs w:val="20"/>
                <w:color w:val="auto"/>
              </w:rPr>
            </w:pPr>
            <w:r>
              <w:rPr>
                <w:rFonts w:ascii="Arial" w:cs="Arial" w:eastAsia="Arial" w:hAnsi="Arial"/>
                <w:sz w:val="18"/>
                <w:szCs w:val="18"/>
                <w:b w:val="1"/>
                <w:bCs w:val="1"/>
                <w:color w:val="auto"/>
              </w:rPr>
              <w:t>Nine Months Ended March 31, 2016 and 2015</w:t>
            </w:r>
          </w:p>
        </w:tc>
        <w:tc>
          <w:tcPr>
            <w:tcW w:w="1400" w:type="dxa"/>
            <w:vAlign w:val="bottom"/>
          </w:tcPr>
          <w:p>
            <w:pPr>
              <w:spacing w:after="0"/>
              <w:rPr>
                <w:sz w:val="20"/>
                <w:szCs w:val="20"/>
                <w:color w:val="auto"/>
              </w:rPr>
            </w:pPr>
          </w:p>
        </w:tc>
      </w:tr>
      <w:tr>
        <w:trPr>
          <w:trHeight w:val="392"/>
        </w:trPr>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40" w:type="dxa"/>
            <w:vAlign w:val="bottom"/>
            <w:tcBorders>
              <w:bottom w:val="single" w:sz="8" w:color="0000EE"/>
            </w:tcBorders>
            <w:gridSpan w:val="13"/>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4680" w:type="dxa"/>
            <w:vAlign w:val="bottom"/>
            <w:gridSpan w:val="5"/>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6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020" w:type="dxa"/>
            <w:vAlign w:val="bottom"/>
            <w:gridSpan w:val="18"/>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Management's Discussion and Analysis of Financial Condition and Results of Operations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6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Quantitative and Qualitative Disclosure about Market Risk</w:t>
              </w:r>
            </w:hyperlink>
          </w:p>
        </w:tc>
        <w:tc>
          <w:tcPr>
            <w:tcW w:w="2260" w:type="dxa"/>
            <w:vAlign w:val="bottom"/>
            <w:tcBorders>
              <w:top w:val="single" w:sz="8" w:color="0000EE"/>
            </w:tcBorders>
            <w:gridSpan w:val="2"/>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6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020" w:type="dxa"/>
            <w:vAlign w:val="bottom"/>
            <w:gridSpan w:val="18"/>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Controls and Procedures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0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12"/>
        </w:trPr>
        <w:tc>
          <w:tcPr>
            <w:tcW w:w="1006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II. </w:t>
            </w:r>
            <w:hyperlink w:anchor="page48">
              <w:r>
                <w:rPr>
                  <w:rFonts w:ascii="Arial" w:cs="Arial" w:eastAsia="Arial" w:hAnsi="Arial"/>
                  <w:sz w:val="18"/>
                  <w:szCs w:val="18"/>
                  <w:b w:val="1"/>
                  <w:bCs w:val="1"/>
                  <w:color w:val="0000EE"/>
                </w:rPr>
                <w:t>Other Information</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5"/>
          </w:tcPr>
          <w:p>
            <w:pPr>
              <w:spacing w:after="0"/>
              <w:rPr>
                <w:rFonts w:ascii="Arial" w:cs="Arial" w:eastAsia="Arial" w:hAnsi="Arial"/>
                <w:sz w:val="18"/>
                <w:szCs w:val="18"/>
                <w:b w:val="1"/>
                <w:bCs w:val="1"/>
                <w:color w:val="0000EE"/>
                <w:w w:val="86"/>
              </w:rPr>
            </w:pPr>
            <w:hyperlink w:anchor="page48">
              <w:r>
                <w:rPr>
                  <w:rFonts w:ascii="Arial" w:cs="Arial" w:eastAsia="Arial" w:hAnsi="Arial"/>
                  <w:sz w:val="18"/>
                  <w:szCs w:val="18"/>
                  <w:b w:val="1"/>
                  <w:bCs w:val="1"/>
                  <w:color w:val="0000EE"/>
                  <w:w w:val="86"/>
                </w:rPr>
                <w:t>Legal Proceedings</w:t>
              </w:r>
            </w:hyperlink>
          </w:p>
        </w:tc>
        <w:tc>
          <w:tcPr>
            <w:tcW w:w="6620" w:type="dxa"/>
            <w:vAlign w:val="bottom"/>
            <w:gridSpan w:val="13"/>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6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020" w:type="dxa"/>
            <w:vAlign w:val="bottom"/>
            <w:gridSpan w:val="18"/>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Risk Factors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020" w:type="dxa"/>
            <w:vAlign w:val="bottom"/>
            <w:gridSpan w:val="18"/>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Unregistered Sales of Equity Securities and Use of Proceeds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6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8"/>
              </w:rPr>
            </w:pPr>
            <w:hyperlink w:anchor="page49">
              <w:r>
                <w:rPr>
                  <w:rFonts w:ascii="Arial" w:cs="Arial" w:eastAsia="Arial" w:hAnsi="Arial"/>
                  <w:sz w:val="18"/>
                  <w:szCs w:val="18"/>
                  <w:b w:val="1"/>
                  <w:bCs w:val="1"/>
                  <w:color w:val="0000EE"/>
                  <w:w w:val="88"/>
                </w:rPr>
                <w:t>Defaults Upon Senior Securities</w:t>
              </w:r>
            </w:hyperlink>
          </w:p>
        </w:tc>
        <w:tc>
          <w:tcPr>
            <w:tcW w:w="2120" w:type="dxa"/>
            <w:vAlign w:val="bottom"/>
            <w:tcBorders>
              <w:top w:val="single" w:sz="8" w:color="0000EE"/>
            </w:tcBorders>
            <w:gridSpan w:val="6"/>
          </w:tcPr>
          <w:p>
            <w:pPr>
              <w:spacing w:after="0"/>
              <w:rPr>
                <w:sz w:val="24"/>
                <w:szCs w:val="24"/>
                <w:color w:val="auto"/>
              </w:rPr>
            </w:pPr>
          </w:p>
        </w:tc>
        <w:tc>
          <w:tcPr>
            <w:tcW w:w="3460" w:type="dxa"/>
            <w:vAlign w:val="bottom"/>
            <w:gridSpan w:val="3"/>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6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00" w:type="dxa"/>
            <w:vAlign w:val="bottom"/>
            <w:tcBorders>
              <w:bottom w:val="single" w:sz="8" w:color="0000EE"/>
            </w:tcBorders>
            <w:gridSpan w:val="7"/>
          </w:tcPr>
          <w:p>
            <w:pPr>
              <w:spacing w:after="0"/>
              <w:rPr>
                <w:rFonts w:ascii="Arial" w:cs="Arial" w:eastAsia="Arial" w:hAnsi="Arial"/>
                <w:sz w:val="18"/>
                <w:szCs w:val="18"/>
                <w:b w:val="1"/>
                <w:bCs w:val="1"/>
                <w:color w:val="0000EE"/>
                <w:w w:val="89"/>
              </w:rPr>
            </w:pPr>
            <w:hyperlink w:anchor="page49">
              <w:r>
                <w:rPr>
                  <w:rFonts w:ascii="Arial" w:cs="Arial" w:eastAsia="Arial" w:hAnsi="Arial"/>
                  <w:sz w:val="18"/>
                  <w:szCs w:val="18"/>
                  <w:b w:val="1"/>
                  <w:bCs w:val="1"/>
                  <w:color w:val="0000EE"/>
                  <w:w w:val="89"/>
                </w:rPr>
                <w:t>Mine Safety Disclosures</w:t>
              </w:r>
            </w:hyperlink>
          </w:p>
        </w:tc>
        <w:tc>
          <w:tcPr>
            <w:tcW w:w="6120" w:type="dxa"/>
            <w:vAlign w:val="bottom"/>
            <w:gridSpan w:val="11"/>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6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tcBorders>
              <w:bottom w:val="single" w:sz="8" w:color="0000EE"/>
            </w:tcBorders>
            <w:gridSpan w:val="6"/>
          </w:tcPr>
          <w:p>
            <w:pPr>
              <w:spacing w:after="0"/>
              <w:rPr>
                <w:rFonts w:ascii="Arial" w:cs="Arial" w:eastAsia="Arial" w:hAnsi="Arial"/>
                <w:sz w:val="18"/>
                <w:szCs w:val="18"/>
                <w:b w:val="1"/>
                <w:bCs w:val="1"/>
                <w:color w:val="0000EE"/>
                <w:w w:val="93"/>
              </w:rPr>
            </w:pPr>
            <w:hyperlink w:anchor="page49">
              <w:r>
                <w:rPr>
                  <w:rFonts w:ascii="Arial" w:cs="Arial" w:eastAsia="Arial" w:hAnsi="Arial"/>
                  <w:sz w:val="18"/>
                  <w:szCs w:val="18"/>
                  <w:b w:val="1"/>
                  <w:bCs w:val="1"/>
                  <w:color w:val="0000EE"/>
                  <w:w w:val="93"/>
                </w:rPr>
                <w:t>Other Information</w:t>
              </w:r>
            </w:hyperlink>
          </w:p>
        </w:tc>
        <w:tc>
          <w:tcPr>
            <w:tcW w:w="6580" w:type="dxa"/>
            <w:vAlign w:val="bottom"/>
            <w:gridSpan w:val="12"/>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6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49">
              <w:r>
                <w:rPr>
                  <w:rFonts w:ascii="Arial" w:cs="Arial" w:eastAsia="Arial" w:hAnsi="Arial"/>
                  <w:sz w:val="18"/>
                  <w:szCs w:val="18"/>
                  <w:b w:val="1"/>
                  <w:bCs w:val="1"/>
                  <w:color w:val="0000EE"/>
                  <w:w w:val="88"/>
                </w:rPr>
                <w:t>Exhibits</w:t>
              </w:r>
            </w:hyperlink>
          </w:p>
        </w:tc>
        <w:tc>
          <w:tcPr>
            <w:tcW w:w="7380" w:type="dxa"/>
            <w:vAlign w:val="bottom"/>
            <w:gridSpan w:val="15"/>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696"/>
        </w:trPr>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40" w:type="dxa"/>
            <w:vAlign w:val="bottom"/>
            <w:gridSpan w:val="14"/>
          </w:tcPr>
          <w:p>
            <w:pPr>
              <w:ind w:left="362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5"/>
        </w:trPr>
        <w:tc>
          <w:tcPr>
            <w:tcW w:w="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61"/>
        </w:trPr>
        <w:tc>
          <w:tcPr>
            <w:tcW w:w="6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1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Item 1. Financial Statements (Unaudited)</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140" w:type="dxa"/>
            <w:vAlign w:val="bottom"/>
          </w:tcPr>
          <w:p>
            <w:pPr>
              <w:spacing w:after="0"/>
              <w:rPr>
                <w:sz w:val="20"/>
                <w:szCs w:val="20"/>
                <w:color w:val="auto"/>
              </w:rPr>
            </w:pPr>
          </w:p>
        </w:tc>
        <w:tc>
          <w:tcPr>
            <w:tcW w:w="15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2"/>
              </w:rPr>
              <w:t>March 31, 2016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92"/>
              </w:rPr>
              <w:t>June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76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4,025</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91,452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Available-for-sale securities, at fair value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real estate loans held for sale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SBA loans held for sale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 held for sale</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Loans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119,327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loans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Less: Allowance for loan losses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Loans, net</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owned and other possessed collateral, net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Federal Home Loan Bank stock, at cost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15,612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922,689</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850,718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70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Demand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60,573</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Savings and interest checking</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Money market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234,142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168,527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353,432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deposits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752,949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674,759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30,103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Wholesale repurchase agreements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Junior subordinated debentures issued to affiliated trusts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808,163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737,991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89"/>
              </w:rPr>
              <w:t>Preferred stock, $1.00 par value, 1,000,000 shares authorized; no shares issued and outstanding at March 31,</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2016 and June 30, 2015</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Borders>
              <w:right w:val="single" w:sz="8" w:color="CCEEFF"/>
            </w:tcBorders>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Voting common stock, $1.00 par value, 25,000,000 shares authorized; 8,103,190 and 8,575,144 shares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issued and outstanding at March 31, 2016 and June 30, 2015, respectively</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2"/>
              </w:rPr>
              <w:t>Non-voting common stock, $1.00 par value, 3,000,000 shares authorized; 1,227,683 and 1,012,739 shares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issued and outstanding at March 31, 2016 and June 30, 2015, respectively</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24,055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114,526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922,689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850,718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vMerge w:val="restart"/>
          </w:tcPr>
          <w:p>
            <w:pPr>
              <w:spacing w:after="0"/>
              <w:rPr>
                <w:sz w:val="20"/>
                <w:szCs w:val="20"/>
                <w:color w:val="auto"/>
              </w:rPr>
            </w:pPr>
            <w:r>
              <w:rPr>
                <w:rFonts w:ascii="Arial" w:cs="Arial" w:eastAsia="Arial" w:hAnsi="Arial"/>
                <w:sz w:val="18"/>
                <w:szCs w:val="18"/>
                <w:color w:val="auto"/>
              </w:rPr>
              <w:t>Three Months Ended March 31,</w:t>
            </w:r>
          </w:p>
        </w:tc>
        <w:tc>
          <w:tcPr>
            <w:tcW w:w="120" w:type="dxa"/>
            <w:vAlign w:val="bottom"/>
          </w:tcPr>
          <w:p>
            <w:pPr>
              <w:spacing w:after="0"/>
              <w:rPr>
                <w:sz w:val="20"/>
                <w:szCs w:val="20"/>
                <w:color w:val="auto"/>
              </w:rPr>
            </w:pPr>
          </w:p>
        </w:tc>
        <w:tc>
          <w:tcPr>
            <w:tcW w:w="2480" w:type="dxa"/>
            <w:vAlign w:val="bottom"/>
            <w:gridSpan w:val="6"/>
            <w:vMerge w:val="restart"/>
          </w:tcPr>
          <w:p>
            <w:pPr>
              <w:ind w:left="20"/>
              <w:spacing w:after="0"/>
              <w:rPr>
                <w:sz w:val="20"/>
                <w:szCs w:val="20"/>
                <w:color w:val="auto"/>
              </w:rPr>
            </w:pPr>
            <w:r>
              <w:rPr>
                <w:rFonts w:ascii="Arial" w:cs="Arial" w:eastAsia="Arial" w:hAnsi="Arial"/>
                <w:sz w:val="18"/>
                <w:szCs w:val="18"/>
                <w:color w:val="auto"/>
              </w:rPr>
              <w:t>Nine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10,904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33,413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5,739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9,120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28,669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27,368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Noninterest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portfolio loans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0"/>
              </w:rPr>
              <w:t>(Loss) gain recognized on real estate owned and other repossessed collateral,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Bank-owned life insurance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noninterest income</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13,956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noninterest expense</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9,833,033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9,526,302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9,459,611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9,833,033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9,531,747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10,049,983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097"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097"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vMerge w:val="restart"/>
          </w:tcPr>
          <w:p>
            <w:pPr>
              <w:jc w:val="right"/>
              <w:ind w:right="320"/>
              <w:spacing w:after="0"/>
              <w:rPr>
                <w:sz w:val="20"/>
                <w:szCs w:val="20"/>
                <w:color w:val="auto"/>
              </w:rPr>
            </w:pPr>
            <w:r>
              <w:rPr>
                <w:rFonts w:ascii="Arial" w:cs="Arial" w:eastAsia="Arial" w:hAnsi="Arial"/>
                <w:sz w:val="18"/>
                <w:szCs w:val="18"/>
                <w:color w:val="auto"/>
                <w:w w:val="90"/>
              </w:rPr>
              <w:t>Three Months Ended March 31,</w:t>
            </w:r>
          </w:p>
        </w:tc>
        <w:tc>
          <w:tcPr>
            <w:tcW w:w="120" w:type="dxa"/>
            <w:vAlign w:val="bottom"/>
          </w:tcPr>
          <w:p>
            <w:pPr>
              <w:spacing w:after="0"/>
              <w:rPr>
                <w:sz w:val="20"/>
                <w:szCs w:val="20"/>
                <w:color w:val="auto"/>
              </w:rPr>
            </w:pPr>
          </w:p>
        </w:tc>
        <w:tc>
          <w:tcPr>
            <w:tcW w:w="2480" w:type="dxa"/>
            <w:vAlign w:val="bottom"/>
            <w:gridSpan w:val="6"/>
            <w:vMerge w:val="restart"/>
          </w:tcPr>
          <w:p>
            <w:pPr>
              <w:jc w:val="right"/>
              <w:ind w:right="240"/>
              <w:spacing w:after="0"/>
              <w:rPr>
                <w:sz w:val="20"/>
                <w:szCs w:val="20"/>
                <w:color w:val="auto"/>
              </w:rPr>
            </w:pPr>
            <w:r>
              <w:rPr>
                <w:rFonts w:ascii="Arial" w:cs="Arial" w:eastAsia="Arial" w:hAnsi="Arial"/>
                <w:sz w:val="18"/>
                <w:szCs w:val="18"/>
                <w:color w:val="auto"/>
                <w:w w:val="91"/>
              </w:rPr>
              <w:t>Nine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before tax:</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net unrealized gain on available-for-sale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20"/>
              <w:spacing w:after="0"/>
              <w:rPr>
                <w:sz w:val="20"/>
                <w:szCs w:val="20"/>
                <w:color w:val="auto"/>
              </w:rPr>
            </w:pPr>
            <w:r>
              <w:rPr>
                <w:rFonts w:ascii="Arial" w:cs="Arial" w:eastAsia="Arial" w:hAnsi="Arial"/>
                <w:sz w:val="18"/>
                <w:szCs w:val="18"/>
                <w:color w:val="auto"/>
              </w:rPr>
              <w:t>Derivatives and hedging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accumulated lo ss on effective cash flow hedges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80"/>
              <w:spacing w:after="0"/>
              <w:rPr>
                <w:sz w:val="20"/>
                <w:szCs w:val="20"/>
                <w:color w:val="auto"/>
              </w:rPr>
            </w:pPr>
            <w:r>
              <w:rPr>
                <w:rFonts w:ascii="Arial" w:cs="Arial" w:eastAsia="Arial" w:hAnsi="Arial"/>
                <w:sz w:val="18"/>
                <w:szCs w:val="18"/>
                <w:color w:val="auto"/>
              </w:rPr>
              <w:t>Reclassification adjustments for net gains included in net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derivatives and hedging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Total other comprehensive loss, before tax</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expense related to other comprehensive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63" w:lineRule="exact"/>
        <w:rPr>
          <w:sz w:val="20"/>
          <w:szCs w:val="20"/>
          <w:color w:val="auto"/>
        </w:rPr>
      </w:pPr>
    </w:p>
    <w:p>
      <w:pPr>
        <w:ind w:right="440"/>
        <w:spacing w:after="0" w:line="269" w:lineRule="auto"/>
        <w:rPr>
          <w:sz w:val="20"/>
          <w:szCs w:val="20"/>
          <w:color w:val="auto"/>
        </w:rPr>
      </w:pPr>
      <w:r>
        <w:rPr>
          <w:rFonts w:ascii="Arial" w:cs="Arial" w:eastAsia="Arial" w:hAnsi="Arial"/>
          <w:sz w:val="18"/>
          <w:szCs w:val="18"/>
          <w:b w:val="1"/>
          <w:bCs w:val="1"/>
          <w:color w:val="auto"/>
        </w:rPr>
        <w:t xml:space="preserve">CONSOLIDATED STATEMENTS OF CHANGES IN STOCKHOLDERS’ EQUITY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19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Non-voting</w:t>
      </w:r>
    </w:p>
    <w:p>
      <w:pPr>
        <w:spacing w:after="0" w:line="23" w:lineRule="exact"/>
        <w:rPr>
          <w:sz w:val="20"/>
          <w:szCs w:val="20"/>
          <w:color w:val="auto"/>
        </w:rPr>
      </w:pPr>
    </w:p>
    <w:p>
      <w:pPr>
        <w:ind w:left="2040"/>
        <w:spacing w:after="0"/>
        <w:tabs>
          <w:tab w:leader="none" w:pos="3500" w:val="left"/>
          <w:tab w:leader="none" w:pos="5600" w:val="left"/>
        </w:tabs>
        <w:rPr>
          <w:sz w:val="20"/>
          <w:szCs w:val="20"/>
          <w:color w:val="auto"/>
        </w:rPr>
      </w:pPr>
      <w:r>
        <w:rPr>
          <w:rFonts w:ascii="Arial" w:cs="Arial" w:eastAsia="Arial" w:hAnsi="Arial"/>
          <w:sz w:val="18"/>
          <w:szCs w:val="18"/>
          <w:color w:val="auto"/>
        </w:rPr>
        <w:t>Preferred Stock</w:t>
      </w:r>
      <w:r>
        <w:rPr>
          <w:sz w:val="20"/>
          <w:szCs w:val="20"/>
          <w:color w:val="auto"/>
        </w:rPr>
        <w:tab/>
      </w:r>
      <w:r>
        <w:rPr>
          <w:rFonts w:ascii="Arial" w:cs="Arial" w:eastAsia="Arial" w:hAnsi="Arial"/>
          <w:sz w:val="18"/>
          <w:szCs w:val="18"/>
          <w:color w:val="auto"/>
        </w:rPr>
        <w:t>Voting Common Stock</w:t>
      </w:r>
      <w:r>
        <w:rPr>
          <w:sz w:val="20"/>
          <w:szCs w:val="20"/>
          <w:color w:val="auto"/>
        </w:rPr>
        <w:tab/>
      </w:r>
      <w:r>
        <w:rPr>
          <w:rFonts w:ascii="Arial" w:cs="Arial" w:eastAsia="Arial" w:hAnsi="Arial"/>
          <w:sz w:val="16"/>
          <w:szCs w:val="16"/>
          <w:color w:val="auto"/>
        </w:rPr>
        <w:t>Common Stock</w:t>
      </w:r>
    </w:p>
    <w:p>
      <w:pPr>
        <w:spacing w:after="0" w:line="9" w:lineRule="exact"/>
        <w:rPr>
          <w:sz w:val="20"/>
          <w:szCs w:val="20"/>
          <w:color w:val="auto"/>
        </w:rPr>
      </w:pPr>
    </w:p>
    <w:p>
      <w:pPr>
        <w:jc w:val="both"/>
        <w:ind w:left="1940"/>
        <w:spacing w:after="0"/>
        <w:tabs>
          <w:tab w:leader="none" w:pos="2680" w:val="left"/>
          <w:tab w:leader="none" w:pos="3660" w:val="left"/>
          <w:tab w:leader="none" w:pos="4520" w:val="left"/>
          <w:tab w:leader="none" w:pos="5500" w:val="left"/>
          <w:tab w:leader="none" w:pos="638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Amount</w:t>
      </w:r>
      <w:r>
        <w:rPr>
          <w:sz w:val="20"/>
          <w:szCs w:val="20"/>
          <w:color w:val="auto"/>
        </w:rPr>
        <w:tab/>
      </w: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Amount</w:t>
      </w:r>
      <w:r>
        <w:rPr>
          <w:sz w:val="20"/>
          <w:szCs w:val="20"/>
          <w:color w:val="auto"/>
        </w:rPr>
        <w:tab/>
      </w:r>
      <w:r>
        <w:rPr>
          <w:rFonts w:ascii="Arial" w:cs="Arial" w:eastAsia="Arial" w:hAnsi="Arial"/>
          <w:sz w:val="18"/>
          <w:szCs w:val="18"/>
          <w:color w:val="auto"/>
        </w:rPr>
        <w:t>Shares</w:t>
      </w:r>
      <w:r>
        <w:rPr>
          <w:sz w:val="20"/>
          <w:szCs w:val="20"/>
          <w:color w:val="auto"/>
        </w:rPr>
        <w:tab/>
      </w:r>
      <w:r>
        <w:rPr>
          <w:rFonts w:ascii="Arial" w:cs="Arial" w:eastAsia="Arial" w:hAnsi="Arial"/>
          <w:sz w:val="16"/>
          <w:szCs w:val="16"/>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-130810</wp:posOffset>
            </wp:positionV>
            <wp:extent cx="3267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14605</wp:posOffset>
            </wp:positionV>
            <wp:extent cx="6062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060" w:type="dxa"/>
            <w:vAlign w:val="bottom"/>
          </w:tcPr>
          <w:p>
            <w:pPr>
              <w:spacing w:after="0"/>
              <w:rPr>
                <w:sz w:val="18"/>
                <w:szCs w:val="18"/>
                <w:color w:val="auto"/>
              </w:rPr>
            </w:pPr>
          </w:p>
        </w:tc>
      </w:tr>
      <w:tr>
        <w:trPr>
          <w:trHeight w:val="216"/>
        </w:trPr>
        <w:tc>
          <w:tcPr>
            <w:tcW w:w="880" w:type="dxa"/>
            <w:vAlign w:val="bottom"/>
          </w:tcPr>
          <w:p>
            <w:pPr>
              <w:jc w:val="center"/>
              <w:ind w:right="10"/>
              <w:spacing w:after="0"/>
              <w:rPr>
                <w:sz w:val="20"/>
                <w:szCs w:val="20"/>
                <w:color w:val="auto"/>
              </w:rPr>
            </w:pPr>
            <w:r>
              <w:rPr>
                <w:rFonts w:ascii="Arial" w:cs="Arial" w:eastAsia="Arial" w:hAnsi="Arial"/>
                <w:sz w:val="18"/>
                <w:szCs w:val="18"/>
                <w:color w:val="auto"/>
                <w:w w:val="98"/>
              </w:rPr>
              <w:t>Additional</w:t>
            </w:r>
          </w:p>
        </w:tc>
        <w:tc>
          <w:tcPr>
            <w:tcW w:w="8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9"/>
              </w:rPr>
              <w:t>Total</w:t>
            </w: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Paid-in</w:t>
            </w:r>
          </w:p>
        </w:tc>
        <w:tc>
          <w:tcPr>
            <w:tcW w:w="840" w:type="dxa"/>
            <w:vAlign w:val="bottom"/>
          </w:tcPr>
          <w:p>
            <w:pPr>
              <w:ind w:left="100"/>
              <w:spacing w:after="0"/>
              <w:rPr>
                <w:sz w:val="20"/>
                <w:szCs w:val="20"/>
                <w:color w:val="auto"/>
              </w:rPr>
            </w:pPr>
            <w:r>
              <w:rPr>
                <w:rFonts w:ascii="Arial" w:cs="Arial" w:eastAsia="Arial" w:hAnsi="Arial"/>
                <w:sz w:val="18"/>
                <w:szCs w:val="18"/>
                <w:color w:val="auto"/>
                <w:w w:val="99"/>
              </w:rPr>
              <w:t>Retained</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Comprehensive</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89"/>
              </w:rPr>
              <w:t>Stockholders'</w:t>
            </w:r>
          </w:p>
        </w:tc>
      </w:tr>
      <w:tr>
        <w:trPr>
          <w:trHeight w:val="230"/>
        </w:trPr>
        <w:tc>
          <w:tcPr>
            <w:tcW w:w="880" w:type="dxa"/>
            <w:vAlign w:val="bottom"/>
          </w:tcPr>
          <w:p>
            <w:pPr>
              <w:ind w:left="160"/>
              <w:spacing w:after="0"/>
              <w:rPr>
                <w:sz w:val="20"/>
                <w:szCs w:val="20"/>
                <w:color w:val="auto"/>
              </w:rPr>
            </w:pPr>
            <w:r>
              <w:rPr>
                <w:rFonts w:ascii="Arial" w:cs="Arial" w:eastAsia="Arial" w:hAnsi="Arial"/>
                <w:sz w:val="18"/>
                <w:szCs w:val="18"/>
                <w:color w:val="auto"/>
              </w:rPr>
              <w:t>Capital</w:t>
            </w:r>
          </w:p>
        </w:tc>
        <w:tc>
          <w:tcPr>
            <w:tcW w:w="840" w:type="dxa"/>
            <w:vAlign w:val="bottom"/>
          </w:tcPr>
          <w:p>
            <w:pPr>
              <w:ind w:left="100"/>
              <w:spacing w:after="0"/>
              <w:rPr>
                <w:sz w:val="20"/>
                <w:szCs w:val="20"/>
                <w:color w:val="auto"/>
              </w:rPr>
            </w:pPr>
            <w:r>
              <w:rPr>
                <w:rFonts w:ascii="Arial" w:cs="Arial" w:eastAsia="Arial" w:hAnsi="Arial"/>
                <w:sz w:val="18"/>
                <w:szCs w:val="18"/>
                <w:color w:val="auto"/>
              </w:rPr>
              <w:t>Earnings</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Loss</w:t>
            </w:r>
          </w:p>
        </w:tc>
        <w:tc>
          <w:tcPr>
            <w:tcW w:w="1060" w:type="dxa"/>
            <w:vAlign w:val="bottom"/>
          </w:tcPr>
          <w:p>
            <w:pPr>
              <w:jc w:val="center"/>
              <w:ind w:left="10"/>
              <w:spacing w:after="0"/>
              <w:rPr>
                <w:sz w:val="20"/>
                <w:szCs w:val="20"/>
                <w:color w:val="auto"/>
              </w:rPr>
            </w:pPr>
            <w:r>
              <w:rPr>
                <w:rFonts w:ascii="Arial" w:cs="Arial" w:eastAsia="Arial" w:hAnsi="Arial"/>
                <w:sz w:val="18"/>
                <w:szCs w:val="18"/>
                <w:color w:val="auto"/>
                <w:w w:val="95"/>
              </w:rPr>
              <w:t>Equity</w:t>
            </w:r>
          </w:p>
        </w:tc>
      </w:tr>
    </w:tbl>
    <w:p>
      <w:pPr>
        <w:spacing w:after="0" w:line="200" w:lineRule="exact"/>
        <w:rPr>
          <w:sz w:val="20"/>
          <w:szCs w:val="20"/>
          <w:color w:val="auto"/>
        </w:rPr>
      </w:pPr>
    </w:p>
    <w:p>
      <w:pPr>
        <w:sectPr>
          <w:pgSz w:w="11900" w:h="16838" w:orient="portrait"/>
          <w:cols w:equalWidth="0" w:num="2">
            <w:col w:w="6980" w:space="220"/>
            <w:col w:w="4220"/>
          </w:cols>
          <w:pgMar w:left="240" w:top="118" w:right="23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9,260,331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9,260</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880,963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90,914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12,294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4,976</w:t>
            </w:r>
          </w:p>
        </w:tc>
        <w:tc>
          <w:tcPr>
            <w:tcW w:w="4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Other comprehensive</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net of tax</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60"/>
              <w:spacing w:after="0" w:line="201" w:lineRule="exact"/>
              <w:rPr>
                <w:sz w:val="20"/>
                <w:szCs w:val="20"/>
                <w:color w:val="auto"/>
              </w:rPr>
            </w:pPr>
            <w:r>
              <w:rPr>
                <w:rFonts w:ascii="Arial" w:cs="Arial" w:eastAsia="Arial" w:hAnsi="Arial"/>
                <w:sz w:val="18"/>
                <w:szCs w:val="18"/>
                <w:color w:val="auto"/>
              </w:rPr>
              <w:t>Common stock</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repurchased</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(479,936)</w:t>
            </w:r>
          </w:p>
        </w:tc>
        <w:tc>
          <w:tcPr>
            <w:tcW w:w="2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(3,912)</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Conversion of voting</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to</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voting common stock</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(30,525)</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30,525</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60"/>
              <w:spacing w:after="0" w:line="201" w:lineRule="exact"/>
              <w:rPr>
                <w:sz w:val="20"/>
                <w:szCs w:val="20"/>
                <w:color w:val="auto"/>
              </w:rPr>
            </w:pPr>
            <w:r>
              <w:rPr>
                <w:rFonts w:ascii="Arial" w:cs="Arial" w:eastAsia="Arial" w:hAnsi="Arial"/>
                <w:sz w:val="18"/>
                <w:szCs w:val="18"/>
                <w:color w:val="auto"/>
              </w:rPr>
              <w:t>Dividends on</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common stock at</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$0.03 per share</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60"/>
              <w:spacing w:after="0" w:line="201" w:lineRule="exact"/>
              <w:rPr>
                <w:sz w:val="20"/>
                <w:szCs w:val="20"/>
                <w:color w:val="auto"/>
              </w:rPr>
            </w:pPr>
            <w:r>
              <w:rPr>
                <w:rFonts w:ascii="Arial" w:cs="Arial" w:eastAsia="Arial" w:hAnsi="Arial"/>
                <w:sz w:val="18"/>
                <w:szCs w:val="18"/>
                <w:color w:val="auto"/>
                <w:w w:val="98"/>
              </w:rPr>
              <w:t>Issuance of restricted</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174,000</w:t>
            </w:r>
          </w:p>
        </w:tc>
        <w:tc>
          <w:tcPr>
            <w:tcW w:w="2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174</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Cancellation and</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forfeiture of restricted</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2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tcPr>
          <w:p>
            <w:pPr>
              <w:spacing w:after="0" w:line="195" w:lineRule="exact"/>
              <w:rPr>
                <w:sz w:val="20"/>
                <w:szCs w:val="20"/>
                <w:color w:val="auto"/>
              </w:rPr>
            </w:pPr>
            <w:r>
              <w:rPr>
                <w:rFonts w:ascii="Arial" w:cs="Arial" w:eastAsia="Arial" w:hAnsi="Arial"/>
                <w:sz w:val="18"/>
                <w:szCs w:val="18"/>
                <w:color w:val="auto"/>
              </w:rPr>
              <w:t>Balance at March 31,</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color w:val="auto"/>
              </w:rPr>
              <w:t>8,908,121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90"/>
              <w:spacing w:after="0"/>
              <w:rPr>
                <w:sz w:val="20"/>
                <w:szCs w:val="20"/>
                <w:color w:val="auto"/>
              </w:rPr>
            </w:pPr>
            <w:r>
              <w:rPr>
                <w:rFonts w:ascii="Arial" w:cs="Arial" w:eastAsia="Arial" w:hAnsi="Arial"/>
                <w:sz w:val="18"/>
                <w:szCs w:val="18"/>
                <w:color w:val="auto"/>
              </w:rPr>
              <w:t>8,908</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911,488</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911</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87,348</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w w:val="94"/>
              </w:rPr>
              <w:t>16,968</w:t>
            </w:r>
          </w:p>
        </w:tc>
        <w:tc>
          <w:tcPr>
            <w:tcW w:w="44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(1,648)</w:t>
            </w: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112,487</w:t>
            </w:r>
          </w:p>
        </w:tc>
        <w:tc>
          <w:tcPr>
            <w:tcW w:w="0" w:type="dxa"/>
            <w:vAlign w:val="bottom"/>
          </w:tcPr>
          <w:p>
            <w:pPr>
              <w:spacing w:after="0"/>
              <w:rPr>
                <w:sz w:val="1"/>
                <w:szCs w:val="1"/>
                <w:color w:val="auto"/>
              </w:rPr>
            </w:pPr>
          </w:p>
        </w:tc>
      </w:tr>
      <w:tr>
        <w:trPr>
          <w:trHeight w:val="195"/>
        </w:trPr>
        <w:tc>
          <w:tcPr>
            <w:tcW w:w="1880" w:type="dxa"/>
            <w:vAlign w:val="bottom"/>
            <w:gridSpan w:val="2"/>
          </w:tcPr>
          <w:p>
            <w:pPr>
              <w:spacing w:after="0" w:line="190" w:lineRule="exact"/>
              <w:rPr>
                <w:sz w:val="20"/>
                <w:szCs w:val="20"/>
                <w:color w:val="auto"/>
              </w:rPr>
            </w:pPr>
            <w:r>
              <w:rPr>
                <w:rFonts w:ascii="Arial" w:cs="Arial" w:eastAsia="Arial" w:hAnsi="Arial"/>
                <w:sz w:val="18"/>
                <w:szCs w:val="18"/>
                <w:color w:val="auto"/>
              </w:rPr>
              <w:t>2015</w:t>
            </w:r>
          </w:p>
        </w:tc>
        <w:tc>
          <w:tcPr>
            <w:tcW w:w="7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8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60" w:type="dxa"/>
            <w:vAlign w:val="bottom"/>
          </w:tcPr>
          <w:p>
            <w:pPr>
              <w:spacing w:after="0" w:line="201" w:lineRule="exact"/>
              <w:rPr>
                <w:sz w:val="20"/>
                <w:szCs w:val="20"/>
                <w:color w:val="auto"/>
              </w:rPr>
            </w:pPr>
            <w:r>
              <w:rPr>
                <w:rFonts w:ascii="Arial" w:cs="Arial" w:eastAsia="Arial" w:hAnsi="Arial"/>
                <w:sz w:val="18"/>
                <w:szCs w:val="18"/>
                <w:color w:val="auto"/>
              </w:rPr>
              <w:t>Balance at June 30,</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2015</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8,575,144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8,575</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1,012,739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85,506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18,921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5,421</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60"/>
              <w:spacing w:after="0" w:line="201" w:lineRule="exact"/>
              <w:rPr>
                <w:sz w:val="20"/>
                <w:szCs w:val="20"/>
                <w:color w:val="auto"/>
              </w:rPr>
            </w:pPr>
            <w:r>
              <w:rPr>
                <w:rFonts w:ascii="Arial" w:cs="Arial" w:eastAsia="Arial" w:hAnsi="Arial"/>
                <w:sz w:val="18"/>
                <w:szCs w:val="18"/>
                <w:color w:val="auto"/>
                <w:w w:val="97"/>
              </w:rPr>
              <w:t>Other comprehensive</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loss, net of tax</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repurchased</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(309,500)</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60"/>
              <w:spacing w:after="0" w:line="201" w:lineRule="exact"/>
              <w:rPr>
                <w:sz w:val="20"/>
                <w:szCs w:val="20"/>
                <w:color w:val="auto"/>
              </w:rPr>
            </w:pPr>
            <w:r>
              <w:rPr>
                <w:rFonts w:ascii="Arial" w:cs="Arial" w:eastAsia="Arial" w:hAnsi="Arial"/>
                <w:sz w:val="18"/>
                <w:szCs w:val="18"/>
                <w:color w:val="auto"/>
              </w:rPr>
              <w:t>Conversion of voting</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common stock to</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non-</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w w:val="99"/>
              </w:rPr>
              <w:t>voting common stock</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(214,944)</w:t>
            </w:r>
          </w:p>
        </w:tc>
        <w:tc>
          <w:tcPr>
            <w:tcW w:w="2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214,944</w:t>
            </w:r>
          </w:p>
        </w:tc>
        <w:tc>
          <w:tcPr>
            <w:tcW w:w="26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Dividends on</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at</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$0.03 per share</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60"/>
              <w:spacing w:after="0" w:line="201" w:lineRule="exact"/>
              <w:rPr>
                <w:sz w:val="20"/>
                <w:szCs w:val="20"/>
                <w:color w:val="auto"/>
              </w:rPr>
            </w:pPr>
            <w:r>
              <w:rPr>
                <w:rFonts w:ascii="Arial" w:cs="Arial" w:eastAsia="Arial" w:hAnsi="Arial"/>
                <w:sz w:val="18"/>
                <w:szCs w:val="18"/>
                <w:color w:val="auto"/>
              </w:rPr>
              <w:t>Stock-based</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Issuance of restricted</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60"/>
              <w:spacing w:after="0" w:line="201" w:lineRule="exact"/>
              <w:rPr>
                <w:sz w:val="20"/>
                <w:szCs w:val="20"/>
                <w:color w:val="auto"/>
              </w:rPr>
            </w:pPr>
            <w:r>
              <w:rPr>
                <w:rFonts w:ascii="Arial" w:cs="Arial" w:eastAsia="Arial" w:hAnsi="Arial"/>
                <w:sz w:val="18"/>
                <w:szCs w:val="18"/>
                <w:color w:val="auto"/>
              </w:rPr>
              <w:t>Cancellation and</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w w:val="98"/>
              </w:rPr>
              <w:t>forfeiture of restricted</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(47,510)</w:t>
            </w:r>
          </w:p>
        </w:tc>
        <w:tc>
          <w:tcPr>
            <w:tcW w:w="220" w:type="dxa"/>
            <w:vAlign w:val="bottom"/>
          </w:tcPr>
          <w:p>
            <w:pPr>
              <w:spacing w:after="0"/>
              <w:rPr>
                <w:sz w:val="18"/>
                <w:szCs w:val="18"/>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(47)</w:t>
            </w: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7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March 31,</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8,103,190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8,103</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1,227,683</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82,983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4"/>
              </w:rPr>
              <w:t>24,055</w:t>
            </w:r>
          </w:p>
        </w:tc>
        <w:tc>
          <w:tcPr>
            <w:tcW w:w="4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3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114,526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2016</w:t>
            </w: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50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660" w:type="dxa"/>
            <w:vAlign w:val="bottom"/>
          </w:tcPr>
          <w:p>
            <w:pPr>
              <w:spacing w:after="0"/>
              <w:rPr>
                <w:sz w:val="20"/>
                <w:szCs w:val="20"/>
                <w:color w:val="auto"/>
              </w:rPr>
            </w:pPr>
          </w:p>
        </w:tc>
        <w:tc>
          <w:tcPr>
            <w:tcW w:w="3260" w:type="dxa"/>
            <w:vAlign w:val="bottom"/>
            <w:gridSpan w:val="7"/>
            <w:vMerge w:val="restart"/>
          </w:tcPr>
          <w:p>
            <w:pPr>
              <w:jc w:val="right"/>
              <w:ind w:right="580"/>
              <w:spacing w:after="0"/>
              <w:rPr>
                <w:sz w:val="20"/>
                <w:szCs w:val="20"/>
                <w:color w:val="auto"/>
              </w:rPr>
            </w:pPr>
            <w:r>
              <w:rPr>
                <w:rFonts w:ascii="Arial" w:cs="Arial" w:eastAsia="Arial" w:hAnsi="Arial"/>
                <w:sz w:val="18"/>
                <w:szCs w:val="18"/>
                <w:color w:val="auto"/>
              </w:rPr>
              <w:t>Nine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5,421</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Loss (gain) on sale and impairment of real estate owned and other repossessed collateral, net</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Loss on sale of premises and equipment, net</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of fair value adjustments on loans, net</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Accretion of fair value adjustments on deposits, net</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of fair value adjustments on borrowings, net</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Originations of loans held for sale</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(66,929)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sales of loans held for sale</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69,959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portfolio loans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 net</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Depreciation of premises and equipment</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Amortization of available-for-sale securities, net</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other assets and liabilities: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(20,566)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31,870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Loan purchases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(81,245)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(57,896)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portfolio loans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27,799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(24,095)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disposals of premises and equipment, net</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Redemption of Federal Home Loan Bank stock</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6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(64,287)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(46,232)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Net increase in deposits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78,195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short-term borrowings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paid for retirement of common stock</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FHLB advances</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Repayment of wholesale repurchase agreements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64,909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63,548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89,850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5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91,452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105,073</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w:t>
            </w:r>
          </w:p>
        </w:tc>
        <w:tc>
          <w:tcPr>
            <w:tcW w:w="15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2016</w:t>
      </w:r>
    </w:p>
    <w:p>
      <w:pPr>
        <w:spacing w:after="0" w:line="20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financial statements have been prepared in accordance with accounting principles generally accepted in the United States of America (“US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2015 (“Fiscal 2015”) included in the Company's Annual Report on Form 10-K filed with the Securities and Exchange Commission.</w:t>
      </w:r>
    </w:p>
    <w:p>
      <w:pPr>
        <w:spacing w:after="0" w:line="17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January 2014, the FASB issued ASU No. 2014-01, Investments—Equity Method and Joint Ventures (Topic 323): Accounting for Investments in Qualified Affordable Housing Projects ("ASU 2014-01"). The amendments in ASU 2014-01 provide guidance on accounting for investments by a reporting entity in flow-through limited liability entities that manage or invest in affordable housing projects that qualify for the low-income housing tax credit. The amendments permit reporting entities to make an accounting policy election to account for their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(benefit). The amendments are effective for fiscal years, and interim periods within those years, beginning after December 15, 2014 and should be applied retrospectively to all periods presented. Early adoption is permitted. The Company adopted the standard in the current period. See Part I. Item I. “Notes to Unaudited Consolidated Financial Statements – Note 6: Investments in Qualified Affordable Housing Projects” for further discussion and related effect.</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May 2014, the Financial Accounting Standards Board (“FASB”) issued ASU 2014-09</w:t>
      </w:r>
      <w:r>
        <w:rPr>
          <w:rFonts w:ascii="Arial" w:cs="Arial" w:eastAsia="Arial" w:hAnsi="Arial"/>
          <w:sz w:val="18"/>
          <w:szCs w:val="18"/>
          <w:i w:val="1"/>
          <w:iCs w:val="1"/>
          <w:color w:val="auto"/>
        </w:rPr>
        <w:t>, Revenue from Contracts with Customers (Topic 606)</w:t>
      </w:r>
      <w:r>
        <w:rPr>
          <w:rFonts w:ascii="Arial" w:cs="Arial" w:eastAsia="Arial" w:hAnsi="Arial"/>
          <w:sz w:val="18"/>
          <w:szCs w:val="18"/>
          <w:color w:val="auto"/>
        </w:rPr>
        <w:t xml:space="preserve"> (“ASU 2014-09”). ASU 2014-09 implements a common revenue standard that clarifies the principles for recognizing revenue.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(Topic 606) </w:t>
      </w:r>
      <w:r>
        <w:rPr>
          <w:rFonts w:ascii="Arial" w:cs="Arial" w:eastAsia="Arial" w:hAnsi="Arial"/>
          <w:sz w:val="18"/>
          <w:szCs w:val="18"/>
          <w:color w:val="auto"/>
        </w:rPr>
        <w:t>(“ASU 2014-09”) was issued in August 2015 which defers adoption to annual reporting periods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2017.</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June 2014, the FASB issued ASU 2014-11, Transfers and Servicing (Topic 860): Repurchase-to-Maturity Transactions, Repurchase Financings, and Disclosures (“ASU 2014-11”). ASU 2014-11 requires that repurchase-to-maturity transactions be accounted for as secured borrowings consistent with the accounting for other repurchase agreements. In addition, ASU 2014-11 requires separate accounting for repurchase financings, which entails the transfer of a financial asset executed contemporaneously with a repurchase agreement with the same counterparty. ASU 2014-11 requires entities to disclose certain information about transfers accounted for as sales in transactions that are economically similar to repurchase agreements. In addition, ASU 2014-11 requires disclosures related to collateral, remaining contractual tenor and of the potential risks associated with repurchase agreements, securities lending transactions and repurchase-to-maturity transactions. ASU 2014-11 was effective July 1, 2015 and did not have a significant impact on the Company’s financial statements.</w:t>
      </w:r>
    </w:p>
    <w:p>
      <w:pPr>
        <w:spacing w:after="0" w:line="1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August 2014, the FASB issued ASU 2014-14, Receivables - Troubled Debt Restructurings by Creditors (Subtopic 310-40): Classification of Certain Government-Guaranteed Mortgage Loans upon Foreclosure (“ASU 2014-14”). ASU 2014-14 affects creditors that hold government-guaranteed mortgage loans, including those guaranteed by the Federal Housing Administration (FHA) of the U.S. Department of Housing and Urban Development (HUD), and the U.S. Department of Veterans Affairs (VA). The update requires that, upon foreclosure, a guaranteed mortgage loan be derecognized and a separate other receivable be recognized when specific criteria are met. ASU 2014-14 is effective for fiscal years, and interim periods within those fiscal years, beginning after December 15, 2014. The adoption of this guidance did not have a significant impact on the Company’s financial statements.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May 2015, the FASB issued ASU 2015-07, Disclosures for Investments in Certain Entities That Calculate Net Asset Value per Share (or Its Equivalent) (“ASU 2015-07”). The amendment affects reporting entities that elect to measure the fair value of an investment using the net asset value per share as a practical expedient. The Company adopted the standard in the current period. See Part I. Item I. “Notes to Unaudited Consolidated Financial Statements – Note 11: Fair Value Measurements” for further discussion and related effect.</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Liabilities </w:t>
      </w:r>
      <w:r>
        <w:rPr>
          <w:rFonts w:ascii="Arial" w:cs="Arial" w:eastAsia="Arial" w:hAnsi="Arial"/>
          <w:sz w:val="17"/>
          <w:szCs w:val="17"/>
          <w:color w:val="auto"/>
        </w:rPr>
        <w:t>(“ASU 2016-01”). This guidance changes how entities account for equity investments that do not result in consolidation and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This guidance is effective for fiscal years beginning after December 15, 2017, including interim periods within the fiscal year. The Company is currently evaluating the impact of the adoption of ASU 2016-01 on its consolidated financial statements.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w:t>
      </w:r>
      <w:r>
        <w:rPr>
          <w:rFonts w:ascii="Arial" w:cs="Arial" w:eastAsia="Arial" w:hAnsi="Arial"/>
          <w:sz w:val="18"/>
          <w:szCs w:val="18"/>
          <w:i w:val="1"/>
          <w:iCs w:val="1"/>
          <w:color w:val="auto"/>
        </w:rPr>
        <w:t>.</w:t>
      </w:r>
      <w:r>
        <w:rPr>
          <w:rFonts w:ascii="Arial" w:cs="Arial" w:eastAsia="Arial" w:hAnsi="Arial"/>
          <w:sz w:val="18"/>
          <w:szCs w:val="18"/>
          <w:color w:val="auto"/>
        </w:rPr>
        <w:t xml:space="preserve"> This guidance is effective for fiscal years beginning after December 15, 2018, including interim periods within the fiscal year. The Company is currently evaluating the impact of the adoption of ASU 2016-02 on its consolidated financial statements.</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March 2016, the FASB issued ASU 2016-05, </w:t>
      </w:r>
      <w:r>
        <w:rPr>
          <w:rFonts w:ascii="Arial" w:cs="Arial" w:eastAsia="Arial" w:hAnsi="Arial"/>
          <w:sz w:val="17"/>
          <w:szCs w:val="17"/>
          <w:i w:val="1"/>
          <w:iCs w:val="1"/>
          <w:color w:val="auto"/>
        </w:rPr>
        <w:t>Derivatives and Hedging (Topic 815): Effect of Derivative Contract Novations on Existing Hedge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(“ASU 2016-05”). The new guidance clarifies that a change in the counterparty to a derivative instrument that has been designated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instrument under Topic 815 does not, in and of itself, require de-designation of that hedging relationship provided that all other hedge accounting criteria continue to be met. This guidance is effective for fiscal years beginning after December 15, 2016, and interim periods within those fiscal years. The adoption of this guidance is not expected to have a significant impact on the Company’s financial statements.</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The new guidance simplifies several aspects of the accounting for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Entities will be required to recognize the income tax effects of awards in the income statement when the awards vest or are settled. This guidance is effective for fiscal years beginning after December 15, 2016, and interim periods within those annual periods. The adoption of this guidance is not expected to have a significant impact on the Company’s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91"/>
              </w:rPr>
              <w:t>March 31, 2016</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6"/>
                <w:szCs w:val="16"/>
                <w:color w:val="auto"/>
              </w:rPr>
            </w:pPr>
          </w:p>
        </w:tc>
        <w:tc>
          <w:tcPr>
            <w:tcW w:w="1000" w:type="dxa"/>
            <w:vAlign w:val="bottom"/>
          </w:tcPr>
          <w:p>
            <w:pPr>
              <w:jc w:val="center"/>
              <w:ind w:left="90"/>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left="256"/>
              <w:spacing w:after="0" w:line="195" w:lineRule="exact"/>
              <w:rPr>
                <w:sz w:val="20"/>
                <w:szCs w:val="20"/>
                <w:color w:val="auto"/>
              </w:rPr>
            </w:pPr>
            <w:r>
              <w:rPr>
                <w:rFonts w:ascii="Arial" w:cs="Arial" w:eastAsia="Arial" w:hAnsi="Arial"/>
                <w:sz w:val="18"/>
                <w:szCs w:val="18"/>
                <w:color w:val="auto"/>
                <w:w w:val="87"/>
              </w:rPr>
              <w:t>Gross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18"/>
                <w:szCs w:val="18"/>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Gains</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ind w:left="256"/>
              <w:spacing w:after="0"/>
              <w:rPr>
                <w:sz w:val="20"/>
                <w:szCs w:val="20"/>
                <w:color w:val="auto"/>
              </w:rPr>
            </w:pPr>
            <w:r>
              <w:rPr>
                <w:rFonts w:ascii="Arial" w:cs="Arial" w:eastAsia="Arial" w:hAnsi="Arial"/>
                <w:sz w:val="18"/>
                <w:szCs w:val="18"/>
                <w:color w:val="auto"/>
                <w:w w:val="87"/>
              </w:rPr>
              <w:t>Losses</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center"/>
              <w:ind w:left="2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39,479</w:t>
            </w: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31</w:t>
            </w:r>
          </w:p>
        </w:tc>
        <w:tc>
          <w:tcPr>
            <w:tcW w:w="840" w:type="dxa"/>
            <w:vAlign w:val="bottom"/>
            <w:shd w:val="clear" w:color="auto" w:fill="CCEEFF"/>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46,137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29</w:t>
            </w:r>
          </w:p>
        </w:tc>
        <w:tc>
          <w:tcPr>
            <w:tcW w:w="8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(276)</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45,890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28</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5,098</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90,686</w:t>
            </w:r>
          </w:p>
        </w:tc>
        <w:tc>
          <w:tcPr>
            <w:tcW w:w="100" w:type="dxa"/>
            <w:vAlign w:val="bottom"/>
          </w:tcPr>
          <w:p>
            <w:pPr>
              <w:spacing w:after="0"/>
              <w:rPr>
                <w:sz w:val="18"/>
                <w:szCs w:val="18"/>
                <w:color w:val="auto"/>
              </w:rPr>
            </w:pPr>
          </w:p>
        </w:tc>
        <w:tc>
          <w:tcPr>
            <w:tcW w:w="11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88</w:t>
            </w:r>
          </w:p>
        </w:tc>
        <w:tc>
          <w:tcPr>
            <w:tcW w:w="840" w:type="dxa"/>
            <w:vAlign w:val="bottom"/>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90,491</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9"/>
              </w:rPr>
              <w:t>June 30, 2015</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6"/>
                <w:szCs w:val="16"/>
                <w:color w:val="auto"/>
              </w:rPr>
            </w:pPr>
          </w:p>
        </w:tc>
        <w:tc>
          <w:tcPr>
            <w:tcW w:w="1000" w:type="dxa"/>
            <w:vAlign w:val="bottom"/>
          </w:tcPr>
          <w:p>
            <w:pPr>
              <w:jc w:val="center"/>
              <w:ind w:left="90"/>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left="256"/>
              <w:spacing w:after="0" w:line="195" w:lineRule="exact"/>
              <w:rPr>
                <w:sz w:val="20"/>
                <w:szCs w:val="20"/>
                <w:color w:val="auto"/>
              </w:rPr>
            </w:pPr>
            <w:r>
              <w:rPr>
                <w:rFonts w:ascii="Arial" w:cs="Arial" w:eastAsia="Arial" w:hAnsi="Arial"/>
                <w:sz w:val="18"/>
                <w:szCs w:val="18"/>
                <w:color w:val="auto"/>
                <w:w w:val="87"/>
              </w:rPr>
              <w:t>Gross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18"/>
                <w:szCs w:val="18"/>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Gains</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ind w:left="256"/>
              <w:spacing w:after="0"/>
              <w:rPr>
                <w:sz w:val="20"/>
                <w:szCs w:val="20"/>
                <w:color w:val="auto"/>
              </w:rPr>
            </w:pPr>
            <w:r>
              <w:rPr>
                <w:rFonts w:ascii="Arial" w:cs="Arial" w:eastAsia="Arial" w:hAnsi="Arial"/>
                <w:sz w:val="18"/>
                <w:szCs w:val="18"/>
                <w:color w:val="auto"/>
                <w:w w:val="87"/>
              </w:rPr>
              <w:t>Losses</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center"/>
              <w:ind w:left="2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48,191</w:t>
            </w: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40</w:t>
            </w:r>
          </w:p>
        </w:tc>
        <w:tc>
          <w:tcPr>
            <w:tcW w:w="840" w:type="dxa"/>
            <w:vAlign w:val="bottom"/>
            <w:shd w:val="clear" w:color="auto" w:fill="CCEEFF"/>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54,553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(877)</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53,678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102,744</w:t>
            </w:r>
          </w:p>
        </w:tc>
        <w:tc>
          <w:tcPr>
            <w:tcW w:w="100" w:type="dxa"/>
            <w:vAlign w:val="bottom"/>
          </w:tcPr>
          <w:p>
            <w:pPr>
              <w:spacing w:after="0"/>
              <w:rPr>
                <w:sz w:val="18"/>
                <w:szCs w:val="18"/>
                <w:color w:val="auto"/>
              </w:rPr>
            </w:pPr>
          </w:p>
        </w:tc>
        <w:tc>
          <w:tcPr>
            <w:tcW w:w="11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42</w:t>
            </w:r>
          </w:p>
        </w:tc>
        <w:tc>
          <w:tcPr>
            <w:tcW w:w="840" w:type="dxa"/>
            <w:vAlign w:val="bottom"/>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(878)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101,908</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and nine months ended March 31, 2016 or 2015. At March 31, 2016, no investment securities were pledged as collateral to secure outstanding borrowings.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92"/>
              </w:rPr>
              <w:t>March 31, 2016</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14,203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39,451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53,654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41,349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13,294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41,349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54,643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nine months ended March 31, 2016 or 2015.</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At March 31, 2016, the Company had eighteen securities in a continuous loss position for greater than twelve months. At March 31, 2016, all of the Company’s available-for-sale securities were issued or guaranteed by either government agencies or government-sponsored enterprises. The decline in fair value of the Company’s available-for-sale securities at March 31, 2016 is attributable to changes in interest rates.</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March 31, 2016, it was more likely than not that the Company will not sell or be required to sell the investment securities before recovery of its amortized cost. As such, management does not believe any of the Company’s available-for-sale securities were other-than-temporarily impaired at March 31, 2016.</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investment measured at net asset value is a fund that seeks to invest in securities either issued or guaranteed by the U.S. government or its agencies ("the fund"). The underlying composition of the fund is primarily government agencies or other investment-grade investments. The effective duration of the investments is 4.56 years.</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amortized cost and fair values of available-for-sale debt securities by contractual maturity are shown below as of March 31, 2016. Actual maturities may differ from contractual maturities because borrowers may have the right to call or prepay obligations with or without call or prepayment penalties.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Amortized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color w:val="auto"/>
              </w:rPr>
              <w:t>Fair</w:t>
            </w:r>
          </w:p>
        </w:tc>
        <w:tc>
          <w:tcPr>
            <w:tcW w:w="232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6"/>
          </w:tcPr>
          <w:p>
            <w:pPr>
              <w:ind w:left="600"/>
              <w:spacing w:after="0"/>
              <w:rPr>
                <w:sz w:val="20"/>
                <w:szCs w:val="20"/>
                <w:color w:val="auto"/>
              </w:rPr>
            </w:pPr>
            <w:r>
              <w:rPr>
                <w:rFonts w:ascii="Arial" w:cs="Arial" w:eastAsia="Arial" w:hAnsi="Arial"/>
                <w:sz w:val="18"/>
                <w:szCs w:val="18"/>
                <w:color w:val="auto"/>
              </w:rPr>
              <w:t>(Dollars in thousands)</w:t>
            </w:r>
          </w:p>
        </w:tc>
        <w:tc>
          <w:tcPr>
            <w:tcW w:w="23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24,037</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24,042</w:t>
            </w:r>
          </w:p>
        </w:tc>
        <w:tc>
          <w:tcPr>
            <w:tcW w:w="23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15,442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15,461</w:t>
            </w:r>
          </w:p>
        </w:tc>
        <w:tc>
          <w:tcPr>
            <w:tcW w:w="23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21,394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21,342</w:t>
            </w:r>
          </w:p>
        </w:tc>
        <w:tc>
          <w:tcPr>
            <w:tcW w:w="23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Due after ten years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24,743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24,548</w:t>
            </w:r>
          </w:p>
        </w:tc>
        <w:tc>
          <w:tcPr>
            <w:tcW w:w="2320" w:type="dxa"/>
            <w:vAlign w:val="bottom"/>
          </w:tcPr>
          <w:p>
            <w:pPr>
              <w:spacing w:after="0"/>
              <w:rPr>
                <w:sz w:val="18"/>
                <w:szCs w:val="18"/>
                <w:color w:val="auto"/>
              </w:rPr>
            </w:pPr>
          </w:p>
        </w:tc>
      </w:tr>
      <w:tr>
        <w:trPr>
          <w:trHeight w:val="25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85,393</w:t>
            </w:r>
          </w:p>
        </w:tc>
        <w:tc>
          <w:tcPr>
            <w:tcW w:w="80" w:type="dxa"/>
            <w:vAlign w:val="bottom"/>
            <w:tcBorders>
              <w:bottom w:val="single" w:sz="8" w:color="CCEEFF"/>
            </w:tcBorders>
            <w:shd w:val="clear" w:color="auto" w:fill="CCEEFF"/>
          </w:tcPr>
          <w:p>
            <w:pPr>
              <w:spacing w:after="0"/>
              <w:rPr>
                <w:sz w:val="21"/>
                <w:szCs w:val="21"/>
                <w:color w:val="auto"/>
              </w:rPr>
            </w:pPr>
          </w:p>
        </w:tc>
        <w:tc>
          <w:tcPr>
            <w:tcW w:w="2320" w:type="dxa"/>
            <w:vAlign w:val="bottom"/>
          </w:tcPr>
          <w:p>
            <w:pPr>
              <w:spacing w:after="0"/>
              <w:rPr>
                <w:sz w:val="21"/>
                <w:szCs w:val="21"/>
                <w:color w:val="auto"/>
              </w:rPr>
            </w:pPr>
          </w:p>
        </w:tc>
      </w:tr>
      <w:tr>
        <w:trPr>
          <w:trHeight w:val="656"/>
        </w:trPr>
        <w:tc>
          <w:tcPr>
            <w:tcW w:w="4180" w:type="dxa"/>
            <w:vAlign w:val="bottom"/>
          </w:tcPr>
          <w:p>
            <w:pPr>
              <w:spacing w:after="0"/>
              <w:rPr>
                <w:sz w:val="24"/>
                <w:szCs w:val="24"/>
                <w:color w:val="auto"/>
              </w:rPr>
            </w:pPr>
          </w:p>
        </w:tc>
        <w:tc>
          <w:tcPr>
            <w:tcW w:w="1840" w:type="dxa"/>
            <w:vAlign w:val="bottom"/>
            <w:gridSpan w:val="2"/>
          </w:tcPr>
          <w:p>
            <w:pPr>
              <w:jc w:val="right"/>
              <w:ind w:right="145"/>
              <w:spacing w:after="0"/>
              <w:rPr>
                <w:sz w:val="20"/>
                <w:szCs w:val="20"/>
                <w:color w:val="auto"/>
              </w:rPr>
            </w:pPr>
            <w:r>
              <w:rPr>
                <w:rFonts w:ascii="Arial" w:cs="Arial" w:eastAsia="Arial" w:hAnsi="Arial"/>
                <w:sz w:val="18"/>
                <w:szCs w:val="18"/>
                <w:color w:val="auto"/>
              </w:rPr>
              <w:t>11</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4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61"/>
        </w:trPr>
        <w:tc>
          <w:tcPr>
            <w:tcW w:w="418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 — 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and also qualitative considerations surrounding the modification. As a result, if an ASC 310-30 loan is modified to be consistent with, or better than, the Company’s expectations at acquisition, quantitatively and qualitatively, the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March 31, 2016</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2015</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6"/>
              </w:rPr>
              <w:t>Originated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97,566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108,343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19,123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24,326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24,326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230,802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148,425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348,676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150,217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122,860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123,133</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7,659</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465,420</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233,650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699,070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409,545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202,592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612,137</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Total loans include deferred loan origination fees, net, of $44 thousand and $236 thousand as of March 31, 2016 and June 30, 2015,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March 31, 2016</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w w:val="91"/>
              </w:rPr>
              <w:t>30-59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w w:val="95"/>
              </w:rPr>
              <w:t>60-89</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Days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Days</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1,754</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95,058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97,566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18,592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191,397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192,432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148,080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6,040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459,167</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220,623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11,364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222,286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233,650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681,453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June 30, 2015</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ind w:left="160"/>
              <w:spacing w:after="0" w:line="195" w:lineRule="exact"/>
              <w:rPr>
                <w:sz w:val="20"/>
                <w:szCs w:val="20"/>
                <w:color w:val="auto"/>
              </w:rPr>
            </w:pPr>
            <w:r>
              <w:rPr>
                <w:rFonts w:ascii="Arial" w:cs="Arial" w:eastAsia="Arial" w:hAnsi="Arial"/>
                <w:sz w:val="18"/>
                <w:szCs w:val="18"/>
                <w:color w:val="auto"/>
                <w:w w:val="89"/>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90 Days or</w:t>
            </w: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60-89</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Days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Days</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Accruing</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Nonaccrual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Due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Current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tcPr>
          <w:p>
            <w:pPr>
              <w:jc w:val="right"/>
              <w:ind w:right="420"/>
              <w:spacing w:after="0"/>
              <w:rPr>
                <w:sz w:val="20"/>
                <w:szCs w:val="20"/>
                <w:color w:val="auto"/>
              </w:rPr>
            </w:pPr>
            <w:r>
              <w:rPr>
                <w:rFonts w:ascii="Arial" w:cs="Arial" w:eastAsia="Arial" w:hAnsi="Arial"/>
                <w:sz w:val="18"/>
                <w:szCs w:val="18"/>
                <w:color w:val="auto"/>
                <w:w w:val="95"/>
              </w:rPr>
              <w:t>(Dollars in thousands)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973</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103,670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106,275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24,306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147,421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122,858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7,469</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405,724</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197,456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8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2,795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199,797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202,592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3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605,521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commercial real estate, commercial and industrial, consumer, residential real estate, and purchased loans. Risk characteristics relevant to each portfolio segment are as follows:</w:t>
      </w:r>
    </w:p>
    <w:p>
      <w:pPr>
        <w:spacing w:after="0" w:line="188" w:lineRule="exact"/>
        <w:rPr>
          <w:sz w:val="20"/>
          <w:szCs w:val="20"/>
          <w:color w:val="auto"/>
        </w:rPr>
      </w:pPr>
    </w:p>
    <w:p>
      <w:pPr>
        <w:ind w:left="480" w:right="8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80" w:right="60"/>
        <w:spacing w:after="0" w:line="297"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ectPr>
          <w:pgSz w:w="11900" w:h="16838" w:orient="portrait"/>
          <w:cols w:equalWidth="0" w:num="1">
            <w:col w:w="11420"/>
          </w:cols>
          <w:pgMar w:left="240" w:top="118" w:right="239" w:bottom="55"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55"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480" w:right="320"/>
        <w:spacing w:after="0" w:line="264" w:lineRule="auto"/>
        <w:rPr>
          <w:sz w:val="20"/>
          <w:szCs w:val="20"/>
          <w:color w:val="auto"/>
        </w:rPr>
      </w:pPr>
      <w:r>
        <w:rPr>
          <w:rFonts w:ascii="Arial" w:cs="Arial" w:eastAsia="Arial" w:hAnsi="Arial"/>
          <w:sz w:val="18"/>
          <w:szCs w:val="18"/>
          <w:color w:val="auto"/>
        </w:rPr>
        <w:t>Commercial and industrial: Loans in this segment are made to businesses and are generally secured by the assets of the business. Repayment is expected from the cash flows of the business.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480" w:right="32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80" w:right="2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general component of the allowance for loan losses for loans accounted for under ASC 310-20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 and nonperforming loans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and industrial,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TDRs are individually reviewed for impairment.</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1"/>
              </w:rPr>
              <w:t>Three Months Ended March 31, 2016</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3"/>
          </w:tcPr>
          <w:p>
            <w:pPr>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w w:val="96"/>
              </w:rPr>
              <w:t>Residential</w:t>
            </w:r>
          </w:p>
        </w:tc>
        <w:tc>
          <w:tcPr>
            <w:tcW w:w="4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Real Estate</w:t>
            </w:r>
          </w:p>
        </w:tc>
        <w:tc>
          <w:tcPr>
            <w:tcW w:w="2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0"/>
              </w:rPr>
              <w:t>Real Estate</w:t>
            </w:r>
          </w:p>
        </w:tc>
        <w:tc>
          <w:tcPr>
            <w:tcW w:w="2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7"/>
          </w:tcPr>
          <w:p>
            <w:pPr>
              <w:jc w:val="center"/>
              <w:spacing w:after="0"/>
              <w:rPr>
                <w:sz w:val="20"/>
                <w:szCs w:val="20"/>
                <w:color w:val="auto"/>
              </w:rPr>
            </w:pPr>
            <w:r>
              <w:rPr>
                <w:rFonts w:ascii="Arial" w:cs="Arial" w:eastAsia="Arial" w:hAnsi="Arial"/>
                <w:sz w:val="18"/>
                <w:szCs w:val="18"/>
                <w:color w:val="auto"/>
                <w:w w:val="91"/>
              </w:rPr>
              <w:t>(Dollars in 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w:t>
            </w:r>
          </w:p>
        </w:tc>
        <w:tc>
          <w:tcPr>
            <w:tcW w:w="1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179</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209</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467"/>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8"/>
                <w:szCs w:val="18"/>
                <w:color w:val="auto"/>
                <w:w w:val="91"/>
              </w:rPr>
              <w:t>Three Months Ended March 31, 2015</w:t>
            </w: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gridSpan w:val="6"/>
          </w:tcPr>
          <w:p>
            <w:pPr>
              <w:jc w:val="right"/>
              <w:ind w:right="410"/>
              <w:spacing w:after="0"/>
              <w:rPr>
                <w:sz w:val="20"/>
                <w:szCs w:val="20"/>
                <w:color w:val="auto"/>
              </w:rPr>
            </w:pPr>
            <w:r>
              <w:rPr>
                <w:rFonts w:ascii="Arial" w:cs="Arial" w:eastAsia="Arial" w:hAnsi="Arial"/>
                <w:sz w:val="18"/>
                <w:szCs w:val="18"/>
                <w:color w:val="auto"/>
                <w:w w:val="83"/>
              </w:rPr>
              <w:t>(Dollars in 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288</w:t>
            </w: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413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3"/>
          </w:tcPr>
          <w:p>
            <w:pPr>
              <w:ind w:left="300"/>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(87)</w:t>
            </w: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79"/>
              </w:rPr>
              <w:t>475</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467"/>
        </w:trPr>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1"/>
              </w:rPr>
              <w:t>Nine Months Ended March 31, 2016</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3"/>
          </w:tcPr>
          <w:p>
            <w:pPr>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w w:val="96"/>
              </w:rPr>
              <w:t>Residential</w:t>
            </w:r>
          </w:p>
        </w:tc>
        <w:tc>
          <w:tcPr>
            <w:tcW w:w="4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Real Estate</w:t>
            </w:r>
          </w:p>
        </w:tc>
        <w:tc>
          <w:tcPr>
            <w:tcW w:w="2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0"/>
              </w:rPr>
              <w:t>Real Estate</w:t>
            </w:r>
          </w:p>
        </w:tc>
        <w:tc>
          <w:tcPr>
            <w:tcW w:w="2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7"/>
          </w:tcPr>
          <w:p>
            <w:pPr>
              <w:jc w:val="center"/>
              <w:spacing w:after="0"/>
              <w:rPr>
                <w:sz w:val="20"/>
                <w:szCs w:val="20"/>
                <w:color w:val="auto"/>
              </w:rPr>
            </w:pPr>
            <w:r>
              <w:rPr>
                <w:rFonts w:ascii="Arial" w:cs="Arial" w:eastAsia="Arial" w:hAnsi="Arial"/>
                <w:sz w:val="18"/>
                <w:szCs w:val="18"/>
                <w:color w:val="auto"/>
                <w:w w:val="91"/>
              </w:rPr>
              <w:t>(Dollars in 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283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787</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(799)</w:t>
            </w: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40" w:type="dxa"/>
            <w:vAlign w:val="bottom"/>
          </w:tcPr>
          <w:p>
            <w:pPr>
              <w:spacing w:after="0"/>
              <w:rPr>
                <w:sz w:val="18"/>
                <w:szCs w:val="18"/>
                <w:color w:val="auto"/>
              </w:rPr>
            </w:pP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467"/>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8"/>
                <w:szCs w:val="18"/>
                <w:color w:val="auto"/>
                <w:w w:val="91"/>
              </w:rPr>
              <w:t>Nine Months Ended March 31, 2015</w:t>
            </w: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w w:val="94"/>
              </w:rPr>
              <w:t>Residential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Industrial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gridSpan w:val="6"/>
          </w:tcPr>
          <w:p>
            <w:pPr>
              <w:jc w:val="right"/>
              <w:ind w:right="410"/>
              <w:spacing w:after="0"/>
              <w:rPr>
                <w:sz w:val="20"/>
                <w:szCs w:val="20"/>
                <w:color w:val="auto"/>
              </w:rPr>
            </w:pPr>
            <w:r>
              <w:rPr>
                <w:rFonts w:ascii="Arial" w:cs="Arial" w:eastAsia="Arial" w:hAnsi="Arial"/>
                <w:sz w:val="18"/>
                <w:szCs w:val="18"/>
                <w:color w:val="auto"/>
                <w:w w:val="83"/>
              </w:rPr>
              <w:t>(Dollars in 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358</w:t>
            </w: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267</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3"/>
          </w:tcPr>
          <w:p>
            <w:pPr>
              <w:ind w:left="30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r>
      <w:tr>
        <w:trPr>
          <w:trHeight w:val="25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79"/>
              </w:rPr>
              <w:t>475</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656"/>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gridSpan w:val="3"/>
          </w:tcPr>
          <w:p>
            <w:pPr>
              <w:ind w:left="48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35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the allowance for loan losses by portfolio segment and impairment methodology.</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Individually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evaluated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310-30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March 31, 2016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Commercial</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940" w:type="dxa"/>
            <w:vAlign w:val="bottom"/>
            <w:gridSpan w:val="2"/>
          </w:tcPr>
          <w:p>
            <w:pPr>
              <w:jc w:val="right"/>
              <w:spacing w:after="0"/>
              <w:rPr>
                <w:sz w:val="20"/>
                <w:szCs w:val="20"/>
                <w:color w:val="auto"/>
              </w:rPr>
            </w:pPr>
            <w:r>
              <w:rPr>
                <w:rFonts w:ascii="Arial" w:cs="Arial" w:eastAsia="Arial" w:hAnsi="Arial"/>
                <w:sz w:val="18"/>
                <w:szCs w:val="18"/>
                <w:color w:val="auto"/>
                <w:w w:val="96"/>
              </w:rPr>
              <w:t>Residential</w:t>
            </w:r>
          </w:p>
        </w:tc>
        <w:tc>
          <w:tcPr>
            <w:tcW w:w="24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and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Real Estate</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Industrial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4"/>
        </w:trPr>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7"/>
          </w:tcPr>
          <w:p>
            <w:pPr>
              <w:jc w:val="right"/>
              <w:ind w:right="190"/>
              <w:spacing w:after="0"/>
              <w:rPr>
                <w:sz w:val="20"/>
                <w:szCs w:val="20"/>
                <w:color w:val="auto"/>
              </w:rPr>
            </w:pPr>
            <w:r>
              <w:rPr>
                <w:rFonts w:ascii="Arial" w:cs="Arial" w:eastAsia="Arial" w:hAnsi="Arial"/>
                <w:sz w:val="18"/>
                <w:szCs w:val="18"/>
                <w:color w:val="auto"/>
              </w:rPr>
              <w:t>(Dollars in thousands)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4"/>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510</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r>
      <w:tr>
        <w:trPr>
          <w:trHeight w:val="216"/>
        </w:trPr>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1,402</w:t>
            </w:r>
          </w:p>
        </w:tc>
      </w:tr>
      <w:tr>
        <w:trPr>
          <w:trHeight w:val="230"/>
        </w:trPr>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46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r>
      <w:tr>
        <w:trPr>
          <w:trHeight w:val="210"/>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20" w:type="dxa"/>
            <w:vAlign w:val="bottom"/>
          </w:tcPr>
          <w:p>
            <w:pPr>
              <w:spacing w:after="0"/>
              <w:rPr>
                <w:sz w:val="18"/>
                <w:szCs w:val="18"/>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-719455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-445135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-162560</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860"/>
          </w:cols>
          <w:pgMar w:left="240" w:top="118" w:right="239" w:bottom="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5,404</w:t>
            </w:r>
          </w:p>
        </w:tc>
        <w:tc>
          <w:tcPr>
            <w:tcW w:w="80" w:type="dxa"/>
            <w:vAlign w:val="bottom"/>
          </w:tcPr>
          <w:p>
            <w:pPr>
              <w:spacing w:after="0"/>
              <w:rPr>
                <w:sz w:val="18"/>
                <w:szCs w:val="18"/>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8"/>
                <w:szCs w:val="18"/>
                <w:color w:val="auto"/>
              </w:rPr>
            </w:pP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111,285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190,609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149,988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ASC 310-30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233,650</w:t>
            </w: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233,650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116,689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233,650</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92"/>
              </w:rPr>
              <w:t>June 30, 2015</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tcPr>
          <w:p>
            <w:pPr>
              <w:ind w:left="20"/>
              <w:spacing w:after="0" w:line="195" w:lineRule="exact"/>
              <w:rPr>
                <w:sz w:val="20"/>
                <w:szCs w:val="20"/>
                <w:color w:val="auto"/>
              </w:rPr>
            </w:pPr>
            <w:r>
              <w:rPr>
                <w:rFonts w:ascii="Arial" w:cs="Arial" w:eastAsia="Arial" w:hAnsi="Arial"/>
                <w:sz w:val="18"/>
                <w:szCs w:val="18"/>
                <w:color w:val="auto"/>
                <w:w w:val="99"/>
              </w:rPr>
              <w:t>Commercial</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Residential</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4"/>
          </w:tcPr>
          <w:p>
            <w:pPr>
              <w:ind w:left="20"/>
              <w:spacing w:after="0"/>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30"/>
              <w:spacing w:after="0"/>
              <w:rPr>
                <w:sz w:val="20"/>
                <w:szCs w:val="20"/>
                <w:color w:val="auto"/>
              </w:rPr>
            </w:pPr>
            <w:r>
              <w:rPr>
                <w:rFonts w:ascii="Arial" w:cs="Arial" w:eastAsia="Arial" w:hAnsi="Arial"/>
                <w:sz w:val="18"/>
                <w:szCs w:val="18"/>
                <w:color w:val="auto"/>
              </w:rPr>
              <w:t>and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0"/>
              </w:rPr>
              <w:t>Real Estate</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0"/>
              </w:rPr>
              <w:t>Real Estate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Industrial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Consumer</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Purchased</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Unallocated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gridSpan w:val="6"/>
          </w:tcPr>
          <w:p>
            <w:pPr>
              <w:jc w:val="right"/>
              <w:ind w:right="10"/>
              <w:spacing w:after="0"/>
              <w:rPr>
                <w:sz w:val="20"/>
                <w:szCs w:val="20"/>
                <w:color w:val="auto"/>
              </w:rPr>
            </w:pPr>
            <w:r>
              <w:rPr>
                <w:rFonts w:ascii="Arial" w:cs="Arial" w:eastAsia="Arial" w:hAnsi="Arial"/>
                <w:sz w:val="18"/>
                <w:szCs w:val="18"/>
                <w:color w:val="auto"/>
                <w:w w:val="83"/>
              </w:rPr>
              <w:t>(Dollars in thousands)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ASC 310-30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4,095</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2,381</w:t>
            </w: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126,506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146,044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122,858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7,406</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ASC 310-30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202,592</w:t>
            </w: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202,592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130,601</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148,425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202,592</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2"/>
              </w:rPr>
              <w:t>March 31, 2016</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June 30, 2015</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94"/>
              </w:rPr>
              <w:t>Unpaid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Recorded</w:t>
            </w: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Recorded</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1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Investment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w w:val="98"/>
              </w:rPr>
              <w:t>Commercial and industrial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11,408</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13,456</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80" w:type="dxa"/>
            <w:vAlign w:val="bottom"/>
          </w:tcPr>
          <w:p>
            <w:pPr>
              <w:spacing w:after="0" w:line="201" w:lineRule="exact"/>
              <w:rPr>
                <w:sz w:val="20"/>
                <w:szCs w:val="20"/>
                <w:color w:val="auto"/>
              </w:rPr>
            </w:pPr>
            <w:r>
              <w:rPr>
                <w:rFonts w:ascii="Arial" w:cs="Arial" w:eastAsia="Arial" w:hAnsi="Arial"/>
                <w:sz w:val="18"/>
                <w:szCs w:val="18"/>
                <w:color w:val="auto"/>
                <w:w w:val="95"/>
              </w:rPr>
              <w:t>Impaired loans with a valuation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allowance: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2,060</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Commercial and industrial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Purchased: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4,204</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4,574</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8"/>
                <w:szCs w:val="18"/>
                <w:color w:val="auto"/>
                <w:w w:val="91"/>
              </w:rPr>
              <w:t>Three Months Ended March 31,</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w w:val="94"/>
              </w:rPr>
              <w:t>2015</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800" w:type="dxa"/>
            <w:vAlign w:val="bottom"/>
            <w:gridSpan w:val="2"/>
          </w:tcPr>
          <w:p>
            <w:pPr>
              <w:jc w:val="center"/>
              <w:ind w:left="172"/>
              <w:spacing w:after="0" w:line="195" w:lineRule="exact"/>
              <w:rPr>
                <w:sz w:val="20"/>
                <w:szCs w:val="20"/>
                <w:color w:val="auto"/>
              </w:rPr>
            </w:pPr>
            <w:r>
              <w:rPr>
                <w:rFonts w:ascii="Arial" w:cs="Arial" w:eastAsia="Arial" w:hAnsi="Arial"/>
                <w:sz w:val="18"/>
                <w:szCs w:val="18"/>
                <w:color w:val="auto"/>
                <w:w w:val="89"/>
              </w:rPr>
              <w:t>Interest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center"/>
              <w:ind w:right="320"/>
              <w:spacing w:after="0" w:line="195"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6"/>
                <w:szCs w:val="16"/>
                <w:color w:val="auto"/>
              </w:rPr>
            </w:pPr>
          </w:p>
        </w:tc>
        <w:tc>
          <w:tcPr>
            <w:tcW w:w="9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800" w:type="dxa"/>
            <w:vAlign w:val="bottom"/>
            <w:gridSpan w:val="2"/>
          </w:tcPr>
          <w:p>
            <w:pPr>
              <w:jc w:val="center"/>
              <w:ind w:left="172"/>
              <w:spacing w:after="0"/>
              <w:rPr>
                <w:sz w:val="20"/>
                <w:szCs w:val="20"/>
                <w:color w:val="auto"/>
              </w:rPr>
            </w:pPr>
            <w:r>
              <w:rPr>
                <w:rFonts w:ascii="Arial" w:cs="Arial" w:eastAsia="Arial" w:hAnsi="Arial"/>
                <w:sz w:val="18"/>
                <w:szCs w:val="18"/>
                <w:color w:val="auto"/>
                <w:w w:val="91"/>
              </w:rPr>
              <w:t>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340"/>
              <w:spacing w:after="0"/>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7"/>
          </w:tcPr>
          <w:p>
            <w:pPr>
              <w:jc w:val="right"/>
              <w:ind w:right="1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Originated: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9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320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7,706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9,900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11,314</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2,069</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121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1,008</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Purchased: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3,903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13,803</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12"/>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163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15,710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rPr>
              <w:t>Nine Months Ended March 31,</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252"/>
              <w:spacing w:after="0" w:line="195"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center"/>
              <w:ind w:right="11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370"/>
              <w:spacing w:after="0"/>
              <w:rPr>
                <w:sz w:val="20"/>
                <w:szCs w:val="20"/>
                <w:color w:val="auto"/>
              </w:rPr>
            </w:pPr>
            <w:r>
              <w:rPr>
                <w:rFonts w:ascii="Arial" w:cs="Arial" w:eastAsia="Arial" w:hAnsi="Arial"/>
                <w:sz w:val="18"/>
                <w:szCs w:val="18"/>
                <w:color w:val="auto"/>
                <w:w w:val="91"/>
              </w:rPr>
              <w:t>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11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320" w:type="dxa"/>
            <w:vAlign w:val="bottom"/>
            <w:gridSpan w:val="4"/>
          </w:tcPr>
          <w:p>
            <w:pPr>
              <w:ind w:left="180"/>
              <w:spacing w:after="0"/>
              <w:rPr>
                <w:sz w:val="20"/>
                <w:szCs w:val="20"/>
                <w:color w:val="auto"/>
              </w:rPr>
            </w:pPr>
            <w:r>
              <w:rPr>
                <w:rFonts w:ascii="Arial" w:cs="Arial" w:eastAsia="Arial" w:hAnsi="Arial"/>
                <w:sz w:val="18"/>
                <w:szCs w:val="18"/>
                <w:color w:val="auto"/>
              </w:rPr>
              <w:t>Recognized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center"/>
              <w:ind w:right="110"/>
              <w:spacing w:after="0"/>
              <w:rPr>
                <w:sz w:val="20"/>
                <w:szCs w:val="20"/>
                <w:color w:val="auto"/>
              </w:rPr>
            </w:pPr>
            <w:r>
              <w:rPr>
                <w:rFonts w:ascii="Arial" w:cs="Arial" w:eastAsia="Arial" w:hAnsi="Arial"/>
                <w:sz w:val="18"/>
                <w:szCs w:val="18"/>
                <w:color w:val="auto"/>
                <w:w w:val="90"/>
              </w:rPr>
              <w:t>Investment</w:t>
            </w:r>
          </w:p>
        </w:tc>
        <w:tc>
          <w:tcPr>
            <w:tcW w:w="1700" w:type="dxa"/>
            <w:vAlign w:val="bottom"/>
            <w:gridSpan w:val="6"/>
          </w:tcPr>
          <w:p>
            <w:pPr>
              <w:jc w:val="center"/>
              <w:ind w:left="30"/>
              <w:spacing w:after="0"/>
              <w:rPr>
                <w:sz w:val="20"/>
                <w:szCs w:val="20"/>
                <w:color w:val="auto"/>
              </w:rPr>
            </w:pPr>
            <w:r>
              <w:rPr>
                <w:rFonts w:ascii="Arial" w:cs="Arial" w:eastAsia="Arial" w:hAnsi="Arial"/>
                <w:sz w:val="18"/>
                <w:szCs w:val="18"/>
                <w:color w:val="auto"/>
                <w:w w:val="89"/>
              </w:rPr>
              <w:t>IncomeRecognized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w w:val="99"/>
              </w:rPr>
              <w:t>in</w:t>
            </w:r>
          </w:p>
        </w:tc>
        <w:tc>
          <w:tcPr>
            <w:tcW w:w="120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Originated: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2,166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Purchased: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impaired loans</w:t>
            </w: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14,979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40" w:top="118" w:right="819" w:bottom="1440" w:gutter="0" w:footer="0" w:header="0"/>
        </w:sect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118" w:right="819" w:bottom="1440"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1"/>
              </w:rPr>
              <w:t>March 31, 2016</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94"/>
              </w:rPr>
              <w:t>Originated Portfolio</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6"/>
              </w:rPr>
              <w:t>Residential</w:t>
            </w:r>
            <w:r>
              <w:rPr>
                <w:rFonts w:ascii="Arial" w:cs="Arial" w:eastAsia="Arial" w:hAnsi="Arial"/>
                <w:sz w:val="30"/>
                <w:szCs w:val="30"/>
                <w:color w:val="auto"/>
                <w:w w:val="86"/>
                <w:vertAlign w:val="superscript"/>
              </w:rPr>
              <w:t>(1)</w:t>
            </w:r>
          </w:p>
        </w:tc>
        <w:tc>
          <w:tcPr>
            <w:tcW w:w="2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Portfolio</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220,090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562,204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Loans rated 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9,118</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16,595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Loans rated 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192,432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9,006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233,650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585,095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9"/>
              </w:rPr>
              <w:t>June 30, 2015</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94"/>
              </w:rPr>
              <w:t>Originated Portfolio</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6"/>
              </w:rPr>
              <w:t>Residential</w:t>
            </w:r>
            <w:r>
              <w:rPr>
                <w:rFonts w:ascii="Arial" w:cs="Arial" w:eastAsia="Arial" w:hAnsi="Arial"/>
                <w:sz w:val="30"/>
                <w:szCs w:val="30"/>
                <w:color w:val="auto"/>
                <w:w w:val="86"/>
                <w:vertAlign w:val="superscript"/>
              </w:rPr>
              <w:t>(1)</w:t>
            </w:r>
          </w:p>
        </w:tc>
        <w:tc>
          <w:tcPr>
            <w:tcW w:w="2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Real Estate</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and Industrial</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Portfolio</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190,193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463,392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Loans rated 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5,628</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Loans rated 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148,425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122,860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9,135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202,592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483,012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60" w:right="80" w:hanging="318"/>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color w:val="auto"/>
                <w:w w:val="95"/>
              </w:rPr>
              <w:t>Three Months Ended March 31,</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w w:val="94"/>
              </w:rPr>
              <w:t>Nine Months Ended March 31,</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w w:val="94"/>
              </w:rPr>
              <w:t>2015</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42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w w:val="99"/>
              </w:rPr>
              <w:t>Number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9"/>
              </w:rPr>
              <w:t>Recorded</w:t>
            </w:r>
          </w:p>
        </w:tc>
        <w:tc>
          <w:tcPr>
            <w:tcW w:w="240" w:type="dxa"/>
            <w:vAlign w:val="bottom"/>
          </w:tcPr>
          <w:p>
            <w:pPr>
              <w:spacing w:after="0"/>
              <w:rPr>
                <w:sz w:val="16"/>
                <w:szCs w:val="16"/>
                <w:color w:val="auto"/>
              </w:rPr>
            </w:pPr>
          </w:p>
        </w:tc>
        <w:tc>
          <w:tcPr>
            <w:tcW w:w="114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6"/>
                <w:szCs w:val="16"/>
                <w:color w:val="auto"/>
              </w:rPr>
            </w:pPr>
          </w:p>
        </w:tc>
        <w:tc>
          <w:tcPr>
            <w:tcW w:w="96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7"/>
              </w:rPr>
              <w:t>Number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2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6"/>
                <w:szCs w:val="16"/>
                <w:color w:val="auto"/>
              </w:rPr>
            </w:pPr>
          </w:p>
        </w:tc>
        <w:tc>
          <w:tcPr>
            <w:tcW w:w="8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r>
      <w:tr>
        <w:trPr>
          <w:trHeight w:val="230"/>
        </w:trPr>
        <w:tc>
          <w:tcPr>
            <w:tcW w:w="24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Contracts</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Investment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Contracts</w:t>
            </w:r>
          </w:p>
        </w:tc>
        <w:tc>
          <w:tcPr>
            <w:tcW w:w="102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r>
      <w:tr>
        <w:trPr>
          <w:trHeight w:val="210"/>
        </w:trPr>
        <w:tc>
          <w:tcPr>
            <w:tcW w:w="24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(Dollars in</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ind w:right="250"/>
              <w:spacing w:after="0"/>
              <w:rPr>
                <w:sz w:val="20"/>
                <w:szCs w:val="20"/>
                <w:color w:val="auto"/>
              </w:rPr>
            </w:pPr>
            <w:r>
              <w:rPr>
                <w:rFonts w:ascii="Arial" w:cs="Arial" w:eastAsia="Arial" w:hAnsi="Arial"/>
                <w:sz w:val="17"/>
                <w:szCs w:val="17"/>
                <w:color w:val="auto"/>
                <w:w w:val="71"/>
              </w:rPr>
              <w:t>thousands)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Adjusted interest rate</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Principal deferment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0"/>
        </w:trPr>
        <w:tc>
          <w:tcPr>
            <w:tcW w:w="2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1,790</w:t>
            </w:r>
          </w:p>
        </w:tc>
      </w:tr>
      <w:tr>
        <w:trPr>
          <w:trHeight w:val="20"/>
        </w:trPr>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center"/>
              <w:ind w:left="430"/>
              <w:spacing w:after="0"/>
              <w:rPr>
                <w:sz w:val="20"/>
                <w:szCs w:val="20"/>
                <w:color w:val="auto"/>
              </w:rPr>
            </w:pPr>
            <w:r>
              <w:rPr>
                <w:rFonts w:ascii="Arial" w:cs="Arial" w:eastAsia="Arial" w:hAnsi="Arial"/>
                <w:sz w:val="18"/>
                <w:szCs w:val="18"/>
                <w:color w:val="auto"/>
                <w:w w:val="89"/>
              </w:rPr>
              <w:t>2016</w:t>
            </w: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5"/>
          </w:tcPr>
          <w:p>
            <w:pPr>
              <w:jc w:val="center"/>
              <w:ind w:right="2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080" w:type="dxa"/>
            <w:vAlign w:val="bottom"/>
            <w:gridSpan w:val="4"/>
          </w:tcPr>
          <w:p>
            <w:pPr>
              <w:jc w:val="center"/>
              <w:spacing w:after="0" w:line="195" w:lineRule="exact"/>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5"/>
          </w:tcPr>
          <w:p>
            <w:pPr>
              <w:jc w:val="center"/>
              <w:ind w:right="2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18"/>
                <w:szCs w:val="18"/>
                <w:color w:val="auto"/>
              </w:rPr>
            </w:pPr>
          </w:p>
        </w:tc>
        <w:tc>
          <w:tcPr>
            <w:tcW w:w="1120" w:type="dxa"/>
            <w:vAlign w:val="bottom"/>
            <w:gridSpan w:val="5"/>
          </w:tcPr>
          <w:p>
            <w:pPr>
              <w:jc w:val="center"/>
              <w:ind w:right="40"/>
              <w:spacing w:after="0"/>
              <w:rPr>
                <w:sz w:val="20"/>
                <w:szCs w:val="20"/>
                <w:color w:val="auto"/>
              </w:rPr>
            </w:pPr>
            <w:r>
              <w:rPr>
                <w:rFonts w:ascii="Arial" w:cs="Arial" w:eastAsia="Arial" w:hAnsi="Arial"/>
                <w:sz w:val="18"/>
                <w:szCs w:val="18"/>
                <w:color w:val="auto"/>
                <w:w w:val="90"/>
              </w:rPr>
              <w:t>Investment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Investment</w:t>
            </w:r>
          </w:p>
        </w:tc>
      </w:tr>
      <w:tr>
        <w:trPr>
          <w:trHeight w:val="216"/>
        </w:trPr>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Pre-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center"/>
              <w:ind w:left="210"/>
              <w:spacing w:after="0"/>
              <w:rPr>
                <w:sz w:val="20"/>
                <w:szCs w:val="20"/>
                <w:color w:val="auto"/>
              </w:rPr>
            </w:pPr>
            <w:r>
              <w:rPr>
                <w:rFonts w:ascii="Arial" w:cs="Arial" w:eastAsia="Arial" w:hAnsi="Arial"/>
                <w:sz w:val="18"/>
                <w:szCs w:val="18"/>
                <w:color w:val="auto"/>
                <w:w w:val="85"/>
              </w:rPr>
              <w:t>Post-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Pre-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Post-</w:t>
            </w:r>
          </w:p>
        </w:tc>
      </w:tr>
      <w:tr>
        <w:trPr>
          <w:trHeight w:val="230"/>
        </w:trPr>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Contracts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Contracts</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7"/>
              </w:rPr>
              <w:t>Modification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Modification</w:t>
            </w:r>
          </w:p>
        </w:tc>
        <w:tc>
          <w:tcPr>
            <w:tcW w:w="100" w:type="dxa"/>
            <w:vAlign w:val="bottom"/>
          </w:tcPr>
          <w:p>
            <w:pPr>
              <w:spacing w:after="0"/>
              <w:rPr>
                <w:sz w:val="20"/>
                <w:szCs w:val="20"/>
                <w:color w:val="auto"/>
              </w:rPr>
            </w:pPr>
          </w:p>
        </w:tc>
      </w:tr>
      <w:tr>
        <w:trPr>
          <w:trHeight w:val="210"/>
        </w:trPr>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8"/>
          </w:tcPr>
          <w:p>
            <w:pPr>
              <w:jc w:val="right"/>
              <w:ind w:right="280"/>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880" w:type="dxa"/>
            <w:vAlign w:val="bottom"/>
            <w:gridSpan w:val="2"/>
          </w:tcPr>
          <w:p>
            <w:pPr>
              <w:jc w:val="center"/>
              <w:ind w:right="2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9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3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152</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152</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185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1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660" w:type="dxa"/>
            <w:vAlign w:val="bottom"/>
          </w:tcPr>
          <w:p>
            <w:pPr>
              <w:jc w:val="center"/>
              <w:ind w:right="4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185</w:t>
            </w:r>
          </w:p>
        </w:tc>
        <w:tc>
          <w:tcPr>
            <w:tcW w:w="9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185</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0"/>
        </w:trPr>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5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1"/>
          </w:tcPr>
          <w:p>
            <w:pPr>
              <w:jc w:val="right"/>
              <w:ind w:right="280"/>
              <w:spacing w:after="0"/>
              <w:rPr>
                <w:sz w:val="20"/>
                <w:szCs w:val="20"/>
                <w:color w:val="auto"/>
              </w:rPr>
            </w:pPr>
            <w:r>
              <w:rPr>
                <w:rFonts w:ascii="Arial" w:cs="Arial" w:eastAsia="Arial" w:hAnsi="Arial"/>
                <w:sz w:val="18"/>
                <w:szCs w:val="18"/>
                <w:color w:val="auto"/>
                <w:w w:val="98"/>
              </w:rPr>
              <w:t>Nine Months Ended March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5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tcPr>
          <w:p>
            <w:pPr>
              <w:jc w:val="center"/>
              <w:ind w:right="320"/>
              <w:spacing w:after="0" w:line="195" w:lineRule="exact"/>
              <w:rPr>
                <w:sz w:val="20"/>
                <w:szCs w:val="20"/>
                <w:color w:val="auto"/>
              </w:rPr>
            </w:pPr>
            <w:r>
              <w:rPr>
                <w:rFonts w:ascii="Arial" w:cs="Arial" w:eastAsia="Arial" w:hAnsi="Arial"/>
                <w:sz w:val="18"/>
                <w:szCs w:val="18"/>
                <w:color w:val="auto"/>
                <w:w w:val="87"/>
              </w:rPr>
              <w:t>Recorded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center"/>
              <w:ind w:right="150"/>
              <w:spacing w:after="0" w:line="195" w:lineRule="exact"/>
              <w:rPr>
                <w:sz w:val="20"/>
                <w:szCs w:val="20"/>
                <w:color w:val="auto"/>
              </w:rPr>
            </w:pPr>
            <w:r>
              <w:rPr>
                <w:rFonts w:ascii="Arial" w:cs="Arial" w:eastAsia="Arial" w:hAnsi="Arial"/>
                <w:sz w:val="18"/>
                <w:szCs w:val="18"/>
                <w:color w:val="auto"/>
                <w:w w:val="87"/>
              </w:rPr>
              <w:t>Recorded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4"/>
          </w:tcPr>
          <w:p>
            <w:pPr>
              <w:jc w:val="center"/>
              <w:ind w:right="440"/>
              <w:spacing w:after="0" w:line="195" w:lineRule="exact"/>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Investment</w:t>
            </w:r>
          </w:p>
        </w:tc>
        <w:tc>
          <w:tcPr>
            <w:tcW w:w="80" w:type="dxa"/>
            <w:vAlign w:val="bottom"/>
          </w:tcPr>
          <w:p>
            <w:pPr>
              <w:spacing w:after="0"/>
              <w:rPr>
                <w:sz w:val="18"/>
                <w:szCs w:val="18"/>
                <w:color w:val="auto"/>
              </w:rPr>
            </w:pPr>
          </w:p>
        </w:tc>
        <w:tc>
          <w:tcPr>
            <w:tcW w:w="1220" w:type="dxa"/>
            <w:vAlign w:val="bottom"/>
            <w:gridSpan w:val="5"/>
          </w:tcPr>
          <w:p>
            <w:pPr>
              <w:jc w:val="center"/>
              <w:ind w:right="2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Investment</w:t>
            </w:r>
          </w:p>
        </w:tc>
      </w:tr>
      <w:tr>
        <w:trPr>
          <w:trHeight w:val="216"/>
        </w:trPr>
        <w:tc>
          <w:tcPr>
            <w:tcW w:w="2520" w:type="dxa"/>
            <w:vAlign w:val="bottom"/>
          </w:tcPr>
          <w:p>
            <w:pPr>
              <w:spacing w:after="0"/>
              <w:rPr>
                <w:sz w:val="18"/>
                <w:szCs w:val="18"/>
                <w:color w:val="auto"/>
              </w:rPr>
            </w:pP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8"/>
                <w:szCs w:val="18"/>
                <w:color w:val="auto"/>
                <w:w w:val="88"/>
              </w:rPr>
              <w:t>Pre-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85"/>
              </w:rPr>
              <w:t>Post-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540"/>
              <w:spacing w:after="0"/>
              <w:rPr>
                <w:sz w:val="20"/>
                <w:szCs w:val="20"/>
                <w:color w:val="auto"/>
              </w:rPr>
            </w:pPr>
            <w:r>
              <w:rPr>
                <w:rFonts w:ascii="Arial" w:cs="Arial" w:eastAsia="Arial" w:hAnsi="Arial"/>
                <w:sz w:val="18"/>
                <w:szCs w:val="18"/>
                <w:color w:val="auto"/>
                <w:w w:val="88"/>
              </w:rPr>
              <w:t>Pre-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Post-</w:t>
            </w:r>
          </w:p>
        </w:tc>
      </w:tr>
      <w:tr>
        <w:trPr>
          <w:trHeight w:val="230"/>
        </w:trPr>
        <w:tc>
          <w:tcPr>
            <w:tcW w:w="2520" w:type="dxa"/>
            <w:vAlign w:val="bottom"/>
          </w:tcPr>
          <w:p>
            <w:pPr>
              <w:spacing w:after="0"/>
              <w:rPr>
                <w:sz w:val="20"/>
                <w:szCs w:val="20"/>
                <w:color w:val="auto"/>
              </w:rPr>
            </w:pPr>
          </w:p>
        </w:tc>
        <w:tc>
          <w:tcPr>
            <w:tcW w:w="104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Contracts</w:t>
            </w: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Modification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Contracts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color w:val="auto"/>
                <w:w w:val="97"/>
              </w:rPr>
              <w:t>Modification</w:t>
            </w:r>
          </w:p>
        </w:tc>
        <w:tc>
          <w:tcPr>
            <w:tcW w:w="22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97"/>
              </w:rPr>
              <w:t>Modification</w:t>
            </w:r>
          </w:p>
        </w:tc>
        <w:tc>
          <w:tcPr>
            <w:tcW w:w="100" w:type="dxa"/>
            <w:vAlign w:val="bottom"/>
          </w:tcPr>
          <w:p>
            <w:pPr>
              <w:spacing w:after="0"/>
              <w:rPr>
                <w:sz w:val="20"/>
                <w:szCs w:val="20"/>
                <w:color w:val="auto"/>
              </w:rPr>
            </w:pPr>
          </w:p>
        </w:tc>
      </w:tr>
      <w:tr>
        <w:trPr>
          <w:trHeight w:val="210"/>
        </w:trPr>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8"/>
          </w:tcPr>
          <w:p>
            <w:pPr>
              <w:jc w:val="right"/>
              <w:ind w:right="600"/>
              <w:spacing w:after="0"/>
              <w:rPr>
                <w:sz w:val="20"/>
                <w:szCs w:val="20"/>
                <w:color w:val="auto"/>
              </w:rPr>
            </w:pPr>
            <w:r>
              <w:rPr>
                <w:rFonts w:ascii="Arial" w:cs="Arial" w:eastAsia="Arial" w:hAnsi="Arial"/>
                <w:sz w:val="18"/>
                <w:szCs w:val="18"/>
                <w:color w:val="auto"/>
                <w:w w:val="93"/>
              </w:rPr>
              <w:t>(Dollars 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259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1,164</w:t>
            </w:r>
          </w:p>
        </w:tc>
      </w:tr>
      <w:tr>
        <w:trPr>
          <w:trHeight w:val="216"/>
        </w:trPr>
        <w:tc>
          <w:tcPr>
            <w:tcW w:w="3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3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04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0"/>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104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56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430</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1,790</w:t>
            </w:r>
          </w:p>
        </w:tc>
      </w:tr>
      <w:tr>
        <w:trPr>
          <w:trHeight w:val="20"/>
        </w:trPr>
        <w:tc>
          <w:tcPr>
            <w:tcW w:w="2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One loan in the amount of $14 thousand, modified in a TDR in the last twelve months, defaulted during the three and nine months ended March 31, 2016. As of March 31, 2016, there were no further commitments to lend associated with loans modified in a TDR.</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4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31, 2016</w:t>
            </w:r>
          </w:p>
        </w:tc>
        <w:tc>
          <w:tcPr>
            <w:tcW w:w="20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March 31, 2015</w:t>
            </w:r>
          </w:p>
        </w:tc>
        <w:tc>
          <w:tcPr>
            <w:tcW w:w="8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6"/>
          </w:tcPr>
          <w:p>
            <w:pPr>
              <w:jc w:val="right"/>
              <w:ind w:right="1020"/>
              <w:spacing w:after="0"/>
              <w:rPr>
                <w:sz w:val="20"/>
                <w:szCs w:val="20"/>
                <w:color w:val="auto"/>
              </w:rPr>
            </w:pPr>
            <w:r>
              <w:rPr>
                <w:rFonts w:ascii="Arial" w:cs="Arial" w:eastAsia="Arial" w:hAnsi="Arial"/>
                <w:sz w:val="18"/>
                <w:szCs w:val="18"/>
                <w:color w:val="auto"/>
              </w:rPr>
              <w:t>(Dollars in thousands)</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31,595</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Accretable yield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(9,661)</w:t>
            </w:r>
          </w:p>
        </w:tc>
        <w:tc>
          <w:tcPr>
            <w:tcW w:w="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(3,622)</w:t>
            </w:r>
          </w:p>
        </w:tc>
      </w:tr>
      <w:tr>
        <w:trPr>
          <w:trHeight w:val="250"/>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52"/>
        </w:trPr>
        <w:tc>
          <w:tcPr>
            <w:tcW w:w="4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Nine Months Ended</w:t>
            </w:r>
          </w:p>
        </w:tc>
        <w:tc>
          <w:tcPr>
            <w:tcW w:w="80" w:type="dxa"/>
            <w:vAlign w:val="bottom"/>
          </w:tcPr>
          <w:p>
            <w:pPr>
              <w:spacing w:after="0"/>
              <w:rPr>
                <w:sz w:val="24"/>
                <w:szCs w:val="2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31, 2016</w:t>
            </w:r>
          </w:p>
        </w:tc>
        <w:tc>
          <w:tcPr>
            <w:tcW w:w="20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March 31, 2015</w:t>
            </w:r>
          </w:p>
        </w:tc>
        <w:tc>
          <w:tcPr>
            <w:tcW w:w="8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6"/>
          </w:tcPr>
          <w:p>
            <w:pPr>
              <w:jc w:val="right"/>
              <w:ind w:right="1020"/>
              <w:spacing w:after="0"/>
              <w:rPr>
                <w:sz w:val="20"/>
                <w:szCs w:val="20"/>
                <w:color w:val="auto"/>
              </w:rPr>
            </w:pPr>
            <w:r>
              <w:rPr>
                <w:rFonts w:ascii="Arial" w:cs="Arial" w:eastAsia="Arial" w:hAnsi="Arial"/>
                <w:sz w:val="18"/>
                <w:szCs w:val="18"/>
                <w:color w:val="auto"/>
              </w:rPr>
              <w:t>(Dollars in thousands)</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97,714</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(2,831)</w:t>
            </w: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122,240</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94,883</w:t>
            </w:r>
          </w:p>
        </w:tc>
        <w:tc>
          <w:tcPr>
            <w:tcW w:w="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Accretable yield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8"/>
                <w:szCs w:val="18"/>
                <w:color w:val="auto"/>
              </w:rPr>
              <w:t>(40,995)</w:t>
            </w:r>
          </w:p>
        </w:tc>
        <w:tc>
          <w:tcPr>
            <w:tcW w:w="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(36,987)</w:t>
            </w:r>
          </w:p>
        </w:tc>
      </w:tr>
      <w:tr>
        <w:trPr>
          <w:trHeight w:val="250"/>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57,896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loans accounted for under ASC 310-30 that were acquired by the Company are not accounted for using the income recognition model because the Company cannot reasonably estimate cash flows expected to be collected. These loans when acquired are placed on non-accrual. The carrying amounts of such loans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As of and for the</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As of and for the Nine</w:t>
            </w:r>
          </w:p>
        </w:tc>
      </w:tr>
      <w:tr>
        <w:trPr>
          <w:trHeight w:val="216"/>
        </w:trPr>
        <w:tc>
          <w:tcPr>
            <w:tcW w:w="4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Months Ended</w:t>
            </w:r>
          </w:p>
        </w:tc>
      </w:tr>
      <w:tr>
        <w:trPr>
          <w:trHeight w:val="230"/>
        </w:trPr>
        <w:tc>
          <w:tcPr>
            <w:tcW w:w="4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March 31, 2016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March 31, 2016</w:t>
            </w:r>
          </w:p>
        </w:tc>
        <w:tc>
          <w:tcPr>
            <w:tcW w:w="80" w:type="dxa"/>
            <w:vAlign w:val="bottom"/>
          </w:tcPr>
          <w:p>
            <w:pPr>
              <w:spacing w:after="0"/>
              <w:rPr>
                <w:sz w:val="20"/>
                <w:szCs w:val="20"/>
                <w:color w:val="auto"/>
              </w:rPr>
            </w:pPr>
          </w:p>
        </w:tc>
      </w:tr>
      <w:tr>
        <w:trPr>
          <w:trHeight w:val="210"/>
        </w:trPr>
        <w:tc>
          <w:tcPr>
            <w:tcW w:w="4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gridSpan w:val="5"/>
          </w:tcPr>
          <w:p>
            <w:pPr>
              <w:ind w:left="780"/>
              <w:spacing w:after="0"/>
              <w:rPr>
                <w:sz w:val="20"/>
                <w:szCs w:val="20"/>
                <w:color w:val="auto"/>
              </w:rPr>
            </w:pPr>
            <w:r>
              <w:rPr>
                <w:rFonts w:ascii="Arial" w:cs="Arial" w:eastAsia="Arial" w:hAnsi="Arial"/>
                <w:sz w:val="18"/>
                <w:szCs w:val="18"/>
                <w:color w:val="auto"/>
              </w:rPr>
              <w:t>(Dollars in thousands)</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Loans at end of period</w:t>
            </w: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4,364</w:t>
            </w:r>
          </w:p>
        </w:tc>
        <w:tc>
          <w:tcPr>
            <w:tcW w:w="16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4,364</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in the accretable yield for loans accounted for under ASC 310-30.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6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31, 2016</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March 31, 2015</w:t>
            </w:r>
          </w:p>
        </w:tc>
        <w:tc>
          <w:tcPr>
            <w:tcW w:w="80" w:type="dxa"/>
            <w:vAlign w:val="bottom"/>
          </w:tcPr>
          <w:p>
            <w:pPr>
              <w:spacing w:after="0"/>
              <w:rPr>
                <w:sz w:val="20"/>
                <w:szCs w:val="20"/>
                <w:color w:val="auto"/>
              </w:rPr>
            </w:pPr>
          </w:p>
        </w:tc>
      </w:tr>
      <w:tr>
        <w:trPr>
          <w:trHeight w:val="210"/>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5"/>
          </w:tcPr>
          <w:p>
            <w:pPr>
              <w:jc w:val="right"/>
              <w:ind w:right="1020"/>
              <w:spacing w:after="0"/>
              <w:rPr>
                <w:sz w:val="20"/>
                <w:szCs w:val="20"/>
                <w:color w:val="auto"/>
              </w:rPr>
            </w:pPr>
            <w:r>
              <w:rPr>
                <w:rFonts w:ascii="Arial" w:cs="Arial" w:eastAsia="Arial" w:hAnsi="Arial"/>
                <w:sz w:val="18"/>
                <w:szCs w:val="18"/>
                <w:color w:val="auto"/>
              </w:rPr>
              <w:t>(Dollars in thousands)</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123,275</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3,622</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(4,596)</w:t>
            </w: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(4,214)</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w:t>
            </w: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(8,336)</w:t>
            </w:r>
          </w:p>
        </w:tc>
      </w:tr>
      <w:tr>
        <w:trPr>
          <w:trHeight w:val="210"/>
        </w:trPr>
        <w:tc>
          <w:tcPr>
            <w:tcW w:w="6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126,290</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114,409</w:t>
            </w:r>
          </w:p>
        </w:tc>
        <w:tc>
          <w:tcPr>
            <w:tcW w:w="80" w:type="dxa"/>
            <w:vAlign w:val="bottom"/>
            <w:tcBorders>
              <w:top w:val="single" w:sz="8" w:color="CCEEFF"/>
            </w:tcBorders>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2"/>
        </w:trPr>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Nine Months Ended</w:t>
            </w:r>
          </w:p>
        </w:tc>
        <w:tc>
          <w:tcPr>
            <w:tcW w:w="80" w:type="dxa"/>
            <w:vAlign w:val="bottom"/>
          </w:tcPr>
          <w:p>
            <w:pPr>
              <w:spacing w:after="0"/>
              <w:rPr>
                <w:sz w:val="24"/>
                <w:szCs w:val="2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6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31, 2016</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March 31, 2015</w:t>
            </w:r>
          </w:p>
        </w:tc>
        <w:tc>
          <w:tcPr>
            <w:tcW w:w="80" w:type="dxa"/>
            <w:vAlign w:val="bottom"/>
          </w:tcPr>
          <w:p>
            <w:pPr>
              <w:spacing w:after="0"/>
              <w:rPr>
                <w:sz w:val="20"/>
                <w:szCs w:val="20"/>
                <w:color w:val="auto"/>
              </w:rPr>
            </w:pPr>
          </w:p>
        </w:tc>
      </w:tr>
      <w:tr>
        <w:trPr>
          <w:trHeight w:val="210"/>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5"/>
          </w:tcPr>
          <w:p>
            <w:pPr>
              <w:jc w:val="right"/>
              <w:ind w:right="1020"/>
              <w:spacing w:after="0"/>
              <w:rPr>
                <w:sz w:val="20"/>
                <w:szCs w:val="20"/>
                <w:color w:val="auto"/>
              </w:rPr>
            </w:pPr>
            <w:r>
              <w:rPr>
                <w:rFonts w:ascii="Arial" w:cs="Arial" w:eastAsia="Arial" w:hAnsi="Arial"/>
                <w:sz w:val="18"/>
                <w:szCs w:val="18"/>
                <w:color w:val="auto"/>
              </w:rPr>
              <w:t>(Dollars in thousands)</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109,040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40,995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36,987</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(12,236)</w:t>
            </w: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(12,943)</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(18,202)</w:t>
            </w: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(18,747)</w:t>
            </w:r>
          </w:p>
        </w:tc>
      </w:tr>
      <w:tr>
        <w:trPr>
          <w:trHeight w:val="210"/>
        </w:trPr>
        <w:tc>
          <w:tcPr>
            <w:tcW w:w="6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126,290</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114,409</w:t>
            </w:r>
          </w:p>
        </w:tc>
        <w:tc>
          <w:tcPr>
            <w:tcW w:w="80" w:type="dxa"/>
            <w:vAlign w:val="bottom"/>
            <w:tcBorders>
              <w:top w:val="single" w:sz="8" w:color="CCEEFF"/>
            </w:tcBorders>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31, 2016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2015</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263,643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235,716</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Carrying amount</w:t>
            </w:r>
          </w:p>
        </w:tc>
        <w:tc>
          <w:tcPr>
            <w:tcW w:w="14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231,635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199,113</w:t>
            </w:r>
          </w:p>
        </w:tc>
      </w:tr>
    </w:tbl>
    <w:p>
      <w:pPr>
        <w:spacing w:after="0" w:line="200" w:lineRule="exact"/>
        <w:rPr>
          <w:sz w:val="20"/>
          <w:szCs w:val="20"/>
          <w:color w:val="auto"/>
        </w:rPr>
      </w:pPr>
    </w:p>
    <w:p>
      <w:pPr>
        <w:sectPr>
          <w:pgSz w:w="11900" w:h="16838" w:orient="portrait"/>
          <w:cols w:equalWidth="0" w:num="1">
            <w:col w:w="11360"/>
          </w:cols>
          <w:pgMar w:left="240" w:top="118" w:right="299" w:bottom="811" w:gutter="0" w:footer="0" w:header="0"/>
        </w:sect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811"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Capitalized servicing rights as of March 31, 2016 totaled $1.6 million, compared to $1.1 million as of June 30, 2015, included in other assets on the consolidated balance sheets.</w:t>
      </w:r>
    </w:p>
    <w:p>
      <w:pPr>
        <w:spacing w:after="0" w:line="170"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Mortgage loans sold in the quarter ended March 31, 2016 totaled $19.7 million, compared to $20.0 million in the quarter ended March 31, 2015. Mortgage loans sold in the nine months ended March 31, 2016 totaled $69.1 million, compared to $76.8 million in the nine months ended March 31, 2015. Mortgage loans serviced for others totaled $13.6 million at March 31, 2016 and $16.1 million at June 30, 2015. Additionally, the Company was servicing commercial loans participated out to various other institutions amounting to $34.5 million and $38.8 million at March 31, 2016 and June 30, 2015, respectively.</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SBA loans sold during the quarter ended March 31, 2016 totaled $11.9 million, compared to $3.1 million in the quarter ended March 31, 2015. SBA loans sold in the nine months ended March 31, 2016 totaled $24.9 million, compared to $6.4 million in the nine months ended March 31, 2015. SBA loans serviced for others totaled $74.8 million at March 31, 2016 and $53.5 million at June 30, 2015.</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in the accompanying consolidated balance sheets. The risks inherent in mortgage servicing assets and SBA servicing assets relate primarily to changes in prepayments that result from shifts in interest rates.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Contractually specified servicing fees were $187 thousand and $68 thousand for the quarters ended March 31, 2016 and 2015, respectively, and were included as a component of loan related fees within non-interest income. Contractually specified servicing fees were $504 thousand and $326 thousand for the nine months ended March 31, 2016 and 2015,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significant assumptions used in the valuation for mortgage servicing rights as of March 31, 2016 included a weighted average discount rate of 7.0% and a weighted average prepayment speed assumption of 18.1%. For the SBA servicing rights, the significant assumptions used in the valuation included a range of discount rates from 8.2% to 12.9% and a weighted average prepayment speed assumption of 7.3%</w:t>
      </w:r>
    </w:p>
    <w:p>
      <w:pPr>
        <w:spacing w:after="0" w:line="17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Qualified Affordable Housing Projects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On July 1, 2015, the Company adopted ASU 2014-01, </w:t>
      </w:r>
      <w:r>
        <w:rPr>
          <w:rFonts w:ascii="Arial" w:cs="Arial" w:eastAsia="Arial" w:hAnsi="Arial"/>
          <w:sz w:val="18"/>
          <w:szCs w:val="18"/>
          <w:i w:val="1"/>
          <w:iCs w:val="1"/>
          <w:color w:val="auto"/>
        </w:rPr>
        <w:t>Accounting for Investments in Qualified Affordable Housing Projects</w:t>
      </w:r>
      <w:r>
        <w:rPr>
          <w:rFonts w:ascii="Arial" w:cs="Arial" w:eastAsia="Arial" w:hAnsi="Arial"/>
          <w:sz w:val="18"/>
          <w:szCs w:val="18"/>
          <w:color w:val="auto"/>
        </w:rPr>
        <w:t>, which required retrospective application. Under the proportional amortization method in ASU 2014-01, the initial costs of investment in qualified affordable housing projects are amortized in proportion to tax credits and other tax benefits received, and are recognized as a component of the provision for income taxes in the consolidated statements of income. Prior to the implementation of ASU 2014-01, the Company’s investments in qualified affordable housing projects were amortized and included as a component of non-interest income in the consolidated statements of income. Further information regarding the Company's investments in affordable housing projects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31, 2016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2015</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affordable housing projects included in 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effective tax rate for the three and nine months ended March 31, 2016 and 2015 is the effect of the following: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March 31, 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March 31, 2015</w:t>
            </w:r>
          </w:p>
        </w:tc>
        <w:tc>
          <w:tcPr>
            <w:tcW w:w="8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6"/>
          </w:tcPr>
          <w:p>
            <w:pPr>
              <w:ind w:left="680"/>
              <w:spacing w:after="0"/>
              <w:rPr>
                <w:sz w:val="20"/>
                <w:szCs w:val="20"/>
                <w:color w:val="auto"/>
              </w:rPr>
            </w:pPr>
            <w:r>
              <w:rPr>
                <w:rFonts w:ascii="Arial" w:cs="Arial" w:eastAsia="Arial" w:hAnsi="Arial"/>
                <w:sz w:val="18"/>
                <w:szCs w:val="18"/>
                <w:color w:val="auto"/>
              </w:rPr>
              <w:t>(Dollars in thousands)</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Investment amortization included in income tax expense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Tax credit recognized as income tax benefit</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r>
      <w:tr>
        <w:trPr>
          <w:trHeight w:val="620"/>
        </w:trPr>
        <w:tc>
          <w:tcPr>
            <w:tcW w:w="5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Nine Months Ended</w:t>
            </w:r>
          </w:p>
        </w:tc>
        <w:tc>
          <w:tcPr>
            <w:tcW w:w="10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5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March 31, 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March 31, 2015</w:t>
            </w:r>
          </w:p>
        </w:tc>
        <w:tc>
          <w:tcPr>
            <w:tcW w:w="8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6"/>
          </w:tcPr>
          <w:p>
            <w:pPr>
              <w:ind w:left="680"/>
              <w:spacing w:after="0"/>
              <w:rPr>
                <w:sz w:val="20"/>
                <w:szCs w:val="20"/>
                <w:color w:val="auto"/>
              </w:rPr>
            </w:pPr>
            <w:r>
              <w:rPr>
                <w:rFonts w:ascii="Arial" w:cs="Arial" w:eastAsia="Arial" w:hAnsi="Arial"/>
                <w:sz w:val="18"/>
                <w:szCs w:val="18"/>
                <w:color w:val="auto"/>
              </w:rPr>
              <w:t>(Dollars in thousands)</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Investment amortization included in income tax expense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Tax credit recognized as income tax benefit</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r>
    </w:tbl>
    <w:p>
      <w:pPr>
        <w:spacing w:after="0" w:line="200" w:lineRule="exact"/>
        <w:rPr>
          <w:sz w:val="20"/>
          <w:szCs w:val="20"/>
          <w:color w:val="auto"/>
        </w:rPr>
      </w:pPr>
    </w:p>
    <w:p>
      <w:pPr>
        <w:spacing w:after="0" w:line="2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ASU 2014-01 was applied retrospectively to all periods presented. The cumulative effect on retained earnings and other assets was $112 thousand at July 1, 2015.</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6"/>
          </w:tcPr>
          <w:p>
            <w:pPr>
              <w:jc w:val="right"/>
              <w:ind w:right="380"/>
              <w:spacing w:after="0"/>
              <w:rPr>
                <w:sz w:val="20"/>
                <w:szCs w:val="20"/>
                <w:color w:val="auto"/>
              </w:rPr>
            </w:pPr>
            <w:r>
              <w:rPr>
                <w:rFonts w:ascii="Arial" w:cs="Arial" w:eastAsia="Arial" w:hAnsi="Arial"/>
                <w:sz w:val="18"/>
                <w:szCs w:val="18"/>
                <w:color w:val="auto"/>
                <w:w w:val="90"/>
              </w:rPr>
              <w:t>Three months Ended March 31,</w:t>
            </w:r>
          </w:p>
        </w:tc>
        <w:tc>
          <w:tcPr>
            <w:tcW w:w="140" w:type="dxa"/>
            <w:vAlign w:val="bottom"/>
          </w:tcPr>
          <w:p>
            <w:pPr>
              <w:spacing w:after="0"/>
              <w:rPr>
                <w:sz w:val="20"/>
                <w:szCs w:val="20"/>
                <w:color w:val="auto"/>
              </w:rPr>
            </w:pPr>
          </w:p>
        </w:tc>
        <w:tc>
          <w:tcPr>
            <w:tcW w:w="2560" w:type="dxa"/>
            <w:vAlign w:val="bottom"/>
            <w:gridSpan w:val="5"/>
          </w:tcPr>
          <w:p>
            <w:pPr>
              <w:ind w:left="40"/>
              <w:spacing w:after="0"/>
              <w:rPr>
                <w:sz w:val="20"/>
                <w:szCs w:val="20"/>
                <w:color w:val="auto"/>
              </w:rPr>
            </w:pPr>
            <w:r>
              <w:rPr>
                <w:rFonts w:ascii="Arial" w:cs="Arial" w:eastAsia="Arial" w:hAnsi="Arial"/>
                <w:sz w:val="18"/>
                <w:szCs w:val="18"/>
                <w:color w:val="auto"/>
              </w:rPr>
              <w:t>Nine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(Dollars</w:t>
            </w:r>
          </w:p>
        </w:tc>
        <w:tc>
          <w:tcPr>
            <w:tcW w:w="4300" w:type="dxa"/>
            <w:vAlign w:val="bottom"/>
            <w:gridSpan w:val="11"/>
          </w:tcPr>
          <w:p>
            <w:pPr>
              <w:ind w:left="160"/>
              <w:spacing w:after="0"/>
              <w:rPr>
                <w:sz w:val="20"/>
                <w:szCs w:val="20"/>
                <w:color w:val="auto"/>
              </w:rPr>
            </w:pPr>
            <w:r>
              <w:rPr>
                <w:rFonts w:ascii="Arial" w:cs="Arial" w:eastAsia="Arial" w:hAnsi="Arial"/>
                <w:sz w:val="18"/>
                <w:szCs w:val="18"/>
                <w:color w:val="auto"/>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9,456,198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9,833,033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9,526,302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10,049,983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Incremental shares from assumed exercise of dilutive securities</w:t>
            </w:r>
          </w:p>
        </w:tc>
        <w:tc>
          <w:tcPr>
            <w:tcW w:w="1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9,459,611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9,833,033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9,531,747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10,049,983</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0.19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three and nine months ended March 31, 2016, the following stock options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2940" w:type="dxa"/>
            <w:vAlign w:val="bottom"/>
            <w:gridSpan w:val="4"/>
          </w:tcPr>
          <w:p>
            <w:pPr>
              <w:ind w:left="220"/>
              <w:spacing w:after="0"/>
              <w:rPr>
                <w:sz w:val="20"/>
                <w:szCs w:val="20"/>
                <w:color w:val="auto"/>
              </w:rPr>
            </w:pPr>
            <w:r>
              <w:rPr>
                <w:rFonts w:ascii="Arial" w:cs="Arial" w:eastAsia="Arial" w:hAnsi="Arial"/>
                <w:sz w:val="18"/>
                <w:szCs w:val="18"/>
                <w:color w:val="auto"/>
              </w:rPr>
              <w:t>Three Months Ended March 31,</w:t>
            </w:r>
          </w:p>
        </w:tc>
        <w:tc>
          <w:tcPr>
            <w:tcW w:w="2800" w:type="dxa"/>
            <w:vAlign w:val="bottom"/>
            <w:gridSpan w:val="4"/>
          </w:tcPr>
          <w:p>
            <w:pPr>
              <w:ind w:left="240"/>
              <w:spacing w:after="0"/>
              <w:rPr>
                <w:sz w:val="20"/>
                <w:szCs w:val="20"/>
                <w:color w:val="auto"/>
              </w:rPr>
            </w:pPr>
            <w:r>
              <w:rPr>
                <w:rFonts w:ascii="Arial" w:cs="Arial" w:eastAsia="Arial" w:hAnsi="Arial"/>
                <w:sz w:val="18"/>
                <w:szCs w:val="18"/>
                <w:color w:val="auto"/>
              </w:rPr>
              <w:t>Nine Months Ended March 31,</w:t>
            </w:r>
          </w:p>
        </w:tc>
        <w:tc>
          <w:tcPr>
            <w:tcW w:w="232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714,545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1,039,721</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714,545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1,059,721</w:t>
            </w:r>
          </w:p>
        </w:tc>
        <w:tc>
          <w:tcPr>
            <w:tcW w:w="8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r>
      <w:tr>
        <w:trPr>
          <w:trHeight w:val="675"/>
        </w:trPr>
        <w:tc>
          <w:tcPr>
            <w:tcW w:w="3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3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61"/>
        </w:trPr>
        <w:tc>
          <w:tcPr>
            <w:tcW w:w="34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23" w:name="page24"/>
    <w:bookmarkEnd w:id="23"/>
    <w:p>
      <w:pPr>
        <w:spacing w:after="0" w:line="29"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seeks to manage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March 31, 2016, the Company had posted cash collateral totaling $2.8 million with dealer banks related to derivative instruments in a net liability position.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 – Derivative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 – Cash Flow Hedging Instruments</w:t>
      </w:r>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8"/>
                <w:szCs w:val="18"/>
                <w:color w:val="auto"/>
              </w:rPr>
              <w:t>Inception</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Notional</w:t>
            </w:r>
          </w:p>
        </w:tc>
        <w:tc>
          <w:tcPr>
            <w:tcW w:w="10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Termination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Receive</w:t>
            </w:r>
          </w:p>
        </w:tc>
        <w:tc>
          <w:tcPr>
            <w:tcW w:w="1280" w:type="dxa"/>
            <w:vAlign w:val="bottom"/>
            <w:gridSpan w:val="4"/>
          </w:tcPr>
          <w:p>
            <w:pPr>
              <w:jc w:val="right"/>
              <w:ind w:right="640"/>
              <w:spacing w:after="0" w:line="202" w:lineRule="exact"/>
              <w:rPr>
                <w:sz w:val="20"/>
                <w:szCs w:val="20"/>
                <w:color w:val="auto"/>
              </w:rPr>
            </w:pPr>
            <w:r>
              <w:rPr>
                <w:rFonts w:ascii="Arial" w:cs="Arial" w:eastAsia="Arial" w:hAnsi="Arial"/>
                <w:sz w:val="18"/>
                <w:szCs w:val="18"/>
                <w:color w:val="auto"/>
              </w:rPr>
              <w:t>Pay</w:t>
            </w:r>
          </w:p>
        </w:tc>
        <w:tc>
          <w:tcPr>
            <w:tcW w:w="130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Strike</w:t>
            </w:r>
          </w:p>
        </w:tc>
        <w:tc>
          <w:tcPr>
            <w:tcW w:w="8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84"/>
              </w:rPr>
              <w:t>Sheet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1"/>
                <w:szCs w:val="21"/>
                <w:color w:val="auto"/>
              </w:rPr>
            </w:pPr>
          </w:p>
        </w:tc>
        <w:tc>
          <w:tcPr>
            <w:tcW w:w="10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Date</w:t>
            </w:r>
          </w:p>
        </w:tc>
        <w:tc>
          <w:tcPr>
            <w:tcW w:w="120" w:type="dxa"/>
            <w:vAlign w:val="bottom"/>
            <w:gridSpan w:val="2"/>
          </w:tcPr>
          <w:p>
            <w:pPr>
              <w:spacing w:after="0"/>
              <w:rPr>
                <w:sz w:val="21"/>
                <w:szCs w:val="21"/>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Index</w:t>
            </w:r>
          </w:p>
        </w:tc>
        <w:tc>
          <w:tcPr>
            <w:tcW w:w="100" w:type="dxa"/>
            <w:vAlign w:val="bottom"/>
            <w:gridSpan w:val="2"/>
          </w:tcPr>
          <w:p>
            <w:pPr>
              <w:spacing w:after="0"/>
              <w:rPr>
                <w:sz w:val="21"/>
                <w:szCs w:val="21"/>
                <w:color w:val="auto"/>
              </w:rPr>
            </w:pPr>
          </w:p>
        </w:tc>
        <w:tc>
          <w:tcPr>
            <w:tcW w:w="10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Rate</w:t>
            </w:r>
          </w:p>
        </w:tc>
        <w:tc>
          <w:tcPr>
            <w:tcW w:w="280" w:type="dxa"/>
            <w:vAlign w:val="bottom"/>
            <w:gridSpan w:val="2"/>
          </w:tcPr>
          <w:p>
            <w:pPr>
              <w:spacing w:after="0"/>
              <w:rPr>
                <w:sz w:val="21"/>
                <w:szCs w:val="21"/>
                <w:color w:val="auto"/>
              </w:rPr>
            </w:pPr>
          </w:p>
        </w:tc>
        <w:tc>
          <w:tcPr>
            <w:tcW w:w="10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Rate</w:t>
            </w:r>
          </w:p>
        </w:tc>
        <w:tc>
          <w:tcPr>
            <w:tcW w:w="280" w:type="dxa"/>
            <w:vAlign w:val="bottom"/>
            <w:gridSpan w:val="2"/>
          </w:tcPr>
          <w:p>
            <w:pPr>
              <w:spacing w:after="0"/>
              <w:rPr>
                <w:sz w:val="21"/>
                <w:szCs w:val="21"/>
                <w:color w:val="auto"/>
              </w:rPr>
            </w:pPr>
          </w:p>
        </w:tc>
        <w:tc>
          <w:tcPr>
            <w:tcW w:w="10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Rate</w:t>
            </w:r>
          </w:p>
        </w:tc>
        <w:tc>
          <w:tcPr>
            <w:tcW w:w="280" w:type="dxa"/>
            <w:vAlign w:val="bottom"/>
          </w:tcPr>
          <w:p>
            <w:pPr>
              <w:spacing w:after="0"/>
              <w:rPr>
                <w:sz w:val="21"/>
                <w:szCs w:val="21"/>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Gain (Loss)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80" w:type="dxa"/>
            <w:vAlign w:val="bottom"/>
            <w:gridSpan w:val="8"/>
          </w:tcPr>
          <w:p>
            <w:pPr>
              <w:ind w:left="680"/>
              <w:spacing w:after="0"/>
              <w:rPr>
                <w:sz w:val="20"/>
                <w:szCs w:val="20"/>
                <w:color w:val="auto"/>
              </w:rPr>
            </w:pPr>
            <w:r>
              <w:rPr>
                <w:rFonts w:ascii="Arial" w:cs="Arial" w:eastAsia="Arial" w:hAnsi="Arial"/>
                <w:sz w:val="18"/>
                <w:szCs w:val="18"/>
                <w:color w:val="auto"/>
              </w:rPr>
              <w:t>(Dollars in thousands)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July 2033</w:t>
            </w:r>
          </w:p>
        </w:tc>
        <w:tc>
          <w:tcPr>
            <w:tcW w:w="1000" w:type="dxa"/>
            <w:vAlign w:val="bottom"/>
            <w:gridSpan w:val="4"/>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8"/>
                <w:szCs w:val="18"/>
                <w:color w:val="auto"/>
              </w:rPr>
              <w:t>July 2013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00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LIBOR</w:t>
            </w:r>
          </w:p>
        </w:tc>
        <w:tc>
          <w:tcPr>
            <w:tcW w:w="1260" w:type="dxa"/>
            <w:vAlign w:val="bottom"/>
            <w:gridSpan w:val="3"/>
            <w:vMerge w:val="restart"/>
          </w:tcPr>
          <w:p>
            <w:pPr>
              <w:ind w:left="700"/>
              <w:spacing w:after="0"/>
              <w:rPr>
                <w:sz w:val="20"/>
                <w:szCs w:val="20"/>
                <w:color w:val="auto"/>
              </w:rPr>
            </w:pPr>
            <w:r>
              <w:rPr>
                <w:rFonts w:ascii="Arial" w:cs="Arial" w:eastAsia="Arial" w:hAnsi="Arial"/>
                <w:sz w:val="18"/>
                <w:szCs w:val="18"/>
                <w:color w:val="auto"/>
              </w:rPr>
              <w:t>0.63%</w:t>
            </w:r>
          </w:p>
        </w:tc>
        <w:tc>
          <w:tcPr>
            <w:tcW w:w="40" w:type="dxa"/>
            <w:vAlign w:val="bottom"/>
          </w:tcPr>
          <w:p>
            <w:pPr>
              <w:spacing w:after="0"/>
              <w:rPr>
                <w:sz w:val="10"/>
                <w:szCs w:val="10"/>
                <w:color w:val="auto"/>
              </w:rPr>
            </w:pPr>
          </w:p>
        </w:tc>
        <w:tc>
          <w:tcPr>
            <w:tcW w:w="12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0"/>
                <w:szCs w:val="10"/>
                <w:color w:val="auto"/>
              </w:rPr>
            </w:pPr>
          </w:p>
        </w:tc>
        <w:tc>
          <w:tcPr>
            <w:tcW w:w="1300" w:type="dxa"/>
            <w:vAlign w:val="bottom"/>
            <w:gridSpan w:val="3"/>
            <w:vMerge w:val="restart"/>
          </w:tcPr>
          <w:p>
            <w:pPr>
              <w:jc w:val="center"/>
              <w:ind w:left="430"/>
              <w:spacing w:after="0"/>
              <w:rPr>
                <w:sz w:val="20"/>
                <w:szCs w:val="20"/>
                <w:color w:val="auto"/>
              </w:rPr>
            </w:pPr>
            <w:r>
              <w:rPr>
                <w:rFonts w:ascii="Arial" w:cs="Arial" w:eastAsia="Arial" w:hAnsi="Arial"/>
                <w:sz w:val="18"/>
                <w:szCs w:val="18"/>
                <w:color w:val="auto"/>
                <w:w w:val="87"/>
              </w:rPr>
              <w:t>n/a</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(1,116)</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(1,116)</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14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July 2028</w:t>
            </w:r>
          </w:p>
        </w:tc>
        <w:tc>
          <w:tcPr>
            <w:tcW w:w="1000" w:type="dxa"/>
            <w:vAlign w:val="bottom"/>
            <w:gridSpan w:val="4"/>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July 2013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4"/>
            <w:vMerge w:val="continue"/>
            <w:shd w:val="clear" w:color="auto" w:fill="CCEEFF"/>
          </w:tcPr>
          <w:p>
            <w:pPr>
              <w:spacing w:after="0"/>
              <w:rPr>
                <w:sz w:val="10"/>
                <w:szCs w:val="10"/>
                <w:color w:val="auto"/>
              </w:rPr>
            </w:pPr>
          </w:p>
        </w:tc>
        <w:tc>
          <w:tcPr>
            <w:tcW w:w="100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LIBOR</w:t>
            </w:r>
          </w:p>
        </w:tc>
        <w:tc>
          <w:tcPr>
            <w:tcW w:w="1260" w:type="dxa"/>
            <w:vAlign w:val="bottom"/>
            <w:gridSpan w:val="3"/>
            <w:vMerge w:val="restart"/>
            <w:shd w:val="clear" w:color="auto" w:fill="CCEEFF"/>
          </w:tcPr>
          <w:p>
            <w:pPr>
              <w:ind w:left="700"/>
              <w:spacing w:after="0"/>
              <w:rPr>
                <w:sz w:val="20"/>
                <w:szCs w:val="20"/>
                <w:color w:val="auto"/>
              </w:rPr>
            </w:pPr>
            <w:r>
              <w:rPr>
                <w:rFonts w:ascii="Arial" w:cs="Arial" w:eastAsia="Arial" w:hAnsi="Arial"/>
                <w:sz w:val="18"/>
                <w:szCs w:val="18"/>
                <w:color w:val="auto"/>
              </w:rPr>
              <w:t>0.63%</w:t>
            </w:r>
          </w:p>
        </w:tc>
        <w:tc>
          <w:tcPr>
            <w:tcW w:w="40" w:type="dxa"/>
            <w:vAlign w:val="bottom"/>
            <w:shd w:val="clear" w:color="auto" w:fill="CCEEFF"/>
          </w:tcPr>
          <w:p>
            <w:pPr>
              <w:spacing w:after="0"/>
              <w:rPr>
                <w:sz w:val="10"/>
                <w:szCs w:val="10"/>
                <w:color w:val="auto"/>
              </w:rPr>
            </w:pPr>
          </w:p>
        </w:tc>
        <w:tc>
          <w:tcPr>
            <w:tcW w:w="12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40" w:type="dxa"/>
            <w:vAlign w:val="bottom"/>
            <w:shd w:val="clear" w:color="auto" w:fill="CCEEFF"/>
          </w:tcPr>
          <w:p>
            <w:pPr>
              <w:spacing w:after="0"/>
              <w:rPr>
                <w:sz w:val="10"/>
                <w:szCs w:val="10"/>
                <w:color w:val="auto"/>
              </w:rPr>
            </w:pPr>
          </w:p>
        </w:tc>
        <w:tc>
          <w:tcPr>
            <w:tcW w:w="1300" w:type="dxa"/>
            <w:vAlign w:val="bottom"/>
            <w:tcBorders>
              <w:right w:val="single" w:sz="8" w:color="CCEEFF"/>
            </w:tcBorders>
            <w:gridSpan w:val="3"/>
            <w:vMerge w:val="restart"/>
            <w:shd w:val="clear" w:color="auto" w:fill="CCEEFF"/>
          </w:tcPr>
          <w:p>
            <w:pPr>
              <w:jc w:val="center"/>
              <w:ind w:left="430"/>
              <w:spacing w:after="0"/>
              <w:rPr>
                <w:sz w:val="20"/>
                <w:szCs w:val="20"/>
                <w:color w:val="auto"/>
              </w:rPr>
            </w:pPr>
            <w:r>
              <w:rPr>
                <w:rFonts w:ascii="Arial" w:cs="Arial" w:eastAsia="Arial" w:hAnsi="Arial"/>
                <w:sz w:val="18"/>
                <w:szCs w:val="18"/>
                <w:color w:val="auto"/>
                <w:w w:val="87"/>
              </w:rPr>
              <w:t>n/a</w:t>
            </w:r>
          </w:p>
        </w:tc>
        <w:tc>
          <w:tcPr>
            <w:tcW w:w="80" w:type="dxa"/>
            <w:vAlign w:val="bottom"/>
            <w:shd w:val="clear" w:color="auto" w:fill="CCEEFF"/>
          </w:tcPr>
          <w:p>
            <w:pPr>
              <w:spacing w:after="0"/>
              <w:rPr>
                <w:sz w:val="10"/>
                <w:szCs w:val="10"/>
                <w:color w:val="auto"/>
              </w:rPr>
            </w:pPr>
          </w:p>
        </w:tc>
        <w:tc>
          <w:tcPr>
            <w:tcW w:w="11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gridSpan w:val="4"/>
            <w:vMerge w:val="continue"/>
            <w:shd w:val="clear" w:color="auto" w:fill="CCEEFF"/>
          </w:tcPr>
          <w:p>
            <w:pPr>
              <w:spacing w:after="0"/>
              <w:rPr>
                <w:sz w:val="9"/>
                <w:szCs w:val="9"/>
                <w:color w:val="auto"/>
              </w:rPr>
            </w:pPr>
          </w:p>
        </w:tc>
        <w:tc>
          <w:tcPr>
            <w:tcW w:w="126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300" w:type="dxa"/>
            <w:vAlign w:val="bottom"/>
            <w:tcBorders>
              <w:right w:val="single" w:sz="8" w:color="CCEEFF"/>
            </w:tcBorders>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tcBorders>
              <w:right w:val="single" w:sz="8" w:color="CCEEFF"/>
            </w:tcBorders>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July 2023</w:t>
            </w:r>
          </w:p>
        </w:tc>
        <w:tc>
          <w:tcPr>
            <w:tcW w:w="1000" w:type="dxa"/>
            <w:vAlign w:val="bottom"/>
            <w:gridSpan w:val="4"/>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8"/>
                <w:szCs w:val="18"/>
                <w:color w:val="auto"/>
              </w:rPr>
              <w:t>July 2013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00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LIBOR</w:t>
            </w:r>
          </w:p>
        </w:tc>
        <w:tc>
          <w:tcPr>
            <w:tcW w:w="1260" w:type="dxa"/>
            <w:vAlign w:val="bottom"/>
            <w:gridSpan w:val="3"/>
            <w:vMerge w:val="restart"/>
          </w:tcPr>
          <w:p>
            <w:pPr>
              <w:ind w:left="700"/>
              <w:spacing w:after="0"/>
              <w:rPr>
                <w:sz w:val="20"/>
                <w:szCs w:val="20"/>
                <w:color w:val="auto"/>
              </w:rPr>
            </w:pPr>
            <w:r>
              <w:rPr>
                <w:rFonts w:ascii="Arial" w:cs="Arial" w:eastAsia="Arial" w:hAnsi="Arial"/>
                <w:sz w:val="18"/>
                <w:szCs w:val="18"/>
                <w:color w:val="auto"/>
              </w:rPr>
              <w:t>0.63%</w:t>
            </w:r>
          </w:p>
        </w:tc>
        <w:tc>
          <w:tcPr>
            <w:tcW w:w="40" w:type="dxa"/>
            <w:vAlign w:val="bottom"/>
          </w:tcPr>
          <w:p>
            <w:pPr>
              <w:spacing w:after="0"/>
              <w:rPr>
                <w:sz w:val="10"/>
                <w:szCs w:val="10"/>
                <w:color w:val="auto"/>
              </w:rPr>
            </w:pPr>
          </w:p>
        </w:tc>
        <w:tc>
          <w:tcPr>
            <w:tcW w:w="12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2.77%</w:t>
            </w:r>
          </w:p>
        </w:tc>
        <w:tc>
          <w:tcPr>
            <w:tcW w:w="40" w:type="dxa"/>
            <w:vAlign w:val="bottom"/>
          </w:tcPr>
          <w:p>
            <w:pPr>
              <w:spacing w:after="0"/>
              <w:rPr>
                <w:sz w:val="10"/>
                <w:szCs w:val="10"/>
                <w:color w:val="auto"/>
              </w:rPr>
            </w:pPr>
          </w:p>
        </w:tc>
        <w:tc>
          <w:tcPr>
            <w:tcW w:w="1300" w:type="dxa"/>
            <w:vAlign w:val="bottom"/>
            <w:gridSpan w:val="3"/>
            <w:vMerge w:val="restart"/>
          </w:tcPr>
          <w:p>
            <w:pPr>
              <w:jc w:val="center"/>
              <w:ind w:left="430"/>
              <w:spacing w:after="0"/>
              <w:rPr>
                <w:sz w:val="20"/>
                <w:szCs w:val="20"/>
                <w:color w:val="auto"/>
              </w:rPr>
            </w:pPr>
            <w:r>
              <w:rPr>
                <w:rFonts w:ascii="Arial" w:cs="Arial" w:eastAsia="Arial" w:hAnsi="Arial"/>
                <w:sz w:val="18"/>
                <w:szCs w:val="18"/>
                <w:color w:val="auto"/>
                <w:w w:val="87"/>
              </w:rPr>
              <w:t>n/a</w:t>
            </w:r>
          </w:p>
        </w:tc>
        <w:tc>
          <w:tcPr>
            <w:tcW w:w="80" w:type="dxa"/>
            <w:vAlign w:val="bottom"/>
          </w:tcPr>
          <w:p>
            <w:pPr>
              <w:spacing w:after="0"/>
              <w:rPr>
                <w:sz w:val="10"/>
                <w:szCs w:val="10"/>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(486)</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tcPr>
          <w:p>
            <w:pPr>
              <w:jc w:val="right"/>
              <w:ind w:right="120"/>
              <w:spacing w:after="0" w:line="201" w:lineRule="exact"/>
              <w:rPr>
                <w:sz w:val="20"/>
                <w:szCs w:val="20"/>
                <w:color w:val="auto"/>
              </w:rPr>
            </w:pPr>
            <w:r>
              <w:rPr>
                <w:rFonts w:ascii="Arial" w:cs="Arial" w:eastAsia="Arial" w:hAnsi="Arial"/>
                <w:sz w:val="18"/>
                <w:szCs w:val="18"/>
                <w:color w:val="auto"/>
                <w:w w:val="99"/>
              </w:rPr>
              <w:t>September</w:t>
            </w:r>
          </w:p>
        </w:tc>
        <w:tc>
          <w:tcPr>
            <w:tcW w:w="1000" w:type="dxa"/>
            <w:vAlign w:val="bottom"/>
            <w:gridSpan w:val="4"/>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89"/>
              </w:rPr>
              <w:t>October 2014</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LIBOR</w:t>
            </w:r>
          </w:p>
        </w:tc>
        <w:tc>
          <w:tcPr>
            <w:tcW w:w="1300" w:type="dxa"/>
            <w:vAlign w:val="bottom"/>
            <w:gridSpan w:val="4"/>
          </w:tcPr>
          <w:p>
            <w:pPr>
              <w:ind w:left="800"/>
              <w:spacing w:after="0"/>
              <w:rPr>
                <w:sz w:val="20"/>
                <w:szCs w:val="20"/>
                <w:color w:val="auto"/>
              </w:rPr>
            </w:pPr>
            <w:r>
              <w:rPr>
                <w:rFonts w:ascii="Arial" w:cs="Arial" w:eastAsia="Arial" w:hAnsi="Arial"/>
                <w:sz w:val="18"/>
                <w:szCs w:val="18"/>
                <w:color w:val="auto"/>
              </w:rPr>
              <w:t>n/a</w:t>
            </w:r>
          </w:p>
        </w:tc>
        <w:tc>
          <w:tcPr>
            <w:tcW w:w="1280" w:type="dxa"/>
            <w:vAlign w:val="bottom"/>
            <w:gridSpan w:val="4"/>
          </w:tcPr>
          <w:p>
            <w:pPr>
              <w:jc w:val="center"/>
              <w:ind w:left="410"/>
              <w:spacing w:after="0"/>
              <w:rPr>
                <w:sz w:val="20"/>
                <w:szCs w:val="20"/>
                <w:color w:val="auto"/>
              </w:rPr>
            </w:pPr>
            <w:r>
              <w:rPr>
                <w:rFonts w:ascii="Arial" w:cs="Arial" w:eastAsia="Arial" w:hAnsi="Arial"/>
                <w:sz w:val="18"/>
                <w:szCs w:val="18"/>
                <w:color w:val="auto"/>
                <w:w w:val="87"/>
              </w:rPr>
              <w:t>n/a</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February</w:t>
            </w:r>
          </w:p>
        </w:tc>
        <w:tc>
          <w:tcPr>
            <w:tcW w:w="1000" w:type="dxa"/>
            <w:vAlign w:val="bottom"/>
            <w:gridSpan w:val="4"/>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 Mo.</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2015</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LIBOR</w:t>
            </w:r>
          </w:p>
        </w:tc>
        <w:tc>
          <w:tcPr>
            <w:tcW w:w="1300" w:type="dxa"/>
            <w:vAlign w:val="bottom"/>
            <w:gridSpan w:val="4"/>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280" w:type="dxa"/>
            <w:vAlign w:val="bottom"/>
            <w:gridSpan w:val="4"/>
            <w:shd w:val="clear" w:color="auto" w:fill="CCEEFF"/>
          </w:tcPr>
          <w:p>
            <w:pPr>
              <w:jc w:val="center"/>
              <w:ind w:left="410"/>
              <w:spacing w:after="0"/>
              <w:rPr>
                <w:sz w:val="20"/>
                <w:szCs w:val="20"/>
                <w:color w:val="auto"/>
              </w:rPr>
            </w:pPr>
            <w:r>
              <w:rPr>
                <w:rFonts w:ascii="Arial" w:cs="Arial" w:eastAsia="Arial" w:hAnsi="Arial"/>
                <w:sz w:val="18"/>
                <w:szCs w:val="18"/>
                <w:color w:val="auto"/>
                <w:w w:val="87"/>
              </w:rPr>
              <w:t>n/a</w:t>
            </w:r>
          </w:p>
        </w:tc>
        <w:tc>
          <w:tcPr>
            <w:tcW w:w="13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(2,386)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8"/>
            <w:vMerge w:val="restart"/>
          </w:tcPr>
          <w:p>
            <w:pPr>
              <w:ind w:left="980"/>
              <w:spacing w:after="0"/>
              <w:rPr>
                <w:sz w:val="20"/>
                <w:szCs w:val="20"/>
                <w:color w:val="auto"/>
              </w:rPr>
            </w:pPr>
            <w:r>
              <w:rPr>
                <w:rFonts w:ascii="Arial" w:cs="Arial" w:eastAsia="Arial" w:hAnsi="Arial"/>
                <w:sz w:val="18"/>
                <w:szCs w:val="18"/>
                <w:color w:val="auto"/>
              </w:rPr>
              <w:t>June 30, 2015</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8"/>
                <w:szCs w:val="18"/>
                <w:color w:val="auto"/>
              </w:rPr>
              <w:t>Notional</w:t>
            </w:r>
          </w:p>
        </w:tc>
        <w:tc>
          <w:tcPr>
            <w:tcW w:w="1000" w:type="dxa"/>
            <w:vAlign w:val="bottom"/>
            <w:gridSpan w:val="2"/>
            <w:vMerge w:val="restart"/>
          </w:tcPr>
          <w:p>
            <w:pPr>
              <w:ind w:left="120"/>
              <w:spacing w:after="0"/>
              <w:rPr>
                <w:sz w:val="20"/>
                <w:szCs w:val="20"/>
                <w:color w:val="auto"/>
              </w:rPr>
            </w:pPr>
            <w:r>
              <w:rPr>
                <w:rFonts w:ascii="Arial" w:cs="Arial" w:eastAsia="Arial" w:hAnsi="Arial"/>
                <w:sz w:val="18"/>
                <w:szCs w:val="18"/>
                <w:color w:val="auto"/>
              </w:rPr>
              <w:t>Inception</w:t>
            </w:r>
          </w:p>
        </w:tc>
        <w:tc>
          <w:tcPr>
            <w:tcW w:w="20" w:type="dxa"/>
            <w:vAlign w:val="bottom"/>
          </w:tcPr>
          <w:p>
            <w:pPr>
              <w:spacing w:after="0"/>
              <w:rPr>
                <w:sz w:val="16"/>
                <w:szCs w:val="16"/>
                <w:color w:val="auto"/>
              </w:rPr>
            </w:pPr>
          </w:p>
        </w:tc>
        <w:tc>
          <w:tcPr>
            <w:tcW w:w="1100" w:type="dxa"/>
            <w:vAlign w:val="bottom"/>
            <w:gridSpan w:val="5"/>
            <w:vMerge w:val="restart"/>
          </w:tcPr>
          <w:p>
            <w:pPr>
              <w:jc w:val="center"/>
              <w:ind w:right="180"/>
              <w:spacing w:after="0"/>
              <w:rPr>
                <w:sz w:val="20"/>
                <w:szCs w:val="20"/>
                <w:color w:val="auto"/>
              </w:rPr>
            </w:pPr>
            <w:r>
              <w:rPr>
                <w:rFonts w:ascii="Arial" w:cs="Arial" w:eastAsia="Arial" w:hAnsi="Arial"/>
                <w:sz w:val="18"/>
                <w:szCs w:val="18"/>
                <w:color w:val="auto"/>
                <w:w w:val="92"/>
              </w:rPr>
              <w:t>Termination</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4"/>
            <w:vMerge w:val="restart"/>
          </w:tcPr>
          <w:p>
            <w:pPr>
              <w:ind w:left="180"/>
              <w:spacing w:after="0"/>
              <w:rPr>
                <w:sz w:val="20"/>
                <w:szCs w:val="20"/>
                <w:color w:val="auto"/>
              </w:rPr>
            </w:pPr>
            <w:r>
              <w:rPr>
                <w:rFonts w:ascii="Arial" w:cs="Arial" w:eastAsia="Arial" w:hAnsi="Arial"/>
                <w:sz w:val="18"/>
                <w:szCs w:val="18"/>
                <w:color w:val="auto"/>
              </w:rPr>
              <w:t>Receive</w:t>
            </w:r>
          </w:p>
        </w:tc>
        <w:tc>
          <w:tcPr>
            <w:tcW w:w="1280" w:type="dxa"/>
            <w:vAlign w:val="bottom"/>
            <w:gridSpan w:val="4"/>
            <w:vMerge w:val="restart"/>
          </w:tcPr>
          <w:p>
            <w:pPr>
              <w:ind w:left="320"/>
              <w:spacing w:after="0"/>
              <w:rPr>
                <w:sz w:val="20"/>
                <w:szCs w:val="20"/>
                <w:color w:val="auto"/>
              </w:rPr>
            </w:pPr>
            <w:r>
              <w:rPr>
                <w:rFonts w:ascii="Arial" w:cs="Arial" w:eastAsia="Arial" w:hAnsi="Arial"/>
                <w:sz w:val="18"/>
                <w:szCs w:val="18"/>
                <w:color w:val="auto"/>
              </w:rPr>
              <w:t>Pay</w:t>
            </w:r>
          </w:p>
        </w:tc>
        <w:tc>
          <w:tcPr>
            <w:tcW w:w="1300" w:type="dxa"/>
            <w:vAlign w:val="bottom"/>
            <w:gridSpan w:val="3"/>
            <w:vMerge w:val="restart"/>
          </w:tcPr>
          <w:p>
            <w:pPr>
              <w:ind w:left="260"/>
              <w:spacing w:after="0"/>
              <w:rPr>
                <w:sz w:val="20"/>
                <w:szCs w:val="20"/>
                <w:color w:val="auto"/>
              </w:rPr>
            </w:pPr>
            <w:r>
              <w:rPr>
                <w:rFonts w:ascii="Arial" w:cs="Arial" w:eastAsia="Arial" w:hAnsi="Arial"/>
                <w:sz w:val="18"/>
                <w:szCs w:val="18"/>
                <w:color w:val="auto"/>
              </w:rPr>
              <w:t>Strike</w:t>
            </w:r>
          </w:p>
        </w:tc>
        <w:tc>
          <w:tcPr>
            <w:tcW w:w="80" w:type="dxa"/>
            <w:vAlign w:val="bottom"/>
          </w:tcPr>
          <w:p>
            <w:pPr>
              <w:spacing w:after="0"/>
              <w:rPr>
                <w:sz w:val="9"/>
                <w:szCs w:val="9"/>
                <w:color w:val="auto"/>
              </w:rPr>
            </w:pPr>
          </w:p>
        </w:tc>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4"/>
              </w:rPr>
              <w:t>Sheet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auto"/>
              </w:rPr>
              <w:t>Amount</w:t>
            </w:r>
          </w:p>
        </w:tc>
        <w:tc>
          <w:tcPr>
            <w:tcW w:w="1000" w:type="dxa"/>
            <w:vAlign w:val="bottom"/>
            <w:gridSpan w:val="2"/>
            <w:vMerge w:val="restart"/>
          </w:tcPr>
          <w:p>
            <w:pPr>
              <w:ind w:left="300"/>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restart"/>
          </w:tcPr>
          <w:p>
            <w:pPr>
              <w:jc w:val="center"/>
              <w:ind w:right="240"/>
              <w:spacing w:after="0"/>
              <w:rPr>
                <w:sz w:val="20"/>
                <w:szCs w:val="20"/>
                <w:color w:val="auto"/>
              </w:rPr>
            </w:pPr>
            <w:r>
              <w:rPr>
                <w:rFonts w:ascii="Arial" w:cs="Arial" w:eastAsia="Arial" w:hAnsi="Arial"/>
                <w:sz w:val="18"/>
                <w:szCs w:val="18"/>
                <w:color w:val="auto"/>
                <w:w w:val="89"/>
              </w:rPr>
              <w:t>Date</w:t>
            </w: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840" w:type="dxa"/>
            <w:vAlign w:val="bottom"/>
            <w:vMerge w:val="restart"/>
          </w:tcPr>
          <w:p>
            <w:pPr>
              <w:jc w:val="right"/>
              <w:ind w:right="150"/>
              <w:spacing w:after="0"/>
              <w:rPr>
                <w:sz w:val="20"/>
                <w:szCs w:val="20"/>
                <w:color w:val="auto"/>
              </w:rPr>
            </w:pPr>
            <w:r>
              <w:rPr>
                <w:rFonts w:ascii="Arial" w:cs="Arial" w:eastAsia="Arial" w:hAnsi="Arial"/>
                <w:sz w:val="18"/>
                <w:szCs w:val="18"/>
                <w:color w:val="auto"/>
              </w:rPr>
              <w:t>Index</w:t>
            </w:r>
          </w:p>
        </w:tc>
        <w:tc>
          <w:tcPr>
            <w:tcW w:w="120" w:type="dxa"/>
            <w:vAlign w:val="bottom"/>
            <w:gridSpan w:val="2"/>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980" w:type="dxa"/>
            <w:vAlign w:val="bottom"/>
            <w:vMerge w:val="restart"/>
          </w:tcPr>
          <w:p>
            <w:pPr>
              <w:ind w:left="300"/>
              <w:spacing w:after="0"/>
              <w:rPr>
                <w:sz w:val="20"/>
                <w:szCs w:val="20"/>
                <w:color w:val="auto"/>
              </w:rPr>
            </w:pPr>
            <w:r>
              <w:rPr>
                <w:rFonts w:ascii="Arial" w:cs="Arial" w:eastAsia="Arial" w:hAnsi="Arial"/>
                <w:sz w:val="18"/>
                <w:szCs w:val="18"/>
                <w:color w:val="auto"/>
              </w:rPr>
              <w:t>Rate</w:t>
            </w:r>
          </w:p>
        </w:tc>
        <w:tc>
          <w:tcPr>
            <w:tcW w:w="280" w:type="dxa"/>
            <w:vAlign w:val="bottom"/>
            <w:gridSpan w:val="2"/>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980" w:type="dxa"/>
            <w:vAlign w:val="bottom"/>
            <w:vMerge w:val="restart"/>
          </w:tcPr>
          <w:p>
            <w:pPr>
              <w:jc w:val="right"/>
              <w:ind w:right="270"/>
              <w:spacing w:after="0"/>
              <w:rPr>
                <w:sz w:val="20"/>
                <w:szCs w:val="20"/>
                <w:color w:val="auto"/>
              </w:rPr>
            </w:pPr>
            <w:r>
              <w:rPr>
                <w:rFonts w:ascii="Arial" w:cs="Arial" w:eastAsia="Arial" w:hAnsi="Arial"/>
                <w:sz w:val="18"/>
                <w:szCs w:val="18"/>
                <w:color w:val="auto"/>
              </w:rPr>
              <w:t>Rate</w:t>
            </w:r>
          </w:p>
        </w:tc>
        <w:tc>
          <w:tcPr>
            <w:tcW w:w="260" w:type="dxa"/>
            <w:vAlign w:val="bottom"/>
            <w:gridSpan w:val="2"/>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1000" w:type="dxa"/>
            <w:vAlign w:val="bottom"/>
            <w:vMerge w:val="restart"/>
          </w:tcPr>
          <w:p>
            <w:pPr>
              <w:ind w:left="320"/>
              <w:spacing w:after="0"/>
              <w:rPr>
                <w:sz w:val="20"/>
                <w:szCs w:val="20"/>
                <w:color w:val="auto"/>
              </w:rPr>
            </w:pPr>
            <w:r>
              <w:rPr>
                <w:rFonts w:ascii="Arial" w:cs="Arial" w:eastAsia="Arial" w:hAnsi="Arial"/>
                <w:sz w:val="18"/>
                <w:szCs w:val="18"/>
                <w:color w:val="auto"/>
              </w:rPr>
              <w:t>Rate</w:t>
            </w:r>
          </w:p>
        </w:tc>
        <w:tc>
          <w:tcPr>
            <w:tcW w:w="300" w:type="dxa"/>
            <w:vAlign w:val="bottom"/>
            <w:gridSpan w:val="2"/>
            <w:vMerge w:val="restart"/>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ind w:left="220"/>
              <w:spacing w:after="0"/>
              <w:rPr>
                <w:sz w:val="20"/>
                <w:szCs w:val="20"/>
                <w:color w:val="auto"/>
              </w:rPr>
            </w:pPr>
            <w:r>
              <w:rPr>
                <w:rFonts w:ascii="Arial" w:cs="Arial" w:eastAsia="Arial" w:hAnsi="Arial"/>
                <w:sz w:val="18"/>
                <w:szCs w:val="18"/>
                <w:color w:val="auto"/>
              </w:rPr>
              <w:t>Loss</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w w:val="90"/>
              </w:rPr>
              <w:t>Fair Value</w:t>
            </w:r>
          </w:p>
        </w:tc>
        <w:tc>
          <w:tcPr>
            <w:tcW w:w="100" w:type="dxa"/>
            <w:vAlign w:val="bottom"/>
            <w:vMerge w:val="restart"/>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40" w:type="dxa"/>
            <w:vAlign w:val="bottom"/>
            <w:tcBorders>
              <w:bottom w:val="single" w:sz="8" w:color="auto"/>
            </w:tcBorders>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0" w:type="dxa"/>
            <w:vAlign w:val="bottom"/>
            <w:tcBorders>
              <w:bottom w:val="single" w:sz="8" w:color="auto"/>
            </w:tcBorders>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40" w:type="dxa"/>
            <w:vAlign w:val="bottom"/>
            <w:tcBorders>
              <w:bottom w:val="single" w:sz="8" w:color="auto"/>
            </w:tcBorders>
            <w:vMerge w:val="continue"/>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80" w:type="dxa"/>
            <w:vAlign w:val="bottom"/>
            <w:gridSpan w:val="8"/>
          </w:tcPr>
          <w:p>
            <w:pPr>
              <w:ind w:left="680"/>
              <w:spacing w:after="0"/>
              <w:rPr>
                <w:sz w:val="20"/>
                <w:szCs w:val="20"/>
                <w:color w:val="auto"/>
              </w:rPr>
            </w:pPr>
            <w:r>
              <w:rPr>
                <w:rFonts w:ascii="Arial" w:cs="Arial" w:eastAsia="Arial" w:hAnsi="Arial"/>
                <w:sz w:val="18"/>
                <w:szCs w:val="18"/>
                <w:color w:val="auto"/>
              </w:rPr>
              <w:t>(Dollars in thousands)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July 2033</w:t>
            </w:r>
          </w:p>
        </w:tc>
        <w:tc>
          <w:tcPr>
            <w:tcW w:w="1000" w:type="dxa"/>
            <w:vAlign w:val="bottom"/>
            <w:gridSpan w:val="4"/>
          </w:tcPr>
          <w:p>
            <w:pPr>
              <w:jc w:val="right"/>
              <w:ind w:right="160"/>
              <w:spacing w:after="0" w:line="201" w:lineRule="exact"/>
              <w:rPr>
                <w:sz w:val="20"/>
                <w:szCs w:val="20"/>
                <w:color w:val="auto"/>
              </w:rPr>
            </w:pPr>
            <w:r>
              <w:rPr>
                <w:rFonts w:ascii="Arial" w:cs="Arial" w:eastAsia="Arial" w:hAnsi="Arial"/>
                <w:sz w:val="18"/>
                <w:szCs w:val="18"/>
                <w:color w:val="auto"/>
              </w:rPr>
              <w:t>3 Mo.</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LIBOR</w:t>
            </w:r>
          </w:p>
        </w:tc>
        <w:tc>
          <w:tcPr>
            <w:tcW w:w="1260" w:type="dxa"/>
            <w:vAlign w:val="bottom"/>
            <w:gridSpan w:val="3"/>
            <w:vMerge w:val="restart"/>
          </w:tcPr>
          <w:p>
            <w:pPr>
              <w:ind w:left="660"/>
              <w:spacing w:after="0"/>
              <w:rPr>
                <w:sz w:val="20"/>
                <w:szCs w:val="20"/>
                <w:color w:val="auto"/>
              </w:rPr>
            </w:pPr>
            <w:r>
              <w:rPr>
                <w:rFonts w:ascii="Arial" w:cs="Arial" w:eastAsia="Arial" w:hAnsi="Arial"/>
                <w:sz w:val="18"/>
                <w:szCs w:val="18"/>
                <w:color w:val="auto"/>
              </w:rPr>
              <w:t>0.28%</w:t>
            </w:r>
          </w:p>
        </w:tc>
        <w:tc>
          <w:tcPr>
            <w:tcW w:w="40" w:type="dxa"/>
            <w:vAlign w:val="bottom"/>
          </w:tcPr>
          <w:p>
            <w:pPr>
              <w:spacing w:after="0"/>
              <w:rPr>
                <w:sz w:val="10"/>
                <w:szCs w:val="10"/>
                <w:color w:val="auto"/>
              </w:rPr>
            </w:pPr>
          </w:p>
        </w:tc>
        <w:tc>
          <w:tcPr>
            <w:tcW w:w="1240" w:type="dxa"/>
            <w:vAlign w:val="bottom"/>
            <w:gridSpan w:val="3"/>
            <w:vMerge w:val="restart"/>
          </w:tcPr>
          <w:p>
            <w:pPr>
              <w:jc w:val="center"/>
              <w:ind w:left="450"/>
              <w:spacing w:after="0"/>
              <w:rPr>
                <w:sz w:val="20"/>
                <w:szCs w:val="20"/>
                <w:color w:val="auto"/>
              </w:rPr>
            </w:pPr>
            <w:r>
              <w:rPr>
                <w:rFonts w:ascii="Arial" w:cs="Arial" w:eastAsia="Arial" w:hAnsi="Arial"/>
                <w:sz w:val="18"/>
                <w:szCs w:val="18"/>
                <w:color w:val="auto"/>
                <w:w w:val="90"/>
              </w:rPr>
              <w:t>3.38%</w:t>
            </w:r>
          </w:p>
        </w:tc>
        <w:tc>
          <w:tcPr>
            <w:tcW w:w="40" w:type="dxa"/>
            <w:vAlign w:val="bottom"/>
          </w:tcPr>
          <w:p>
            <w:pPr>
              <w:spacing w:after="0"/>
              <w:rPr>
                <w:sz w:val="10"/>
                <w:szCs w:val="10"/>
                <w:color w:val="auto"/>
              </w:rPr>
            </w:pPr>
          </w:p>
        </w:tc>
        <w:tc>
          <w:tcPr>
            <w:tcW w:w="1300" w:type="dxa"/>
            <w:vAlign w:val="bottom"/>
            <w:gridSpan w:val="3"/>
            <w:vMerge w:val="restart"/>
          </w:tcPr>
          <w:p>
            <w:pPr>
              <w:ind w:left="780"/>
              <w:spacing w:after="0"/>
              <w:rPr>
                <w:sz w:val="20"/>
                <w:szCs w:val="20"/>
                <w:color w:val="auto"/>
              </w:rPr>
            </w:pPr>
            <w:r>
              <w:rPr>
                <w:rFonts w:ascii="Arial" w:cs="Arial" w:eastAsia="Arial" w:hAnsi="Arial"/>
                <w:sz w:val="18"/>
                <w:szCs w:val="18"/>
                <w:color w:val="auto"/>
              </w:rPr>
              <w:t>n/a</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(472)</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(472)</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14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July 2028</w:t>
            </w:r>
          </w:p>
        </w:tc>
        <w:tc>
          <w:tcPr>
            <w:tcW w:w="1000" w:type="dxa"/>
            <w:vAlign w:val="bottom"/>
            <w:gridSpan w:val="4"/>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 Mo.</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4"/>
            <w:vMerge w:val="continue"/>
            <w:shd w:val="clear" w:color="auto" w:fill="CCEEFF"/>
          </w:tcPr>
          <w:p>
            <w:pPr>
              <w:spacing w:after="0"/>
              <w:rPr>
                <w:sz w:val="10"/>
                <w:szCs w:val="10"/>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LIBOR</w:t>
            </w:r>
          </w:p>
        </w:tc>
        <w:tc>
          <w:tcPr>
            <w:tcW w:w="1260" w:type="dxa"/>
            <w:vAlign w:val="bottom"/>
            <w:gridSpan w:val="3"/>
            <w:vMerge w:val="restart"/>
            <w:shd w:val="clear" w:color="auto" w:fill="CCEEFF"/>
          </w:tcPr>
          <w:p>
            <w:pPr>
              <w:ind w:left="660"/>
              <w:spacing w:after="0"/>
              <w:rPr>
                <w:sz w:val="20"/>
                <w:szCs w:val="20"/>
                <w:color w:val="auto"/>
              </w:rPr>
            </w:pPr>
            <w:r>
              <w:rPr>
                <w:rFonts w:ascii="Arial" w:cs="Arial" w:eastAsia="Arial" w:hAnsi="Arial"/>
                <w:sz w:val="18"/>
                <w:szCs w:val="18"/>
                <w:color w:val="auto"/>
              </w:rPr>
              <w:t>0.28%</w:t>
            </w:r>
          </w:p>
        </w:tc>
        <w:tc>
          <w:tcPr>
            <w:tcW w:w="40" w:type="dxa"/>
            <w:vAlign w:val="bottom"/>
            <w:shd w:val="clear" w:color="auto" w:fill="CCEEFF"/>
          </w:tcPr>
          <w:p>
            <w:pPr>
              <w:spacing w:after="0"/>
              <w:rPr>
                <w:sz w:val="10"/>
                <w:szCs w:val="10"/>
                <w:color w:val="auto"/>
              </w:rPr>
            </w:pPr>
          </w:p>
        </w:tc>
        <w:tc>
          <w:tcPr>
            <w:tcW w:w="1240" w:type="dxa"/>
            <w:vAlign w:val="bottom"/>
            <w:gridSpan w:val="3"/>
            <w:vMerge w:val="restart"/>
            <w:shd w:val="clear" w:color="auto" w:fill="CCEEFF"/>
          </w:tcPr>
          <w:p>
            <w:pPr>
              <w:jc w:val="center"/>
              <w:ind w:left="450"/>
              <w:spacing w:after="0"/>
              <w:rPr>
                <w:sz w:val="20"/>
                <w:szCs w:val="20"/>
                <w:color w:val="auto"/>
              </w:rPr>
            </w:pPr>
            <w:r>
              <w:rPr>
                <w:rFonts w:ascii="Arial" w:cs="Arial" w:eastAsia="Arial" w:hAnsi="Arial"/>
                <w:sz w:val="18"/>
                <w:szCs w:val="18"/>
                <w:color w:val="auto"/>
                <w:w w:val="90"/>
              </w:rPr>
              <w:t>3.23%</w:t>
            </w:r>
          </w:p>
        </w:tc>
        <w:tc>
          <w:tcPr>
            <w:tcW w:w="40" w:type="dxa"/>
            <w:vAlign w:val="bottom"/>
            <w:shd w:val="clear" w:color="auto" w:fill="CCEEFF"/>
          </w:tcPr>
          <w:p>
            <w:pPr>
              <w:spacing w:after="0"/>
              <w:rPr>
                <w:sz w:val="10"/>
                <w:szCs w:val="10"/>
                <w:color w:val="auto"/>
              </w:rPr>
            </w:pPr>
          </w:p>
        </w:tc>
        <w:tc>
          <w:tcPr>
            <w:tcW w:w="1300" w:type="dxa"/>
            <w:vAlign w:val="bottom"/>
            <w:tcBorders>
              <w:right w:val="single" w:sz="8" w:color="CCEEFF"/>
            </w:tcBorders>
            <w:gridSpan w:val="3"/>
            <w:vMerge w:val="restart"/>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0"/>
                <w:szCs w:val="10"/>
                <w:color w:val="auto"/>
              </w:rPr>
            </w:pPr>
          </w:p>
        </w:tc>
        <w:tc>
          <w:tcPr>
            <w:tcW w:w="11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gridSpan w:val="4"/>
            <w:vMerge w:val="continue"/>
            <w:shd w:val="clear" w:color="auto" w:fill="CCEEFF"/>
          </w:tcPr>
          <w:p>
            <w:pPr>
              <w:spacing w:after="0"/>
              <w:rPr>
                <w:sz w:val="9"/>
                <w:szCs w:val="9"/>
                <w:color w:val="auto"/>
              </w:rPr>
            </w:pPr>
          </w:p>
        </w:tc>
        <w:tc>
          <w:tcPr>
            <w:tcW w:w="126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gridSpan w:val="3"/>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300" w:type="dxa"/>
            <w:vAlign w:val="bottom"/>
            <w:tcBorders>
              <w:right w:val="single" w:sz="8" w:color="CCEEFF"/>
            </w:tcBorders>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tcBorders>
              <w:right w:val="single" w:sz="8" w:color="CCEEFF"/>
            </w:tcBorders>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July 2023</w:t>
            </w:r>
          </w:p>
        </w:tc>
        <w:tc>
          <w:tcPr>
            <w:tcW w:w="1000" w:type="dxa"/>
            <w:vAlign w:val="bottom"/>
            <w:gridSpan w:val="4"/>
          </w:tcPr>
          <w:p>
            <w:pPr>
              <w:jc w:val="right"/>
              <w:ind w:right="160"/>
              <w:spacing w:after="0" w:line="201" w:lineRule="exact"/>
              <w:rPr>
                <w:sz w:val="20"/>
                <w:szCs w:val="20"/>
                <w:color w:val="auto"/>
              </w:rPr>
            </w:pPr>
            <w:r>
              <w:rPr>
                <w:rFonts w:ascii="Arial" w:cs="Arial" w:eastAsia="Arial" w:hAnsi="Arial"/>
                <w:sz w:val="18"/>
                <w:szCs w:val="18"/>
                <w:color w:val="auto"/>
              </w:rPr>
              <w:t>3 Mo.</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LIBOR</w:t>
            </w:r>
          </w:p>
        </w:tc>
        <w:tc>
          <w:tcPr>
            <w:tcW w:w="1260" w:type="dxa"/>
            <w:vAlign w:val="bottom"/>
            <w:gridSpan w:val="3"/>
            <w:vMerge w:val="restart"/>
          </w:tcPr>
          <w:p>
            <w:pPr>
              <w:ind w:left="660"/>
              <w:spacing w:after="0"/>
              <w:rPr>
                <w:sz w:val="20"/>
                <w:szCs w:val="20"/>
                <w:color w:val="auto"/>
              </w:rPr>
            </w:pPr>
            <w:r>
              <w:rPr>
                <w:rFonts w:ascii="Arial" w:cs="Arial" w:eastAsia="Arial" w:hAnsi="Arial"/>
                <w:sz w:val="18"/>
                <w:szCs w:val="18"/>
                <w:color w:val="auto"/>
              </w:rPr>
              <w:t>0.28%</w:t>
            </w:r>
          </w:p>
        </w:tc>
        <w:tc>
          <w:tcPr>
            <w:tcW w:w="40" w:type="dxa"/>
            <w:vAlign w:val="bottom"/>
          </w:tcPr>
          <w:p>
            <w:pPr>
              <w:spacing w:after="0"/>
              <w:rPr>
                <w:sz w:val="10"/>
                <w:szCs w:val="10"/>
                <w:color w:val="auto"/>
              </w:rPr>
            </w:pPr>
          </w:p>
        </w:tc>
        <w:tc>
          <w:tcPr>
            <w:tcW w:w="1240" w:type="dxa"/>
            <w:vAlign w:val="bottom"/>
            <w:gridSpan w:val="3"/>
            <w:vMerge w:val="restart"/>
          </w:tcPr>
          <w:p>
            <w:pPr>
              <w:jc w:val="center"/>
              <w:ind w:left="450"/>
              <w:spacing w:after="0"/>
              <w:rPr>
                <w:sz w:val="20"/>
                <w:szCs w:val="20"/>
                <w:color w:val="auto"/>
              </w:rPr>
            </w:pPr>
            <w:r>
              <w:rPr>
                <w:rFonts w:ascii="Arial" w:cs="Arial" w:eastAsia="Arial" w:hAnsi="Arial"/>
                <w:sz w:val="18"/>
                <w:szCs w:val="18"/>
                <w:color w:val="auto"/>
                <w:w w:val="90"/>
              </w:rPr>
              <w:t>2.77%</w:t>
            </w:r>
          </w:p>
        </w:tc>
        <w:tc>
          <w:tcPr>
            <w:tcW w:w="40" w:type="dxa"/>
            <w:vAlign w:val="bottom"/>
          </w:tcPr>
          <w:p>
            <w:pPr>
              <w:spacing w:after="0"/>
              <w:rPr>
                <w:sz w:val="10"/>
                <w:szCs w:val="10"/>
                <w:color w:val="auto"/>
              </w:rPr>
            </w:pPr>
          </w:p>
        </w:tc>
        <w:tc>
          <w:tcPr>
            <w:tcW w:w="1300" w:type="dxa"/>
            <w:vAlign w:val="bottom"/>
            <w:gridSpan w:val="3"/>
            <w:vMerge w:val="restart"/>
          </w:tcPr>
          <w:p>
            <w:pPr>
              <w:ind w:left="7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0"/>
                <w:szCs w:val="10"/>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(208)</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4"/>
          </w:tcPr>
          <w:p>
            <w:pPr>
              <w:jc w:val="right"/>
              <w:ind w:right="180"/>
              <w:spacing w:after="0" w:line="201" w:lineRule="exact"/>
              <w:rPr>
                <w:sz w:val="20"/>
                <w:szCs w:val="20"/>
                <w:color w:val="auto"/>
              </w:rPr>
            </w:pPr>
            <w:r>
              <w:rPr>
                <w:rFonts w:ascii="Arial" w:cs="Arial" w:eastAsia="Arial" w:hAnsi="Arial"/>
                <w:sz w:val="18"/>
                <w:szCs w:val="18"/>
                <w:color w:val="auto"/>
                <w:w w:val="93"/>
              </w:rPr>
              <w:t>September</w:t>
            </w:r>
          </w:p>
        </w:tc>
        <w:tc>
          <w:tcPr>
            <w:tcW w:w="1000" w:type="dxa"/>
            <w:vAlign w:val="bottom"/>
            <w:gridSpan w:val="4"/>
          </w:tcPr>
          <w:p>
            <w:pPr>
              <w:jc w:val="right"/>
              <w:ind w:right="160"/>
              <w:spacing w:after="0" w:line="201" w:lineRule="exact"/>
              <w:rPr>
                <w:sz w:val="20"/>
                <w:szCs w:val="20"/>
                <w:color w:val="auto"/>
              </w:rPr>
            </w:pPr>
            <w:r>
              <w:rPr>
                <w:rFonts w:ascii="Arial" w:cs="Arial" w:eastAsia="Arial" w:hAnsi="Arial"/>
                <w:sz w:val="18"/>
                <w:szCs w:val="18"/>
                <w:color w:val="auto"/>
              </w:rPr>
              <w:t>3 Mo.</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LIBOR</w:t>
            </w:r>
          </w:p>
        </w:tc>
        <w:tc>
          <w:tcPr>
            <w:tcW w:w="1300" w:type="dxa"/>
            <w:vAlign w:val="bottom"/>
            <w:gridSpan w:val="4"/>
          </w:tcPr>
          <w:p>
            <w:pPr>
              <w:ind w:left="760"/>
              <w:spacing w:after="0"/>
              <w:rPr>
                <w:sz w:val="20"/>
                <w:szCs w:val="20"/>
                <w:color w:val="auto"/>
              </w:rPr>
            </w:pPr>
            <w:r>
              <w:rPr>
                <w:rFonts w:ascii="Arial" w:cs="Arial" w:eastAsia="Arial" w:hAnsi="Arial"/>
                <w:sz w:val="18"/>
                <w:szCs w:val="18"/>
                <w:color w:val="auto"/>
              </w:rPr>
              <w:t>n/a</w:t>
            </w:r>
          </w:p>
        </w:tc>
        <w:tc>
          <w:tcPr>
            <w:tcW w:w="1280" w:type="dxa"/>
            <w:vAlign w:val="bottom"/>
            <w:gridSpan w:val="4"/>
          </w:tcPr>
          <w:p>
            <w:pPr>
              <w:ind w:left="760"/>
              <w:spacing w:after="0"/>
              <w:rPr>
                <w:sz w:val="20"/>
                <w:szCs w:val="20"/>
                <w:color w:val="auto"/>
              </w:rPr>
            </w:pPr>
            <w:r>
              <w:rPr>
                <w:rFonts w:ascii="Arial" w:cs="Arial" w:eastAsia="Arial" w:hAnsi="Arial"/>
                <w:sz w:val="18"/>
                <w:szCs w:val="18"/>
                <w:color w:val="auto"/>
              </w:rPr>
              <w:t>n/a</w:t>
            </w:r>
          </w:p>
        </w:tc>
        <w:tc>
          <w:tcPr>
            <w:tcW w:w="1300" w:type="dxa"/>
            <w:vAlign w:val="bottom"/>
            <w:gridSpan w:val="3"/>
          </w:tcPr>
          <w:p>
            <w:pPr>
              <w:jc w:val="center"/>
              <w:ind w:left="430"/>
              <w:spacing w:after="0"/>
              <w:rPr>
                <w:sz w:val="20"/>
                <w:szCs w:val="20"/>
                <w:color w:val="auto"/>
              </w:rPr>
            </w:pPr>
            <w:r>
              <w:rPr>
                <w:rFonts w:ascii="Arial" w:cs="Arial" w:eastAsia="Arial" w:hAnsi="Arial"/>
                <w:sz w:val="18"/>
                <w:szCs w:val="18"/>
                <w:color w:val="auto"/>
                <w:w w:val="90"/>
              </w:rPr>
              <w:t>2.50%</w:t>
            </w: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February</w:t>
            </w:r>
          </w:p>
        </w:tc>
        <w:tc>
          <w:tcPr>
            <w:tcW w:w="1000" w:type="dxa"/>
            <w:vAlign w:val="bottom"/>
            <w:gridSpan w:val="4"/>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 Mo.</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LIBOR</w:t>
            </w:r>
          </w:p>
        </w:tc>
        <w:tc>
          <w:tcPr>
            <w:tcW w:w="1300" w:type="dxa"/>
            <w:vAlign w:val="bottom"/>
            <w:gridSpan w:val="4"/>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1280" w:type="dxa"/>
            <w:vAlign w:val="bottom"/>
            <w:gridSpan w:val="4"/>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1300" w:type="dxa"/>
            <w:vAlign w:val="bottom"/>
            <w:tcBorders>
              <w:right w:val="single" w:sz="8" w:color="CCEEFF"/>
            </w:tcBorders>
            <w:gridSpan w:val="3"/>
            <w:shd w:val="clear" w:color="auto" w:fill="CCEEFF"/>
          </w:tcPr>
          <w:p>
            <w:pPr>
              <w:jc w:val="center"/>
              <w:ind w:left="430"/>
              <w:spacing w:after="0"/>
              <w:rPr>
                <w:sz w:val="20"/>
                <w:szCs w:val="20"/>
                <w:color w:val="auto"/>
              </w:rPr>
            </w:pPr>
            <w:r>
              <w:rPr>
                <w:rFonts w:ascii="Arial" w:cs="Arial" w:eastAsia="Arial" w:hAnsi="Arial"/>
                <w:sz w:val="18"/>
                <w:szCs w:val="18"/>
                <w:color w:val="auto"/>
                <w:w w:val="90"/>
              </w:rPr>
              <w:t>2.50%</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(849)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three and nine months ended March 31, 2016 and 2015, no interest rate cap or swap agreements were terminated prior to maturity. Changes in the fair value of interest rate caps and swaps designated as hedging instruments of the variability of cash flows associated with variable rate debt are reported in</w:t>
      </w:r>
    </w:p>
    <w:p>
      <w:pPr>
        <w:sectPr>
          <w:pgSz w:w="11900" w:h="16867" w:orient="portrait"/>
          <w:cols w:equalWidth="0" w:num="1">
            <w:col w:w="11420"/>
          </w:cols>
          <w:pgMar w:left="240" w:top="118" w:right="239" w:bottom="0" w:gutter="0" w:footer="0" w:header="0"/>
        </w:sectPr>
      </w:pPr>
    </w:p>
    <w:bookmarkStart w:id="24" w:name="page25"/>
    <w:bookmarkEnd w:id="24"/>
    <w:p>
      <w:pPr>
        <w:spacing w:after="0" w:line="264" w:lineRule="auto"/>
        <w:rPr>
          <w:sz w:val="20"/>
          <w:szCs w:val="20"/>
          <w:color w:val="auto"/>
        </w:rPr>
      </w:pPr>
      <w:r>
        <w:rPr>
          <w:rFonts w:ascii="Arial" w:cs="Arial" w:eastAsia="Arial" w:hAnsi="Arial"/>
          <w:sz w:val="18"/>
          <w:szCs w:val="18"/>
          <w:color w:val="auto"/>
        </w:rPr>
        <w:t>other comprehensive income. These amounts subsequently are reclassified into interest expense as a yield adjustment in the same period in which the related interest on the debt affects earnings. Risk management results for the three and nine months ended March 31, 2016 and 2015 related to the balance sheet hedging of variable rate debt indicates that the hedges were effective.</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9. Other Comprehensive Income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20" w:type="dxa"/>
            <w:vAlign w:val="bottom"/>
            <w:gridSpan w:val="12"/>
          </w:tcPr>
          <w:p>
            <w:pPr>
              <w:spacing w:after="0"/>
              <w:rPr>
                <w:sz w:val="20"/>
                <w:szCs w:val="20"/>
                <w:color w:val="auto"/>
              </w:rPr>
            </w:pPr>
            <w:r>
              <w:rPr>
                <w:rFonts w:ascii="Arial" w:cs="Arial" w:eastAsia="Arial" w:hAnsi="Arial"/>
                <w:sz w:val="18"/>
                <w:szCs w:val="18"/>
                <w:color w:val="auto"/>
              </w:rPr>
              <w:t>The components of other comprehensive income (loss) are as follows: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1"/>
          </w:tcPr>
          <w:p>
            <w:pPr>
              <w:jc w:val="center"/>
              <w:ind w:right="300"/>
              <w:spacing w:after="0"/>
              <w:rPr>
                <w:sz w:val="20"/>
                <w:szCs w:val="20"/>
                <w:color w:val="auto"/>
              </w:rPr>
            </w:pPr>
            <w:r>
              <w:rPr>
                <w:rFonts w:ascii="Arial" w:cs="Arial" w:eastAsia="Arial" w:hAnsi="Arial"/>
                <w:sz w:val="18"/>
                <w:szCs w:val="18"/>
                <w:color w:val="auto"/>
                <w:w w:val="91"/>
              </w:rPr>
              <w:t>Three Months Ended March 31,</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89"/>
              </w:rPr>
              <w:t>2015</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32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Tax Expense</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6"/>
          </w:tcPr>
          <w:p>
            <w:pPr>
              <w:jc w:val="center"/>
              <w:ind w:right="22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180" w:type="dxa"/>
            <w:vAlign w:val="bottom"/>
            <w:gridSpan w:val="4"/>
          </w:tcPr>
          <w:p>
            <w:pPr>
              <w:jc w:val="center"/>
              <w:ind w:right="22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1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(Benefit)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00" w:type="dxa"/>
            <w:vAlign w:val="bottom"/>
            <w:gridSpan w:val="9"/>
          </w:tcPr>
          <w:p>
            <w:pPr>
              <w:jc w:val="center"/>
              <w:ind w:right="50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accumulated loss on effective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1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0"/>
                <w:szCs w:val="20"/>
                <w:color w:val="auto"/>
              </w:rPr>
            </w:pP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7"/>
              </w:rPr>
              <w:t>Reclassification adjustment for net gains</w:t>
            </w:r>
          </w:p>
        </w:tc>
        <w:tc>
          <w:tcPr>
            <w:tcW w:w="180" w:type="dxa"/>
            <w:vAlign w:val="bottom"/>
          </w:tcPr>
          <w:p>
            <w:pPr>
              <w:spacing w:after="0"/>
              <w:rPr>
                <w:sz w:val="17"/>
                <w:szCs w:val="17"/>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18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included in net income</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4"/>
          </w:tcPr>
          <w:p>
            <w:pPr>
              <w:spacing w:after="0"/>
              <w:rPr>
                <w:sz w:val="20"/>
                <w:szCs w:val="20"/>
                <w:color w:val="auto"/>
              </w:rPr>
            </w:pPr>
            <w:r>
              <w:rPr>
                <w:rFonts w:ascii="Arial" w:cs="Arial" w:eastAsia="Arial" w:hAnsi="Arial"/>
                <w:sz w:val="18"/>
                <w:szCs w:val="18"/>
                <w:color w:val="auto"/>
              </w:rPr>
              <w:t>Total other comprehensive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(115)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(71)</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1"/>
          </w:tcPr>
          <w:p>
            <w:pPr>
              <w:jc w:val="center"/>
              <w:ind w:right="300"/>
              <w:spacing w:after="0"/>
              <w:rPr>
                <w:sz w:val="20"/>
                <w:szCs w:val="20"/>
                <w:color w:val="auto"/>
              </w:rPr>
            </w:pPr>
            <w:r>
              <w:rPr>
                <w:rFonts w:ascii="Arial" w:cs="Arial" w:eastAsia="Arial" w:hAnsi="Arial"/>
                <w:sz w:val="18"/>
                <w:szCs w:val="18"/>
                <w:color w:val="auto"/>
                <w:w w:val="92"/>
              </w:rPr>
              <w:t>Nine Months Ended March 31,</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89"/>
              </w:rPr>
              <w:t>2015</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center"/>
              <w:ind w:right="32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Tax Expense</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6"/>
          </w:tcPr>
          <w:p>
            <w:pPr>
              <w:jc w:val="center"/>
              <w:ind w:right="220"/>
              <w:spacing w:after="0" w:line="195" w:lineRule="exact"/>
              <w:rPr>
                <w:sz w:val="20"/>
                <w:szCs w:val="20"/>
                <w:color w:val="auto"/>
              </w:rPr>
            </w:pPr>
            <w:r>
              <w:rPr>
                <w:rFonts w:ascii="Arial" w:cs="Arial" w:eastAsia="Arial" w:hAnsi="Arial"/>
                <w:sz w:val="18"/>
                <w:szCs w:val="18"/>
                <w:color w:val="auto"/>
                <w:w w:val="89"/>
              </w:rPr>
              <w:t>Pre-tax</w:t>
            </w:r>
          </w:p>
        </w:tc>
        <w:tc>
          <w:tcPr>
            <w:tcW w:w="100" w:type="dxa"/>
            <w:vAlign w:val="bottom"/>
          </w:tcPr>
          <w:p>
            <w:pPr>
              <w:spacing w:after="0"/>
              <w:rPr>
                <w:sz w:val="16"/>
                <w:szCs w:val="16"/>
                <w:color w:val="auto"/>
              </w:rPr>
            </w:pPr>
          </w:p>
        </w:tc>
        <w:tc>
          <w:tcPr>
            <w:tcW w:w="1180" w:type="dxa"/>
            <w:vAlign w:val="bottom"/>
            <w:gridSpan w:val="4"/>
          </w:tcPr>
          <w:p>
            <w:pPr>
              <w:jc w:val="center"/>
              <w:ind w:right="22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1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(Benefit)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00" w:type="dxa"/>
            <w:vAlign w:val="bottom"/>
            <w:gridSpan w:val="9"/>
          </w:tcPr>
          <w:p>
            <w:pPr>
              <w:jc w:val="center"/>
              <w:ind w:right="50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accumulated loss on effective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1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20"/>
                <w:szCs w:val="20"/>
                <w:color w:val="auto"/>
              </w:rPr>
            </w:pP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7"/>
              </w:rPr>
              <w:t>Reclassification adjustment for net gains</w:t>
            </w:r>
          </w:p>
        </w:tc>
        <w:tc>
          <w:tcPr>
            <w:tcW w:w="180" w:type="dxa"/>
            <w:vAlign w:val="bottom"/>
          </w:tcPr>
          <w:p>
            <w:pPr>
              <w:spacing w:after="0"/>
              <w:rPr>
                <w:sz w:val="17"/>
                <w:szCs w:val="17"/>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118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included in net income</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4"/>
          </w:tcPr>
          <w:p>
            <w:pPr>
              <w:spacing w:after="0"/>
              <w:rPr>
                <w:sz w:val="20"/>
                <w:szCs w:val="20"/>
                <w:color w:val="auto"/>
              </w:rPr>
            </w:pPr>
            <w:r>
              <w:rPr>
                <w:rFonts w:ascii="Arial" w:cs="Arial" w:eastAsia="Arial" w:hAnsi="Arial"/>
                <w:sz w:val="18"/>
                <w:szCs w:val="18"/>
                <w:color w:val="auto"/>
              </w:rPr>
              <w:t>Total other comprehensive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(895)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(555)</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(556)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(191)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120" w:type="dxa"/>
            <w:vAlign w:val="bottom"/>
            <w:gridSpan w:val="12"/>
          </w:tcPr>
          <w:p>
            <w:pPr>
              <w:spacing w:after="0"/>
              <w:rPr>
                <w:sz w:val="20"/>
                <w:szCs w:val="20"/>
                <w:color w:val="auto"/>
              </w:rPr>
            </w:pPr>
            <w:r>
              <w:rPr>
                <w:rFonts w:ascii="Arial" w:cs="Arial" w:eastAsia="Arial" w:hAnsi="Arial"/>
                <w:sz w:val="18"/>
                <w:szCs w:val="18"/>
                <w:color w:val="auto"/>
              </w:rPr>
              <w:t>Accumulated other comprehensive loss is comprised of the following:</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rPr>
              <w:t>March 31, 2016</w:t>
            </w: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June 30, 2015</w:t>
            </w:r>
          </w:p>
        </w:tc>
        <w:tc>
          <w:tcPr>
            <w:tcW w:w="4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00" w:type="dxa"/>
            <w:vAlign w:val="bottom"/>
            <w:gridSpan w:val="9"/>
          </w:tcPr>
          <w:p>
            <w:pPr>
              <w:jc w:val="right"/>
              <w:ind w:right="60"/>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Unrealized loss on available-for-sale securities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620" w:type="dxa"/>
            <w:vAlign w:val="bottom"/>
            <w:gridSpan w:val="2"/>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Tax effect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Net-of-tax amount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Unrealized loss on cash flow hedges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(2,778)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Net-of-tax amount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(1,722)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(1,843)</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7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standby letters of credit, and commitments to fund investments.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 2016</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June 30, 2015</w:t>
            </w:r>
          </w:p>
        </w:tc>
        <w:tc>
          <w:tcPr>
            <w:tcW w:w="100" w:type="dxa"/>
            <w:vAlign w:val="bottom"/>
          </w:tcPr>
          <w:p>
            <w:pPr>
              <w:spacing w:after="0"/>
              <w:rPr>
                <w:sz w:val="24"/>
                <w:szCs w:val="24"/>
                <w:color w:val="auto"/>
              </w:rPr>
            </w:pPr>
          </w:p>
        </w:tc>
      </w:tr>
      <w:tr>
        <w:trPr>
          <w:trHeight w:val="210"/>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40" w:type="dxa"/>
            <w:vAlign w:val="bottom"/>
            <w:gridSpan w:val="5"/>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32,395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1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61,341</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39,414</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Commitment to fund investment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$51 thousand and $37 thousand recorded in other liabilities at March 31, 2016 and June 30, 2015, respectively.</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committed $2.5 million to a fund that acquires CRA qualified investments in loans for the Company’s portfolio. The Fund Manager will call the funds from the Company when an investment is successfully acquired. Through the three and nine months ended March 31, 2016, the fund has not called any funds from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382"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38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00" w:lineRule="exact"/>
        <w:rPr>
          <w:sz w:val="20"/>
          <w:szCs w:val="20"/>
          <w:color w:val="auto"/>
        </w:rPr>
      </w:pPr>
    </w:p>
    <w:p>
      <w:pPr>
        <w:spacing w:after="0" w:line="24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Transfers</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40"/>
        <w:spacing w:after="0" w:line="264" w:lineRule="auto"/>
        <w:rPr>
          <w:sz w:val="20"/>
          <w:szCs w:val="20"/>
          <w:color w:val="auto"/>
        </w:rPr>
      </w:pPr>
      <w:r>
        <w:rPr>
          <w:rFonts w:ascii="Arial" w:cs="Arial" w:eastAsia="Arial" w:hAnsi="Arial"/>
          <w:sz w:val="18"/>
          <w:szCs w:val="18"/>
          <w:color w:val="auto"/>
        </w:rPr>
        <w:t>Other investments are measured at fair value using the net asset value per share as a practical expedient. The fund seeks to invest in securities either issued or guaranteed by the U.S. government or its agencies. The Company’s investment can be redeemed daily at the closing net asset value per share. In accordance with ASC 820-10, the investment has not been included in the fair value hierarchy.</w:t>
      </w:r>
    </w:p>
    <w:p>
      <w:pPr>
        <w:spacing w:after="0" w:line="181" w:lineRule="exact"/>
        <w:rPr>
          <w:sz w:val="20"/>
          <w:szCs w:val="20"/>
          <w:color w:val="auto"/>
        </w:rPr>
      </w:pPr>
    </w:p>
    <w:p>
      <w:pPr>
        <w:ind w:left="500" w:right="120"/>
        <w:spacing w:after="0" w:line="27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The valuation of the Company’s interest rate swaps and caps are determined using widely accepted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389" w:lineRule="exact"/>
        <w:rPr>
          <w:sz w:val="20"/>
          <w:szCs w:val="20"/>
          <w:color w:val="auto"/>
        </w:rPr>
      </w:pPr>
    </w:p>
    <w:p>
      <w:pPr>
        <w:jc w:val="both"/>
        <w:ind w:left="500" w:right="3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40"/>
        <w:spacing w:after="0" w:line="342" w:lineRule="auto"/>
        <w:rPr>
          <w:sz w:val="20"/>
          <w:szCs w:val="20"/>
          <w:color w:val="auto"/>
        </w:rPr>
      </w:pPr>
      <w:r>
        <w:rPr>
          <w:rFonts w:ascii="Arial" w:cs="Arial" w:eastAsia="Arial" w:hAnsi="Arial"/>
          <w:sz w:val="16"/>
          <w:szCs w:val="16"/>
          <w:i w:val="1"/>
          <w:iCs w:val="1"/>
          <w:color w:val="auto"/>
        </w:rPr>
        <w:t xml:space="preserve">Collateral Dependent Impaired Loans </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34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i w:val="1"/>
          <w:iCs w:val="1"/>
          <w:color w:val="auto"/>
        </w:rPr>
        <w:t xml:space="preserve">Loan servicing rights - </w:t>
      </w:r>
      <w:r>
        <w:rPr>
          <w:rFonts w:ascii="Arial" w:cs="Arial" w:eastAsia="Arial" w:hAnsi="Arial"/>
          <w:sz w:val="18"/>
          <w:szCs w:val="18"/>
          <w:color w:val="auto"/>
        </w:rPr>
        <w:t>The fair value of the SBA and mortgage servicing rights is based on a valuation model that calculates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future net 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FHLB overnight deposits approximates their relative</w:t>
      </w:r>
      <w:r>
        <w:rPr>
          <w:rFonts w:ascii="Arial" w:cs="Arial" w:eastAsia="Arial" w:hAnsi="Arial"/>
          <w:sz w:val="18"/>
          <w:szCs w:val="18"/>
          <w:i w:val="1"/>
          <w:iCs w:val="1"/>
          <w:color w:val="auto"/>
        </w:rPr>
        <w:t xml:space="preserve"> </w:t>
      </w:r>
      <w:r>
        <w:rPr>
          <w:rFonts w:ascii="Arial" w:cs="Arial" w:eastAsia="Arial" w:hAnsi="Arial"/>
          <w:sz w:val="18"/>
          <w:szCs w:val="18"/>
          <w:color w:val="auto"/>
        </w:rPr>
        <w:t>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 stock </w:t>
      </w:r>
      <w:r>
        <w:rPr>
          <w:rFonts w:ascii="Arial" w:cs="Arial" w:eastAsia="Arial" w:hAnsi="Arial"/>
          <w:sz w:val="18"/>
          <w:szCs w:val="18"/>
          <w:color w:val="auto"/>
        </w:rPr>
        <w:t>- The carrying value of FHLB stock approximates fair value based on redemption provisions of the FHLB.</w:t>
      </w:r>
    </w:p>
    <w:p>
      <w:pPr>
        <w:spacing w:after="0" w:line="225" w:lineRule="exact"/>
        <w:rPr>
          <w:sz w:val="20"/>
          <w:szCs w:val="20"/>
          <w:color w:val="auto"/>
        </w:rPr>
      </w:pPr>
    </w:p>
    <w:p>
      <w:pPr>
        <w:ind w:left="500" w:right="44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w:t>
      </w:r>
    </w:p>
    <w:p>
      <w:pPr>
        <w:spacing w:after="0" w:line="181"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ind w:left="500" w:right="180"/>
        <w:spacing w:after="0" w:line="259"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 The fair value of the Company’s borrowings with the FHLB is estimated by discounting the cash flows through maturity or the next 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87"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8"/>
                <w:szCs w:val="18"/>
                <w:color w:val="auto"/>
                <w:w w:val="91"/>
              </w:rPr>
              <w:t>March 31, 2016</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center"/>
              <w:ind w:right="4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240" w:type="dxa"/>
            <w:vAlign w:val="bottom"/>
            <w:tcBorders>
              <w:bottom w:val="single" w:sz="8" w:color="CCEEFF"/>
            </w:tcBorders>
            <w:gridSpan w:val="2"/>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39,503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45,890</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45,890</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39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2,447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7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8"/>
                <w:szCs w:val="18"/>
                <w:color w:val="auto"/>
                <w:w w:val="87"/>
              </w:rPr>
              <w:t>June 30, 2015</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center"/>
              <w:ind w:right="420"/>
              <w:spacing w:after="0"/>
              <w:rPr>
                <w:sz w:val="20"/>
                <w:szCs w:val="20"/>
                <w:color w:val="auto"/>
              </w:rPr>
            </w:pPr>
            <w:r>
              <w:rPr>
                <w:rFonts w:ascii="Arial" w:cs="Arial" w:eastAsia="Arial" w:hAnsi="Arial"/>
                <w:sz w:val="18"/>
                <w:szCs w:val="18"/>
                <w:color w:val="auto"/>
                <w:w w:val="91"/>
              </w:rPr>
              <w:t>(Dollars in thousands)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240" w:type="dxa"/>
            <w:vAlign w:val="bottom"/>
            <w:tcBorders>
              <w:bottom w:val="single" w:sz="8" w:color="CCEEFF"/>
            </w:tcBorders>
            <w:gridSpan w:val="2"/>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48,230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48,230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53,678</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53,678</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39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1,048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left="660" w:right="600" w:hanging="328"/>
        <w:spacing w:after="0" w:line="209" w:lineRule="auto"/>
        <w:tabs>
          <w:tab w:leader="none" w:pos="6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In accordance with ASC 820-10, certain investments that are measured at fair value using the net asset value per share (or its equivalent) as a practical expedient have not been classified in the fair value hierarchy. The fair value amounts presented in the table are intended to permit reconciliation of the fair value amount to the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91"/>
              </w:rPr>
              <w:t>March 31, 2016</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left="9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1,527</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Real estate owned and other repossessed collateral</w:t>
            </w:r>
          </w:p>
        </w:tc>
        <w:tc>
          <w:tcPr>
            <w:tcW w:w="8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690</w:t>
            </w: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690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1,629</w:t>
            </w: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1,629</w:t>
            </w:r>
          </w:p>
        </w:tc>
      </w:tr>
      <w:tr>
        <w:trPr>
          <w:trHeight w:val="486"/>
        </w:trPr>
        <w:tc>
          <w:tcPr>
            <w:tcW w:w="40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89"/>
              </w:rPr>
              <w:t>June 30, 2015</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left="9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932</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6"/>
              </w:rPr>
              <w:t>Real estate owned and other repossessed collateral</w:t>
            </w:r>
          </w:p>
        </w:tc>
        <w:tc>
          <w:tcPr>
            <w:tcW w:w="8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1,651</w:t>
            </w: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1,651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1,123</w:t>
            </w: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w:t>
            </w:r>
          </w:p>
        </w:tc>
      </w:tr>
    </w:tbl>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Fair Value</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195"/>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350"/>
              <w:spacing w:after="0" w:line="195" w:lineRule="exact"/>
              <w:rPr>
                <w:sz w:val="20"/>
                <w:szCs w:val="20"/>
                <w:color w:val="auto"/>
              </w:rPr>
            </w:pPr>
            <w:r>
              <w:rPr>
                <w:rFonts w:ascii="Arial" w:cs="Arial" w:eastAsia="Arial" w:hAnsi="Arial"/>
                <w:sz w:val="18"/>
                <w:szCs w:val="18"/>
                <w:color w:val="auto"/>
                <w:w w:val="95"/>
              </w:rPr>
              <w:t>June 30,</w:t>
            </w:r>
          </w:p>
        </w:tc>
        <w:tc>
          <w:tcPr>
            <w:tcW w:w="1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30"/>
        </w:trPr>
        <w:tc>
          <w:tcPr>
            <w:tcW w:w="4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r>
      <w:tr>
        <w:trPr>
          <w:trHeight w:val="210"/>
        </w:trPr>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6"/>
          </w:tcPr>
          <w:p>
            <w:pPr>
              <w:jc w:val="right"/>
              <w:ind w:right="920"/>
              <w:spacing w:after="0"/>
              <w:rPr>
                <w:sz w:val="20"/>
                <w:szCs w:val="20"/>
                <w:color w:val="auto"/>
              </w:rPr>
            </w:pPr>
            <w:r>
              <w:rPr>
                <w:rFonts w:ascii="Arial" w:cs="Arial" w:eastAsia="Arial" w:hAnsi="Arial"/>
                <w:sz w:val="18"/>
                <w:szCs w:val="18"/>
                <w:color w:val="auto"/>
              </w:rPr>
              <w:t>(Dollars in thousands)</w:t>
            </w:r>
          </w:p>
        </w:tc>
        <w:tc>
          <w:tcPr>
            <w:tcW w:w="33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c>
          <w:tcPr>
            <w:tcW w:w="338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Appraisal of collateral</w:t>
            </w:r>
            <w:r>
              <w:rPr>
                <w:rFonts w:ascii="Arial" w:cs="Arial" w:eastAsia="Arial" w:hAnsi="Arial"/>
                <w:sz w:val="25"/>
                <w:szCs w:val="25"/>
                <w:color w:val="auto"/>
                <w:vertAlign w:val="superscript"/>
              </w:rPr>
              <w:t>(1)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1,651</w:t>
            </w:r>
          </w:p>
        </w:tc>
        <w:tc>
          <w:tcPr>
            <w:tcW w:w="3380" w:type="dxa"/>
            <w:vAlign w:val="bottom"/>
          </w:tcPr>
          <w:p>
            <w:pPr>
              <w:jc w:val="center"/>
              <w:spacing w:after="0" w:line="216" w:lineRule="exact"/>
              <w:rPr>
                <w:sz w:val="20"/>
                <w:szCs w:val="20"/>
                <w:color w:val="auto"/>
              </w:rPr>
            </w:pPr>
            <w:r>
              <w:rPr>
                <w:rFonts w:ascii="Arial" w:cs="Arial" w:eastAsia="Arial" w:hAnsi="Arial"/>
                <w:sz w:val="16"/>
                <w:szCs w:val="16"/>
                <w:color w:val="auto"/>
              </w:rPr>
              <w:t>Appraisal of collateral</w:t>
            </w:r>
            <w:r>
              <w:rPr>
                <w:rFonts w:ascii="Arial" w:cs="Arial" w:eastAsia="Arial" w:hAnsi="Arial"/>
                <w:sz w:val="25"/>
                <w:szCs w:val="25"/>
                <w:color w:val="auto"/>
                <w:vertAlign w:val="superscript"/>
              </w:rPr>
              <w:t>(1)</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w:t>
            </w:r>
          </w:p>
        </w:tc>
        <w:tc>
          <w:tcPr>
            <w:tcW w:w="338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Discounted cash flow</w:t>
            </w:r>
            <w:r>
              <w:rPr>
                <w:rFonts w:ascii="Arial" w:cs="Arial" w:eastAsia="Arial" w:hAnsi="Arial"/>
                <w:sz w:val="25"/>
                <w:szCs w:val="25"/>
                <w:color w:val="auto"/>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3% to 56%.</w:t>
      </w:r>
    </w:p>
    <w:p>
      <w:pPr>
        <w:ind w:right="300"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7.3% to 18.1%. For discount rates, the range was 7.0% to 12.9%.</w:t>
      </w:r>
    </w:p>
    <w:p>
      <w:pPr>
        <w:sectPr>
          <w:pgSz w:w="11900" w:h="16838" w:orient="portrait"/>
          <w:cols w:equalWidth="0" w:num="1">
            <w:col w:w="11420"/>
          </w:cols>
          <w:pgMar w:left="240" w:top="118" w:right="239" w:bottom="100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000" w:gutter="0" w:footer="0" w:header="0"/>
          <w:type w:val="continuous"/>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color w:val="auto"/>
              </w:rPr>
              <w:t>Fair Value Measurements at March 31, 2016</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91,452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91,452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91,452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85,393</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85,393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5,355</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1,722</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752,949</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753,511</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753,511</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 advances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30,103</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2,753</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8,771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8"/>
                <w:szCs w:val="18"/>
                <w:color w:val="auto"/>
              </w:rPr>
              <w:t>Fair Value Measurements at June 30, 2015</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89,850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89,850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89,850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101,908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line="216" w:lineRule="exact"/>
              <w:rPr>
                <w:sz w:val="20"/>
                <w:szCs w:val="20"/>
                <w:color w:val="auto"/>
              </w:rPr>
            </w:pPr>
            <w:r>
              <w:rPr>
                <w:rFonts w:ascii="Arial" w:cs="Arial" w:eastAsia="Arial" w:hAnsi="Arial"/>
                <w:sz w:val="16"/>
                <w:szCs w:val="16"/>
                <w:color w:val="auto"/>
              </w:rPr>
              <w:t>Other investments measured at net asset value</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9,035</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610,211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674,759</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675,285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675,285</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 advances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30,188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30,867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Wholesale repurchase agreements</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10,037</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10,098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60" w:right="20" w:hanging="328"/>
        <w:spacing w:after="0" w:line="209" w:lineRule="auto"/>
        <w:tabs>
          <w:tab w:leader="none" w:pos="66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In accordance with ASC 820-10, certain investments that are measured at fair value using the net asset value per share (or its equivalent) as a practical expedient have not been classified in the fair value hierarchy. The fair value amounts presented in the table are intended to permit reconciliation of the fair value amount to the consolidated financial statements.</w:t>
      </w: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118" w:right="81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2015,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of compromises or breaches of the company's security systems;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2015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(the “Bureau”) and the FDIC.</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an amendment to exclude owner-occupied commercial real estate loans from the commitment to hold commercial real estate loans to within 300% of total risk-based capital. All other commitments made to the Federal Reserve in connection with the merger remain unchanged. The Company and the Bank are currently in compliance with all commitments to the Federal Reserve. The Company’s compliance ratios at March 31, 2016 follow: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Ratios as of</w:t>
            </w:r>
          </w:p>
        </w:tc>
      </w:tr>
      <w:tr>
        <w:trPr>
          <w:trHeight w:val="230"/>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Condition</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March 31, 2016</w:t>
            </w:r>
          </w:p>
        </w:tc>
        <w:tc>
          <w:tcPr>
            <w:tcW w:w="180" w:type="dxa"/>
            <w:vAlign w:val="bottom"/>
          </w:tcPr>
          <w:p>
            <w:pPr>
              <w:spacing w:after="0"/>
              <w:rPr>
                <w:sz w:val="20"/>
                <w:szCs w:val="20"/>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capital ratio</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13.57%</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(ii) Total capital ratio</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17.79%</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 including loans held for sale</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33.17%</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93.48%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(v) Ratio of commercial real estate loans to total risk-based capital (2)</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217.09%</w:t>
            </w:r>
          </w:p>
        </w:tc>
      </w:tr>
    </w:tbl>
    <w:p>
      <w:pPr>
        <w:spacing w:after="0" w:line="25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maturity deposits less than $250 thousand</w:t>
      </w:r>
    </w:p>
    <w:p>
      <w:pPr>
        <w:spacing w:after="0" w:line="23" w:lineRule="exact"/>
        <w:rPr>
          <w:rFonts w:ascii="Arial" w:cs="Arial" w:eastAsia="Arial" w:hAnsi="Arial"/>
          <w:sz w:val="18"/>
          <w:szCs w:val="18"/>
          <w:color w:val="auto"/>
        </w:rPr>
      </w:pPr>
    </w:p>
    <w:p>
      <w:pPr>
        <w:ind w:left="340" w:right="100" w:hanging="332"/>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ectPr>
          <w:pgSz w:w="11900" w:h="16838" w:orient="portrait"/>
          <w:cols w:equalWidth="0" w:num="1">
            <w:col w:w="11420"/>
          </w:cols>
          <w:pgMar w:left="240" w:top="118" w:right="239" w:bottom="447"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447" w:gutter="0" w:footer="0" w:header="0"/>
          <w:type w:val="continuous"/>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March 31, 2016, the Company, on a consolidated basis, had total assets of $922.7 million, total deposits of $752.9 million, and shareholders’ equity of $114.5 million. The Company gathers retail deposits through its banking offices in Maine and the Bank's online affinity deposit program, ableBanking; originates loans through the Bank’s Community Banking Division; originates Small Business Administration (“SBA”) loans through the Bank’s SBA National group (“SBA Division”); and purchases and originates commercial loans through the Bank’s Loan Acquisition and Servicing Group (“LASG”). The Community Banking Division, with ten full-service branches and two loan production offices, operates from the Bank’s headquarters in Lewiston, Maine. LASG, ableBanking, and the SBA Division operate from the Company's offices in Boston, Massachusetts.</w:t>
      </w:r>
    </w:p>
    <w:p>
      <w:pPr>
        <w:spacing w:after="0" w:line="178" w:lineRule="exact"/>
        <w:rPr>
          <w:sz w:val="20"/>
          <w:szCs w:val="20"/>
          <w:color w:val="auto"/>
        </w:rPr>
      </w:pPr>
    </w:p>
    <w:p>
      <w:pPr>
        <w:ind w:right="1860"/>
        <w:spacing w:after="0" w:line="277" w:lineRule="auto"/>
        <w:rPr>
          <w:sz w:val="20"/>
          <w:szCs w:val="20"/>
          <w:color w:val="auto"/>
        </w:rPr>
      </w:pPr>
      <w:r>
        <w:rPr>
          <w:rFonts w:ascii="Arial" w:cs="Arial" w:eastAsia="Arial" w:hAnsi="Arial"/>
          <w:sz w:val="18"/>
          <w:szCs w:val="18"/>
          <w:color w:val="auto"/>
        </w:rPr>
        <w:t xml:space="preserve">Unless the context otherwise requires, references herein to the Company include the Company and the Bank on a consolidated basis. </w:t>
      </w:r>
      <w:r>
        <w:rPr>
          <w:rFonts w:ascii="Arial" w:cs="Arial" w:eastAsia="Arial" w:hAnsi="Arial"/>
          <w:sz w:val="18"/>
          <w:szCs w:val="18"/>
          <w:i w:val="1"/>
          <w:iCs w:val="1"/>
          <w:u w:val="single" w:color="auto"/>
          <w:color w:val="auto"/>
        </w:rPr>
        <w:t>Strategy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Growing LASG’s national originated and purchased loan business. </w:t>
      </w:r>
      <w:r>
        <w:rPr>
          <w:rFonts w:ascii="Arial" w:cs="Arial" w:eastAsia="Arial" w:hAnsi="Arial"/>
          <w:sz w:val="18"/>
          <w:szCs w:val="18"/>
          <w:color w:val="auto"/>
        </w:rPr>
        <w:t>We purchase commercial real estate loans nationally, at prices that on average have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produced yields significantly higher than those available on our originated loan portfolio. We also originate loans nationally, taking advantage of our core expertise in underwriting and servicing national credits.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2015 to gain a better understanding of how Northeast’s financial performance is measured and reported. There has been no material change in critical accounting policies during the three and nine months ended March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income was $1.8 million, or $0.19 per diluted common share, for the quarter ended March 31, 2016, compared to $1.8 million, or $0.18 per diluted common share, for the quarter ended March 31, 2015.</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income was $5.4 million, or $0.57 per diluted common share, for the nine months ended March 31, 2016, compared to $5.0 million, or $0.50 per diluted common share, for the nine months ended March 31, 2015.</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Net interest and dividend income before provision increased by $134 thousand, or 1.5%, to $9.3 million for the quarter ended March 31, 2016 compared to the quarter ended March 31, 2015. The increase is primarily due to higher average loan volume in the purchased and originated loan portfolio.</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Noninterest income increased by $481 thousand for the quarter ended March 31, 2016, compared to the quarter ended March 31, 2015, principally due to an increase in gains realized on sale of portfolio loans. The recent quarter includes gains realized on sale of SBA loans of $1.2 million, compared to $425 thousand in the quarter ended March 31, 2015. The gain is offset by a decrease of $411 thousand in gains recognized on real estate owned and other repossessed collateral.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Noninterest expense increased by $527 thousand for the quarter ended March 31, 2016, compared to the quarter ended March 31, 2015, primarily due to an increase in salaries and employee benefits of $530 thousand, due to increased employee headcount.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assets increased by $72.0 million, or 8.5%, to $922.7 million at March 31, 2016, compared to June 30, 2015. The principal components of the change in the balance sheet were as follows:</w:t>
      </w:r>
    </w:p>
    <w:p>
      <w:pPr>
        <w:spacing w:after="0" w:line="170" w:lineRule="exact"/>
        <w:rPr>
          <w:sz w:val="20"/>
          <w:szCs w:val="20"/>
          <w:color w:val="auto"/>
        </w:rPr>
      </w:pPr>
    </w:p>
    <w:p>
      <w:pPr>
        <w:ind w:left="660" w:right="180" w:hanging="328"/>
        <w:spacing w:after="0" w:line="27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loan portfolio – excluding loans held for sale – has grown by $86.9 million, or 14.2%, compared to June 30, 2015, principally on the strength of $82.9 million of net growth in commercial loans purchased or originated by LASG, net growth of $11.7 million in originations by the SBA Division and net growth of $7.5 million in commercial originations by the Bank’s Community Banking Division. This net growth was offset by a $15.2 million decrease in the Bank’s Community Banking Division residential and consumer loan portfolio.</w:t>
      </w:r>
    </w:p>
    <w:p>
      <w:pPr>
        <w:spacing w:after="0" w:line="171" w:lineRule="exact"/>
        <w:rPr>
          <w:rFonts w:ascii="Arial" w:cs="Arial" w:eastAsia="Arial" w:hAnsi="Arial"/>
          <w:sz w:val="17"/>
          <w:szCs w:val="17"/>
          <w:color w:val="auto"/>
        </w:rPr>
      </w:pPr>
    </w:p>
    <w:p>
      <w:pPr>
        <w:ind w:left="660" w:right="160"/>
        <w:spacing w:after="0" w:line="276" w:lineRule="auto"/>
        <w:rPr>
          <w:rFonts w:ascii="Arial" w:cs="Arial" w:eastAsia="Arial" w:hAnsi="Arial"/>
          <w:sz w:val="17"/>
          <w:szCs w:val="17"/>
          <w:color w:val="auto"/>
        </w:rPr>
      </w:pPr>
      <w:r>
        <w:rPr>
          <w:rFonts w:ascii="Arial" w:cs="Arial" w:eastAsia="Arial" w:hAnsi="Arial"/>
          <w:sz w:val="17"/>
          <w:szCs w:val="17"/>
          <w:color w:val="auto"/>
        </w:rPr>
        <w:t>Loans generated by LASG totaled $49.8 million for the quarter ended March 31, 2016. The growth in LASG loans consisted of $21.9 million of purchased loans, at an average price of 89.9% of unpaid principal balance, and $27.8 million of originated loans. SBA loans closed during the quarter totaled $10.4 million, of which $10.3 million were fully funded in the quarter. In addition, the Company sold $11.9 million of the guaranteed portion of SBA loans in the secondary market, of which $4.9 million were originated in the current quarter and $7.0 million were originated in prior quarters. Residential loan production sold in the secondary market totaled $19.7 million for the quarter.</w:t>
      </w:r>
    </w:p>
    <w:p>
      <w:pPr>
        <w:spacing w:after="0" w:line="173" w:lineRule="exact"/>
        <w:rPr>
          <w:sz w:val="20"/>
          <w:szCs w:val="20"/>
          <w:color w:val="auto"/>
        </w:rPr>
      </w:pPr>
    </w:p>
    <w:p>
      <w:pPr>
        <w:ind w:left="660" w:right="400"/>
        <w:spacing w:after="0" w:line="264" w:lineRule="auto"/>
        <w:rPr>
          <w:sz w:val="20"/>
          <w:szCs w:val="20"/>
          <w:color w:val="auto"/>
        </w:rPr>
      </w:pPr>
      <w:r>
        <w:rPr>
          <w:rFonts w:ascii="Arial" w:cs="Arial" w:eastAsia="Arial" w:hAnsi="Arial"/>
          <w:sz w:val="18"/>
          <w:szCs w:val="18"/>
          <w:color w:val="auto"/>
        </w:rPr>
        <w:t>As noted above in the “</w:t>
      </w:r>
      <w:r>
        <w:rPr>
          <w:rFonts w:ascii="Arial" w:cs="Arial" w:eastAsia="Arial" w:hAnsi="Arial"/>
          <w:sz w:val="18"/>
          <w:szCs w:val="18"/>
          <w:i w:val="1"/>
          <w:iCs w:val="1"/>
          <w:color w:val="auto"/>
        </w:rPr>
        <w:t>Business Overview</w:t>
      </w:r>
      <w:r>
        <w:rPr>
          <w:rFonts w:ascii="Arial" w:cs="Arial" w:eastAsia="Arial" w:hAnsi="Arial"/>
          <w:sz w:val="18"/>
          <w:szCs w:val="18"/>
          <w:color w:val="auto"/>
        </w:rPr>
        <w:t>” section, the Company made certain commitments to the Board of Governors of the Federal Reserve System in connection with the merger of FHB Formation LLC with and into the Company in December 2010. The Company’s loan purchase and commercial real estate loan availability under these conditions follow.</w:t>
      </w:r>
    </w:p>
    <w:p>
      <w:pPr>
        <w:spacing w:after="0" w:line="181"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Basis for</w:t>
            </w:r>
          </w:p>
        </w:tc>
        <w:tc>
          <w:tcPr>
            <w:tcW w:w="1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Availability at</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Regulatory Condition</w:t>
            </w:r>
          </w:p>
        </w:tc>
        <w:tc>
          <w:tcPr>
            <w:tcW w:w="1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Condition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March 31, 2016</w:t>
            </w:r>
          </w:p>
        </w:tc>
      </w:tr>
      <w:tr>
        <w:trPr>
          <w:trHeight w:val="210"/>
        </w:trPr>
        <w:tc>
          <w:tcPr>
            <w:tcW w:w="2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loans may not exceed 40% of total loans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Regulatory Capital</w:t>
            </w:r>
          </w:p>
        </w:tc>
        <w:tc>
          <w:tcPr>
            <w:tcW w:w="1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w w:val="95"/>
              </w:rPr>
              <w:t>Non-owner occupied commercial real estate loans may not exceed 300% of total capital</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r>
    </w:tbl>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overview of the LASG portfolio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color w:val="auto"/>
                <w:w w:val="97"/>
              </w:rPr>
              <w:t>LASG Portfolio</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0"/>
              </w:rPr>
              <w:t>Three Months Ended March 31,</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2016</w:t>
            </w: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2015</w:t>
            </w: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6"/>
              </w:rPr>
              <w:t>Secured</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86"/>
              </w:rPr>
              <w:t>Secured</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89"/>
              </w:rPr>
              <w:t>Loans to</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89"/>
              </w:rPr>
              <w:t>Loans to</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1"/>
              </w:rPr>
              <w:t>Broker-</w:t>
            </w:r>
          </w:p>
        </w:tc>
        <w:tc>
          <w:tcPr>
            <w:tcW w:w="340" w:type="dxa"/>
            <w:vAlign w:val="bottom"/>
          </w:tcPr>
          <w:p>
            <w:pPr>
              <w:spacing w:after="0"/>
              <w:rPr>
                <w:sz w:val="18"/>
                <w:szCs w:val="18"/>
                <w:color w:val="auto"/>
              </w:rPr>
            </w:pPr>
          </w:p>
        </w:tc>
        <w:tc>
          <w:tcPr>
            <w:tcW w:w="880" w:type="dxa"/>
            <w:vAlign w:val="bottom"/>
            <w:gridSpan w:val="2"/>
          </w:tcPr>
          <w:p>
            <w:pPr>
              <w:jc w:val="center"/>
              <w:ind w:right="190"/>
              <w:spacing w:after="0"/>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1"/>
              </w:rPr>
              <w:t>Broker-</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w w:val="90"/>
              </w:rPr>
              <w:t>Purchased</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Originated</w:t>
            </w:r>
          </w:p>
        </w:tc>
        <w:tc>
          <w:tcPr>
            <w:tcW w:w="240" w:type="dxa"/>
            <w:vAlign w:val="bottom"/>
          </w:tcPr>
          <w:p>
            <w:pPr>
              <w:spacing w:after="0"/>
              <w:rPr>
                <w:sz w:val="20"/>
                <w:szCs w:val="20"/>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87"/>
              </w:rPr>
              <w:t>Dealers</w:t>
            </w:r>
          </w:p>
        </w:tc>
        <w:tc>
          <w:tcPr>
            <w:tcW w:w="340" w:type="dxa"/>
            <w:vAlign w:val="bottom"/>
          </w:tcPr>
          <w:p>
            <w:pPr>
              <w:spacing w:after="0"/>
              <w:rPr>
                <w:sz w:val="20"/>
                <w:szCs w:val="20"/>
                <w:color w:val="auto"/>
              </w:rPr>
            </w:pPr>
          </w:p>
        </w:tc>
        <w:tc>
          <w:tcPr>
            <w:tcW w:w="880" w:type="dxa"/>
            <w:vAlign w:val="bottom"/>
            <w:gridSpan w:val="2"/>
          </w:tcPr>
          <w:p>
            <w:pPr>
              <w:jc w:val="center"/>
              <w:ind w:right="190"/>
              <w:spacing w:after="0"/>
              <w:rPr>
                <w:sz w:val="20"/>
                <w:szCs w:val="20"/>
                <w:color w:val="auto"/>
              </w:rPr>
            </w:pPr>
            <w:r>
              <w:rPr>
                <w:rFonts w:ascii="Arial" w:cs="Arial" w:eastAsia="Arial" w:hAnsi="Arial"/>
                <w:sz w:val="18"/>
                <w:szCs w:val="18"/>
                <w:color w:val="auto"/>
                <w:w w:val="99"/>
              </w:rPr>
              <w:t>LASG</w:t>
            </w:r>
          </w:p>
        </w:tc>
        <w:tc>
          <w:tcPr>
            <w:tcW w:w="120" w:type="dxa"/>
            <w:vAlign w:val="bottom"/>
          </w:tcPr>
          <w:p>
            <w:pPr>
              <w:spacing w:after="0"/>
              <w:rPr>
                <w:sz w:val="20"/>
                <w:szCs w:val="20"/>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w w:val="92"/>
              </w:rPr>
              <w:t>Purchased</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Originated</w:t>
            </w:r>
          </w:p>
        </w:tc>
        <w:tc>
          <w:tcPr>
            <w:tcW w:w="240" w:type="dxa"/>
            <w:vAlign w:val="bottom"/>
          </w:tcPr>
          <w:p>
            <w:pPr>
              <w:spacing w:after="0"/>
              <w:rPr>
                <w:sz w:val="20"/>
                <w:szCs w:val="20"/>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87"/>
              </w:rPr>
              <w:t>Dealers</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Total LASG</w:t>
            </w:r>
          </w:p>
        </w:tc>
      </w:tr>
      <w:tr>
        <w:trPr>
          <w:trHeight w:val="210"/>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5"/>
              </w:rPr>
              <w:t>originated during the period:</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w w:val="99"/>
              </w:rPr>
              <w:t>Unpaid principal balance</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24,400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27,846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52,246</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5,484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18,760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12,000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36,244</w:t>
            </w: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basis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21,934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27,846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49,780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8"/>
              </w:rPr>
              <w:t>5,063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18,697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12,000</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35,760</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Loan returns during the</w:t>
            </w: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Yield</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9.88%</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5.83%</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7.15%</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12.87%</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5.67%</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0.46%</w:t>
            </w:r>
          </w:p>
        </w:tc>
        <w:tc>
          <w:tcPr>
            <w:tcW w:w="820" w:type="dxa"/>
            <w:vAlign w:val="bottom"/>
          </w:tcPr>
          <w:p>
            <w:pPr>
              <w:jc w:val="right"/>
              <w:spacing w:after="0"/>
              <w:rPr>
                <w:sz w:val="20"/>
                <w:szCs w:val="20"/>
                <w:color w:val="auto"/>
              </w:rPr>
            </w:pPr>
            <w:r>
              <w:rPr>
                <w:rFonts w:ascii="Arial" w:cs="Arial" w:eastAsia="Arial" w:hAnsi="Arial"/>
                <w:sz w:val="18"/>
                <w:szCs w:val="18"/>
                <w:color w:val="auto"/>
              </w:rPr>
              <w:t>9.37%</w:t>
            </w:r>
          </w:p>
        </w:tc>
        <w:tc>
          <w:tcPr>
            <w:tcW w:w="40" w:type="dxa"/>
            <w:vAlign w:val="bottom"/>
          </w:tcPr>
          <w:p>
            <w:pPr>
              <w:spacing w:after="0"/>
              <w:rPr>
                <w:sz w:val="18"/>
                <w:szCs w:val="18"/>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Return (1)</w:t>
            </w:r>
          </w:p>
        </w:tc>
        <w:tc>
          <w:tcPr>
            <w:tcW w:w="1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9.88%</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7.15%</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13.60%</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5.67%</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0.46%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40" w:type="dxa"/>
            <w:vAlign w:val="bottom"/>
          </w:tcPr>
          <w:p>
            <w:pPr>
              <w:spacing w:after="0"/>
              <w:rPr>
                <w:sz w:val="18"/>
                <w:szCs w:val="18"/>
                <w:color w:val="auto"/>
              </w:rPr>
            </w:pPr>
          </w:p>
        </w:tc>
      </w:tr>
      <w:tr>
        <w:trPr>
          <w:trHeight w:val="675"/>
        </w:trPr>
        <w:tc>
          <w:tcPr>
            <w:tcW w:w="2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jc w:val="right"/>
              <w:ind w:right="1170"/>
              <w:spacing w:after="0"/>
              <w:rPr>
                <w:sz w:val="20"/>
                <w:szCs w:val="20"/>
                <w:color w:val="auto"/>
              </w:rPr>
            </w:pPr>
            <w:r>
              <w:rPr>
                <w:rFonts w:ascii="Arial" w:cs="Arial" w:eastAsia="Arial" w:hAnsi="Arial"/>
                <w:sz w:val="18"/>
                <w:szCs w:val="18"/>
                <w:color w:val="auto"/>
                <w:w w:val="79"/>
              </w:rPr>
              <w:t>32</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2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22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520"/>
          </w:cols>
          <w:pgMar w:left="240" w:top="118" w:right="1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color w:val="auto"/>
                <w:w w:val="92"/>
              </w:rPr>
              <w:t>Nine Months Ended March 31,</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Secured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Secured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Loans to</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Loans to</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Broker-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Broker-</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Purchased</w:t>
            </w:r>
          </w:p>
        </w:tc>
        <w:tc>
          <w:tcPr>
            <w:tcW w:w="60" w:type="dxa"/>
            <w:vAlign w:val="bottom"/>
          </w:tcPr>
          <w:p>
            <w:pPr>
              <w:spacing w:after="0"/>
              <w:rPr>
                <w:sz w:val="20"/>
                <w:szCs w:val="20"/>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Originated</w:t>
            </w:r>
          </w:p>
        </w:tc>
        <w:tc>
          <w:tcPr>
            <w:tcW w:w="10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Dealers</w:t>
            </w:r>
          </w:p>
        </w:tc>
        <w:tc>
          <w:tcPr>
            <w:tcW w:w="10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Total LASG</w:t>
            </w:r>
          </w:p>
        </w:tc>
        <w:tc>
          <w:tcPr>
            <w:tcW w:w="6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Purchased</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w w:val="96"/>
              </w:rPr>
              <w:t>Originated</w:t>
            </w:r>
          </w:p>
        </w:tc>
        <w:tc>
          <w:tcPr>
            <w:tcW w:w="12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Dealers</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Total LASG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4"/>
              </w:rPr>
              <w:t>originated during the period:</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w w:val="99"/>
              </w:rPr>
              <w:t>Unpaid principal balance</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88,128</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78,752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166,880</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67,909</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50,315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166,224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81,245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78,752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159,997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57,896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50,236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 returns during the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Yield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11.54%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3"/>
              </w:rPr>
              <w:t>Total loans as of period end: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Unpaid principal balance</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266,223</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496,308</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234,672</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Net investment basis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233,650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170,085</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463,735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195,683</w:t>
            </w:r>
          </w:p>
        </w:tc>
        <w:tc>
          <w:tcPr>
            <w:tcW w:w="2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92,414</w:t>
            </w: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60,000</w:t>
            </w: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348,097</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 w:firstLine="8"/>
        <w:spacing w:after="0" w:line="26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 The total return does not include the effect of purchased loan charge-offs or recoveries in the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Short-term Investments and Securities</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Cash and short-term investments were $91.5 million as of March 31, 2016, an increase of $1.6 million, or 1.8%, from $89.9 million at June 30, 2015. The increase is primarily due to the increase in loans and deposits in the period, offset by the maturity of available-for-sale securities.</w:t>
      </w:r>
    </w:p>
    <w:p>
      <w:pPr>
        <w:spacing w:after="0" w:line="14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Available-for-sale securities totaled $90.5 million as of March 31, 2016, compared to $101.9 million as of June 30, 2015, representing a decrease of $11.4 million, or 11.2% due to the maturity of securities issued by government agencies. Included in available-for-sale securities are securities issued by government agencies and government-sponsored enterprises, as well as an investment of approximately $5.0 million in a CRA qualified fund that seeks to invest in securities either issued or guaranteed by the U.S. government or its agencies. At March 31, 2016, no securities were pledged for outstanding borrowings.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2"/>
              </w:rPr>
              <w:t>March 31, 2016</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4"/>
              </w:rPr>
              <w:t>Community</w:t>
            </w:r>
          </w:p>
        </w:tc>
        <w:tc>
          <w:tcPr>
            <w:tcW w:w="300" w:type="dxa"/>
            <w:vAlign w:val="bottom"/>
          </w:tcPr>
          <w:p>
            <w:pPr>
              <w:spacing w:after="0"/>
              <w:rPr>
                <w:sz w:val="16"/>
                <w:szCs w:val="16"/>
                <w:color w:val="auto"/>
              </w:rPr>
            </w:pPr>
          </w:p>
        </w:tc>
        <w:tc>
          <w:tcPr>
            <w:tcW w:w="1240" w:type="dxa"/>
            <w:vAlign w:val="bottom"/>
            <w:vMerge w:val="restart"/>
          </w:tcPr>
          <w:p>
            <w:pPr>
              <w:jc w:val="right"/>
              <w:ind w:right="470"/>
              <w:spacing w:after="0"/>
              <w:rPr>
                <w:sz w:val="20"/>
                <w:szCs w:val="20"/>
                <w:color w:val="auto"/>
              </w:rPr>
            </w:pPr>
            <w:r>
              <w:rPr>
                <w:rFonts w:ascii="Arial" w:cs="Arial" w:eastAsia="Arial" w:hAnsi="Arial"/>
                <w:sz w:val="18"/>
                <w:szCs w:val="18"/>
                <w:color w:val="auto"/>
              </w:rPr>
              <w:t>LASG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SBA Division</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vMerge w:val="restart"/>
          </w:tcPr>
          <w:p>
            <w:pPr>
              <w:jc w:val="right"/>
              <w:ind w:right="760"/>
              <w:spacing w:after="0"/>
              <w:rPr>
                <w:sz w:val="20"/>
                <w:szCs w:val="20"/>
                <w:color w:val="auto"/>
              </w:rPr>
            </w:pPr>
            <w:r>
              <w:rPr>
                <w:rFonts w:ascii="Arial" w:cs="Arial" w:eastAsia="Arial" w:hAnsi="Arial"/>
                <w:sz w:val="18"/>
                <w:szCs w:val="18"/>
                <w:color w:val="auto"/>
              </w:rPr>
              <w:t>Total</w:t>
            </w:r>
          </w:p>
        </w:tc>
        <w:tc>
          <w:tcPr>
            <w:tcW w:w="16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Percent of Total</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6"/>
              </w:rPr>
              <w:t>Banking Division</w:t>
            </w:r>
          </w:p>
        </w:tc>
        <w:tc>
          <w:tcPr>
            <w:tcW w:w="3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3"/>
              </w:rPr>
              <w:t>(Dollars 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jc w:val="center"/>
              <w:ind w:right="1490"/>
              <w:spacing w:after="0"/>
              <w:rPr>
                <w:sz w:val="20"/>
                <w:szCs w:val="20"/>
                <w:color w:val="auto"/>
              </w:rPr>
            </w:pPr>
            <w:r>
              <w:rPr>
                <w:rFonts w:ascii="Arial" w:cs="Arial" w:eastAsia="Arial" w:hAnsi="Arial"/>
                <w:sz w:val="18"/>
                <w:szCs w:val="18"/>
                <w:color w:val="auto"/>
                <w:w w:val="92"/>
              </w:rPr>
              <w:t>Originated loans: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97,432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97,566</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19,123</w:t>
            </w: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19,123</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2"/>
        </w:trPr>
        <w:tc>
          <w:tcPr>
            <w:tcW w:w="2840" w:type="dxa"/>
            <w:vAlign w:val="bottom"/>
          </w:tcPr>
          <w:p>
            <w:pPr>
              <w:ind w:left="180"/>
              <w:spacing w:after="0" w:line="201" w:lineRule="exact"/>
              <w:rPr>
                <w:sz w:val="20"/>
                <w:szCs w:val="20"/>
                <w:color w:val="auto"/>
              </w:rPr>
            </w:pPr>
            <w:r>
              <w:rPr>
                <w:rFonts w:ascii="Arial" w:cs="Arial" w:eastAsia="Arial" w:hAnsi="Arial"/>
                <w:sz w:val="18"/>
                <w:szCs w:val="18"/>
                <w:color w:val="auto"/>
                <w:w w:val="94"/>
              </w:rPr>
              <w:t>Commercial real estate: non-owner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occupied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52,514</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69,436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4,668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126,618</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occupied</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21,103</w:t>
            </w:r>
          </w:p>
        </w:tc>
        <w:tc>
          <w:tcPr>
            <w:tcW w:w="300" w:type="dxa"/>
            <w:vAlign w:val="bottom"/>
            <w:shd w:val="clear" w:color="auto" w:fill="CCEEFF"/>
          </w:tcPr>
          <w:p>
            <w:pPr>
              <w:spacing w:after="0"/>
              <w:rPr>
                <w:sz w:val="20"/>
                <w:szCs w:val="20"/>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29,770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65,814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14,333</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130,879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4,795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150,007</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6,292</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tcPr>
          <w:p>
            <w:pPr>
              <w:jc w:val="center"/>
              <w:ind w:right="1470"/>
              <w:spacing w:after="0"/>
              <w:rPr>
                <w:sz w:val="20"/>
                <w:szCs w:val="20"/>
                <w:color w:val="auto"/>
              </w:rPr>
            </w:pPr>
            <w:r>
              <w:rPr>
                <w:rFonts w:ascii="Arial" w:cs="Arial" w:eastAsia="Arial" w:hAnsi="Arial"/>
                <w:sz w:val="18"/>
                <w:szCs w:val="18"/>
                <w:color w:val="auto"/>
                <w:w w:val="90"/>
              </w:rPr>
              <w:t>Subtotal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210,797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230,085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465,420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jc w:val="center"/>
              <w:ind w:right="1530"/>
              <w:spacing w:after="0"/>
              <w:rPr>
                <w:sz w:val="20"/>
                <w:szCs w:val="20"/>
                <w:color w:val="auto"/>
              </w:rPr>
            </w:pPr>
            <w:r>
              <w:rPr>
                <w:rFonts w:ascii="Arial" w:cs="Arial" w:eastAsia="Arial" w:hAnsi="Arial"/>
                <w:sz w:val="18"/>
                <w:szCs w:val="18"/>
                <w:color w:val="auto"/>
                <w:w w:val="87"/>
              </w:rPr>
              <w:t>Purchased loans: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2,638</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Commercial real estate: non-owner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occupied</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146,190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146,190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02"/>
        </w:trPr>
        <w:tc>
          <w:tcPr>
            <w:tcW w:w="2840" w:type="dxa"/>
            <w:vAlign w:val="bottom"/>
          </w:tcPr>
          <w:p>
            <w:pPr>
              <w:ind w:left="180"/>
              <w:spacing w:after="0" w:line="201" w:lineRule="exact"/>
              <w:rPr>
                <w:sz w:val="20"/>
                <w:szCs w:val="20"/>
                <w:color w:val="auto"/>
              </w:rPr>
            </w:pPr>
            <w:r>
              <w:rPr>
                <w:rFonts w:ascii="Arial" w:cs="Arial" w:eastAsia="Arial" w:hAnsi="Arial"/>
                <w:sz w:val="18"/>
                <w:szCs w:val="18"/>
                <w:color w:val="auto"/>
              </w:rPr>
              <w:t>Commercial real estate: owner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occupied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84,612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84,612</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tcPr>
          <w:p>
            <w:pPr>
              <w:jc w:val="center"/>
              <w:ind w:right="1470"/>
              <w:spacing w:after="0"/>
              <w:rPr>
                <w:sz w:val="20"/>
                <w:szCs w:val="20"/>
                <w:color w:val="auto"/>
              </w:rPr>
            </w:pPr>
            <w:r>
              <w:rPr>
                <w:rFonts w:ascii="Arial" w:cs="Arial" w:eastAsia="Arial" w:hAnsi="Arial"/>
                <w:sz w:val="18"/>
                <w:szCs w:val="18"/>
                <w:color w:val="auto"/>
                <w:w w:val="90"/>
              </w:rPr>
              <w:t>Subtotal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233,650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233,650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210,797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463,735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699,070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204"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204" w:gutter="0" w:footer="0" w:header="0"/>
          <w:type w:val="continuous"/>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7"/>
              </w:rPr>
              <w:t>June 30, 2015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4"/>
              </w:rPr>
              <w:t>Community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Percent of</w:t>
            </w: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2"/>
              </w:rPr>
              <w:t>Banking</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LASG</w:t>
            </w:r>
          </w:p>
        </w:tc>
        <w:tc>
          <w:tcPr>
            <w:tcW w:w="100" w:type="dxa"/>
            <w:vAlign w:val="bottom"/>
          </w:tcPr>
          <w:p>
            <w:pPr>
              <w:spacing w:after="0"/>
              <w:rPr>
                <w:sz w:val="9"/>
                <w:szCs w:val="9"/>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8"/>
              </w:rPr>
              <w:t>SBA Division</w:t>
            </w:r>
          </w:p>
        </w:tc>
        <w:tc>
          <w:tcPr>
            <w:tcW w:w="220" w:type="dxa"/>
            <w:vAlign w:val="bottom"/>
          </w:tcPr>
          <w:p>
            <w:pPr>
              <w:spacing w:after="0"/>
              <w:rPr>
                <w:sz w:val="9"/>
                <w:szCs w:val="9"/>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Total</w:t>
            </w: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Division</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gridSpan w:val="6"/>
          </w:tcPr>
          <w:p>
            <w:pPr>
              <w:jc w:val="center"/>
              <w:ind w:right="145"/>
              <w:spacing w:after="0"/>
              <w:rPr>
                <w:sz w:val="20"/>
                <w:szCs w:val="20"/>
                <w:color w:val="auto"/>
              </w:rPr>
            </w:pPr>
            <w:r>
              <w:rPr>
                <w:rFonts w:ascii="Arial" w:cs="Arial" w:eastAsia="Arial" w:hAnsi="Arial"/>
                <w:sz w:val="18"/>
                <w:szCs w:val="18"/>
                <w:color w:val="auto"/>
                <w:w w:val="90"/>
              </w:rPr>
              <w:t>(Dollars in thousands)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jc w:val="center"/>
              <w:ind w:right="2710"/>
              <w:spacing w:after="0"/>
              <w:rPr>
                <w:sz w:val="20"/>
                <w:szCs w:val="20"/>
                <w:color w:val="auto"/>
              </w:rPr>
            </w:pPr>
            <w:r>
              <w:rPr>
                <w:rFonts w:ascii="Arial" w:cs="Arial" w:eastAsia="Arial" w:hAnsi="Arial"/>
                <w:sz w:val="18"/>
                <w:szCs w:val="18"/>
                <w:color w:val="auto"/>
                <w:w w:val="92"/>
              </w:rPr>
              <w:t>Originated loans: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106,138</w:t>
            </w:r>
          </w:p>
        </w:tc>
        <w:tc>
          <w:tcPr>
            <w:tcW w:w="100" w:type="dxa"/>
            <w:vAlign w:val="bottom"/>
          </w:tcPr>
          <w:p>
            <w:pPr>
              <w:spacing w:after="0"/>
              <w:rPr>
                <w:sz w:val="18"/>
                <w:szCs w:val="18"/>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137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106,275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48,933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53,051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3,865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105,849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16,507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42,625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108,577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2,637</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122,811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tcPr>
          <w:p>
            <w:pPr>
              <w:jc w:val="center"/>
              <w:ind w:right="2690"/>
              <w:spacing w:after="0"/>
              <w:rPr>
                <w:sz w:val="20"/>
                <w:szCs w:val="20"/>
                <w:color w:val="auto"/>
              </w:rPr>
            </w:pPr>
            <w:r>
              <w:rPr>
                <w:rFonts w:ascii="Arial" w:cs="Arial" w:eastAsia="Arial" w:hAnsi="Arial"/>
                <w:sz w:val="18"/>
                <w:szCs w:val="18"/>
                <w:color w:val="auto"/>
                <w:w w:val="90"/>
              </w:rPr>
              <w:t>Subtotal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178,272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10,963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409,545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66.90%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jc w:val="center"/>
              <w:ind w:right="2750"/>
              <w:spacing w:after="0"/>
              <w:rPr>
                <w:sz w:val="20"/>
                <w:szCs w:val="20"/>
                <w:color w:val="auto"/>
              </w:rPr>
            </w:pPr>
            <w:r>
              <w:rPr>
                <w:rFonts w:ascii="Arial" w:cs="Arial" w:eastAsia="Arial" w:hAnsi="Arial"/>
                <w:sz w:val="18"/>
                <w:szCs w:val="18"/>
                <w:color w:val="auto"/>
                <w:w w:val="87"/>
              </w:rPr>
              <w:t>Purchased loans: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2,068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128,182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128,182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72,069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72,069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tcPr>
          <w:p>
            <w:pPr>
              <w:jc w:val="center"/>
              <w:ind w:right="2690"/>
              <w:spacing w:after="0"/>
              <w:rPr>
                <w:sz w:val="20"/>
                <w:szCs w:val="20"/>
                <w:color w:val="auto"/>
              </w:rPr>
            </w:pPr>
            <w:r>
              <w:rPr>
                <w:rFonts w:ascii="Arial" w:cs="Arial" w:eastAsia="Arial" w:hAnsi="Arial"/>
                <w:sz w:val="18"/>
                <w:szCs w:val="18"/>
                <w:color w:val="auto"/>
                <w:w w:val="90"/>
              </w:rPr>
              <w:t>Subtotal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202,592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202,592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Loans are classified as non-performing when 90 or more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2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21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March 31, 2016 and June 30, 2015. Management believes that, based on their carrying amounts, nonperforming assets are well secured based on the estimated fair value of underlying collateral.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gridSpan w:val="10"/>
          </w:tcPr>
          <w:p>
            <w:pPr>
              <w:jc w:val="right"/>
              <w:ind w:right="1120"/>
              <w:spacing w:after="0"/>
              <w:rPr>
                <w:sz w:val="20"/>
                <w:szCs w:val="20"/>
                <w:color w:val="auto"/>
              </w:rPr>
            </w:pPr>
            <w:r>
              <w:rPr>
                <w:rFonts w:ascii="Arial" w:cs="Arial" w:eastAsia="Arial" w:hAnsi="Arial"/>
                <w:sz w:val="18"/>
                <w:szCs w:val="18"/>
                <w:color w:val="auto"/>
              </w:rPr>
              <w:t>Non-Performing Assets at March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Originated</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Purchased</w:t>
            </w: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3,270</w:t>
            </w:r>
          </w:p>
        </w:tc>
        <w:tc>
          <w:tcPr>
            <w:tcW w:w="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3,179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loans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Commercial loans risk rated substandard or worse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accrual status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On nonaccrual status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285"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285" w:gutter="0" w:footer="0" w:header="0"/>
          <w:type w:val="continuous"/>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Non-Performing Assets at June 30, 2015</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Originated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Purchased</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6,532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loans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Commercial loans risk rated substandard or worse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accrual status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Nonaccrual status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March 31, 2016, nonperforming assets totaled $9.4 million, or 1.02% of total assets, as compared to $12.4 million, or 1.5% of total assets, at June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allowance for loan losses was $2.2 million as of March 31, 2016, which represents an increase of $297 thousand from $1.9 million as of June 30, 2015. The increase during the period was principally due to two loans which were provided for in the second quarter and an increased volume of newly originated loans, offset by charge-offs.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p>
        </w:tc>
        <w:tc>
          <w:tcPr>
            <w:tcW w:w="1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March 31, 2016</w:t>
            </w:r>
          </w:p>
        </w:tc>
        <w:tc>
          <w:tcPr>
            <w:tcW w:w="260" w:type="dxa"/>
            <w:vAlign w:val="bottom"/>
          </w:tcPr>
          <w:p>
            <w:pPr>
              <w:spacing w:after="0"/>
              <w:rPr>
                <w:sz w:val="20"/>
                <w:szCs w:val="20"/>
                <w:color w:val="auto"/>
              </w:rPr>
            </w:pP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June 30, 2015</w:t>
            </w:r>
          </w:p>
        </w:tc>
        <w:tc>
          <w:tcPr>
            <w:tcW w:w="280" w:type="dxa"/>
            <w:vAlign w:val="bottom"/>
          </w:tcPr>
          <w:p>
            <w:pPr>
              <w:spacing w:after="0"/>
              <w:rPr>
                <w:sz w:val="20"/>
                <w:szCs w:val="20"/>
                <w:color w:val="auto"/>
              </w:rPr>
            </w:pPr>
          </w:p>
        </w:tc>
        <w:tc>
          <w:tcPr>
            <w:tcW w:w="1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March 31, 2015</w:t>
            </w:r>
          </w:p>
        </w:tc>
        <w:tc>
          <w:tcPr>
            <w:tcW w:w="160" w:type="dxa"/>
            <w:vAlign w:val="bottom"/>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17.92%</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0.31%</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for loan losses,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cash surrender value of the Company’s bank-owned life insurance (“BOLI”) assets increased $336 thousand, or 2.2% to $15.6 million at March 31, 2016, compared to $15.3 million at June 30, 2015.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12.4% of the Company’s total capital at March 31, 2016.</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Intangible assets totaled $1.8 million and $2.2 million at March 31, 2016 and June 30, 2015, respectively. The $369 thousand decrease was the result of core deposit intangible asset amortization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Borrowed Funds, Liquidity, Capital, and Stock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March 31, 2016, non-maturity accounts, and certificates of deposit with balances less than $250 thousand represented 99.8% of total deposits.</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Total deposits increased $78.2 million to $752.9 million as of March 31, 2016 from $674.8 million as of June 30, 2015. The increase, which funded growth in the Company’s loan portfolio, was centered mainly in money market accounts attracted through the Community Banking Division.</w:t>
      </w:r>
    </w:p>
    <w:p>
      <w:pPr>
        <w:sectPr>
          <w:pgSz w:w="11900" w:h="16838" w:orient="portrait"/>
          <w:cols w:equalWidth="0" w:num="1">
            <w:col w:w="11420"/>
          </w:cols>
          <w:pgMar w:left="240" w:top="118" w:right="239" w:bottom="433"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433" w:gutter="0" w:footer="0" w:header="0"/>
          <w:type w:val="continuous"/>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total deposits at March 31, 2016 and June 30, 2015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ind w:left="540"/>
              <w:spacing w:after="0"/>
              <w:rPr>
                <w:sz w:val="20"/>
                <w:szCs w:val="20"/>
                <w:color w:val="auto"/>
              </w:rPr>
            </w:pPr>
            <w:r>
              <w:rPr>
                <w:rFonts w:ascii="Arial" w:cs="Arial" w:eastAsia="Arial" w:hAnsi="Arial"/>
                <w:sz w:val="18"/>
                <w:szCs w:val="18"/>
                <w:color w:val="auto"/>
              </w:rPr>
              <w:t>March 31, 2016</w:t>
            </w:r>
          </w:p>
        </w:tc>
        <w:tc>
          <w:tcPr>
            <w:tcW w:w="220" w:type="dxa"/>
            <w:vAlign w:val="bottom"/>
          </w:tcPr>
          <w:p>
            <w:pPr>
              <w:spacing w:after="0"/>
              <w:rPr>
                <w:sz w:val="20"/>
                <w:szCs w:val="20"/>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8"/>
                <w:szCs w:val="18"/>
                <w:color w:val="auto"/>
              </w:rPr>
              <w:t>June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Amount</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Percent of Total</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Amount</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Percent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580"/>
              <w:spacing w:after="0"/>
              <w:rPr>
                <w:sz w:val="20"/>
                <w:szCs w:val="20"/>
                <w:color w:val="auto"/>
              </w:rPr>
            </w:pPr>
            <w:r>
              <w:rPr>
                <w:rFonts w:ascii="Arial" w:cs="Arial" w:eastAsia="Arial" w:hAnsi="Arial"/>
                <w:sz w:val="18"/>
                <w:szCs w:val="18"/>
                <w:color w:val="auto"/>
              </w:rPr>
              <w:t>(Dollars in thousands)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60,573</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60,383</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NOW accounts</w:t>
            </w:r>
          </w:p>
        </w:tc>
        <w:tc>
          <w:tcPr>
            <w:tcW w:w="22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68,050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9.04%</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64,289</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36,752</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35,845</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Money market deposits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234,142</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31.10%</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168,527</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non-certificate accounts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399,517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329,044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9"/>
              </w:rPr>
              <w:t>Term certificates less than $250 thousand</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351,676</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46.71%</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345,146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6"/>
              </w:rPr>
              <w:t>Term certificates of $250 thousand or more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Total certificate accounts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353,432</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46.94%</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345,715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752,949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674,759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Borrowed Funds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Advances from the Federal Home Loan Bank (“FHLB”) were $30.1 million at March 31, 2016, as compared to $30.2 million at June 30, 2015. At March 31, 2016, the Company had pledged certain residential real estate loans, commercial real estate loans, and FHLB deposits free of liens or pledges to secure outstanding advances and available additional borrowing capacity. At March 31, 2016, no securities were pledged for outstanding borrowings.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the Company’s wholesale repurchase agreements paid off at maturity, representing a $10.0 million decrease from June 30, 2015.</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Short-term borrowings, consisting of sweep accounts and repurchase agreements, were $2.7 million and $2.3 million as of March 31, 2016 and June 30,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is a summary of unused borrowing capacity of the Company at March 31, 2016, in addition to traditional retail deposit products (dollars in thousands):</w:t>
      </w:r>
    </w:p>
    <w:p>
      <w:pPr>
        <w:spacing w:after="0" w:line="18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230,672</w:t>
            </w:r>
          </w:p>
        </w:tc>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26,028</w:t>
            </w:r>
          </w:p>
        </w:tc>
        <w:tc>
          <w:tcPr>
            <w:tcW w:w="4960" w:type="dxa"/>
            <w:vAlign w:val="bottom"/>
          </w:tcPr>
          <w:p>
            <w:pPr>
              <w:ind w:left="100"/>
              <w:spacing w:after="0"/>
              <w:rPr>
                <w:sz w:val="20"/>
                <w:szCs w:val="20"/>
                <w:color w:val="auto"/>
              </w:rPr>
            </w:pPr>
            <w:r>
              <w:rPr>
                <w:rFonts w:ascii="Arial" w:cs="Arial" w:eastAsia="Arial" w:hAnsi="Arial"/>
                <w:sz w:val="18"/>
                <w:szCs w:val="18"/>
                <w:color w:val="auto"/>
                <w:w w:val="90"/>
              </w:rPr>
              <w:t>Unused advance capacity subject to eligible and qualified collateral</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9"/>
              </w:rPr>
              <w:t>Federal Discount Window Borrower-in-Custody</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Unused credit line subject to the pledge of loans</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Other available lines</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4960" w:type="dxa"/>
            <w:vAlign w:val="bottom"/>
          </w:tcPr>
          <w:p>
            <w:pPr>
              <w:spacing w:after="0"/>
              <w:rPr>
                <w:sz w:val="18"/>
                <w:szCs w:val="18"/>
                <w:color w:val="auto"/>
              </w:rPr>
            </w:pPr>
          </w:p>
        </w:tc>
      </w:tr>
      <w:tr>
        <w:trPr>
          <w:trHeight w:val="250"/>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unused borrowing capacity</w:t>
            </w: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276,185</w:t>
            </w:r>
          </w:p>
        </w:tc>
        <w:tc>
          <w:tcPr>
            <w:tcW w:w="496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Retail deposits and other core deposit sources including deposit listing services are used by the Bank to manage its overall liquidity position. While we currently do not seek wholesale funding such as FHLB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 advance capacity, the purchase of additional capital stock in the Federal Home Loan Bank of Boston may be required.</w:t>
      </w:r>
    </w:p>
    <w:p>
      <w:pPr>
        <w:spacing w:after="0" w:line="15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At March 31, 2016, the Company had $349.2 million of immediately accessible liquidity, defined as cash that the Bank reasonably believes could be raised within seven days through collateralized borrowings, brokered deposits or security sales. This position represented 37.8% of total assets. The Company also had $91.5 million of cash and cash equivalents at March 31, 2016.</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carrying amount and unpaid principal balance of junior subordinated debentures totaled $8.8 million and $16.5 million, respectively, as of March 31, 2016. This debt represents qualifying Tier 1 capital for the Company, up to a maximum of 25% of total Tier 1 capital. At March 31, 2016, the carrying amounts of the junior subordinated notes, net of the Company’s $496 thousand investment in the affiliated trusts, qualified as Tier 1 capital.</w:t>
      </w:r>
    </w:p>
    <w:p>
      <w:pPr>
        <w:sectPr>
          <w:pgSz w:w="11900" w:h="16838" w:orient="portrait"/>
          <w:cols w:equalWidth="0" w:num="1">
            <w:col w:w="11400"/>
          </w:cols>
          <w:pgMar w:left="240" w:top="118" w:right="25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March 31, 2016, shareholders’ equity was $114.5 million, an increase of $1.8 million, or 1.6% from June 30, 2015. Book value per outstanding common share was $12.27 at March 31, 2016 and $11.76 at June 30, 2015. Tier 1 capital to total average assets of the Company was 13.57% as of March 31, 2016 and 14.49% at June 30, 2015.</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capital rules, risk-based capital ratios are calculated by dividing Tier 1 and total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bank holding company, such as the Company, is considered "well capitalized" if the bank holding company (i) has a total risk based capital ratio of at least 10%, (ii) has a Tier 1 risk-based capital ratio of at least 6%, and (iii) is not subject to any written agreement order, capital directive or prompt corrective action directive to meet and maintain a specific capital level for any capital measure. Under the FDIC's prompt corrective action rules, such as the Bank, an insured state nonmember bank is considered "well capitalized" if it (i) has a total risk-based capital ratio of 10.0% or greater; (ii) a Tier 1 risk-based capital ratio of 8.0% or greater; (iii) 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and the Banks are considered "well capitalized" under all regulatory definitions. The Company's and the Bank's regulatory capital ratios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8"/>
          </w:tcPr>
          <w:p>
            <w:pPr>
              <w:jc w:val="center"/>
              <w:ind w:right="260"/>
              <w:spacing w:after="0"/>
              <w:rPr>
                <w:sz w:val="20"/>
                <w:szCs w:val="20"/>
                <w:color w:val="auto"/>
              </w:rPr>
            </w:pPr>
            <w:r>
              <w:rPr>
                <w:rFonts w:ascii="Arial" w:cs="Arial" w:eastAsia="Arial" w:hAnsi="Arial"/>
                <w:sz w:val="18"/>
                <w:szCs w:val="18"/>
                <w:color w:val="auto"/>
                <w:w w:val="95"/>
              </w:rPr>
              <w:t>Minimum To Be Well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gridSpan w:val="9"/>
          </w:tcPr>
          <w:p>
            <w:pPr>
              <w:jc w:val="center"/>
              <w:ind w:right="180"/>
              <w:spacing w:after="0"/>
              <w:rPr>
                <w:sz w:val="20"/>
                <w:szCs w:val="20"/>
                <w:color w:val="auto"/>
              </w:rPr>
            </w:pPr>
            <w:r>
              <w:rPr>
                <w:rFonts w:ascii="Arial" w:cs="Arial" w:eastAsia="Arial" w:hAnsi="Arial"/>
                <w:sz w:val="18"/>
                <w:szCs w:val="18"/>
                <w:color w:val="auto"/>
                <w:w w:val="91"/>
              </w:rPr>
              <w:t>Capitalized Under Prompt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6"/>
          </w:tcPr>
          <w:p>
            <w:pPr>
              <w:jc w:val="center"/>
              <w:ind w:right="340"/>
              <w:spacing w:after="0"/>
              <w:rPr>
                <w:sz w:val="20"/>
                <w:szCs w:val="20"/>
                <w:color w:val="auto"/>
              </w:rPr>
            </w:pPr>
            <w:r>
              <w:rPr>
                <w:rFonts w:ascii="Arial" w:cs="Arial" w:eastAsia="Arial" w:hAnsi="Arial"/>
                <w:sz w:val="18"/>
                <w:szCs w:val="18"/>
                <w:color w:val="auto"/>
                <w:w w:val="96"/>
              </w:rPr>
              <w:t>Minimum 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8"/>
          </w:tcPr>
          <w:p>
            <w:pPr>
              <w:jc w:val="center"/>
              <w:ind w:right="260"/>
              <w:spacing w:after="0"/>
              <w:rPr>
                <w:sz w:val="20"/>
                <w:szCs w:val="20"/>
                <w:color w:val="auto"/>
              </w:rPr>
            </w:pPr>
            <w:r>
              <w:rPr>
                <w:rFonts w:ascii="Arial" w:cs="Arial" w:eastAsia="Arial" w:hAnsi="Arial"/>
                <w:sz w:val="18"/>
                <w:szCs w:val="18"/>
                <w:color w:val="auto"/>
                <w:w w:val="94"/>
              </w:rPr>
              <w:t>Correction Action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w w:val="99"/>
              </w:rPr>
              <w:t>Actual</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6"/>
          </w:tcPr>
          <w:p>
            <w:pPr>
              <w:jc w:val="center"/>
              <w:ind w:right="340"/>
              <w:spacing w:after="0"/>
              <w:rPr>
                <w:sz w:val="20"/>
                <w:szCs w:val="20"/>
                <w:color w:val="auto"/>
              </w:rPr>
            </w:pPr>
            <w:r>
              <w:rPr>
                <w:rFonts w:ascii="Arial" w:cs="Arial" w:eastAsia="Arial" w:hAnsi="Arial"/>
                <w:sz w:val="18"/>
                <w:szCs w:val="18"/>
                <w:color w:val="auto"/>
                <w:w w:val="87"/>
              </w:rPr>
              <w:t>Requirements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8"/>
          </w:tcPr>
          <w:p>
            <w:pPr>
              <w:jc w:val="center"/>
              <w:ind w:right="280"/>
              <w:spacing w:after="0"/>
              <w:rPr>
                <w:sz w:val="20"/>
                <w:szCs w:val="20"/>
                <w:color w:val="auto"/>
              </w:rPr>
            </w:pPr>
            <w:r>
              <w:rPr>
                <w:rFonts w:ascii="Arial" w:cs="Arial" w:eastAsia="Arial" w:hAnsi="Arial"/>
                <w:sz w:val="18"/>
                <w:szCs w:val="18"/>
                <w:color w:val="auto"/>
                <w:w w:val="91"/>
              </w:rPr>
              <w:t>Provisions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Ratio</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ind w:left="24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Amount</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Ratio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6"/>
          </w:tcPr>
          <w:p>
            <w:pPr>
              <w:jc w:val="center"/>
              <w:ind w:right="340"/>
              <w:spacing w:after="0"/>
              <w:rPr>
                <w:sz w:val="20"/>
                <w:szCs w:val="20"/>
                <w:color w:val="auto"/>
              </w:rPr>
            </w:pPr>
            <w:r>
              <w:rPr>
                <w:rFonts w:ascii="Arial" w:cs="Arial" w:eastAsia="Arial" w:hAnsi="Arial"/>
                <w:sz w:val="18"/>
                <w:szCs w:val="18"/>
                <w:color w:val="auto"/>
                <w:w w:val="90"/>
              </w:rPr>
              <w:t>(Dollars in thousands)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Common equity tier 1 capital to risk weighted 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123,756</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31,880</w:t>
            </w:r>
          </w:p>
        </w:tc>
        <w:tc>
          <w:tcPr>
            <w:tcW w:w="108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&gt;4.5%</w:t>
            </w:r>
          </w:p>
        </w:tc>
        <w:tc>
          <w:tcPr>
            <w:tcW w:w="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114,464</w:t>
            </w: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16.13%</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31,930</w:t>
            </w:r>
          </w:p>
        </w:tc>
        <w:tc>
          <w:tcPr>
            <w:tcW w:w="108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&gt;4.5%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46,121</w:t>
            </w:r>
          </w:p>
        </w:tc>
        <w:tc>
          <w:tcPr>
            <w:tcW w:w="102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126,029</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56,676</w:t>
            </w:r>
          </w:p>
        </w:tc>
        <w:tc>
          <w:tcPr>
            <w:tcW w:w="108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&gt;8.0%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117,391</w:t>
            </w: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16.54%</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56,764</w:t>
            </w:r>
          </w:p>
        </w:tc>
        <w:tc>
          <w:tcPr>
            <w:tcW w:w="108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&gt;8.0%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70,955</w:t>
            </w:r>
          </w:p>
        </w:tc>
        <w:tc>
          <w:tcPr>
            <w:tcW w:w="102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123,756</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28,338</w:t>
            </w:r>
          </w:p>
        </w:tc>
        <w:tc>
          <w:tcPr>
            <w:tcW w:w="108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&gt;4.0%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114,464</w:t>
            </w: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16.13%</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28,382</w:t>
            </w:r>
          </w:p>
        </w:tc>
        <w:tc>
          <w:tcPr>
            <w:tcW w:w="108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&gt;4.0%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42,573</w:t>
            </w:r>
          </w:p>
        </w:tc>
        <w:tc>
          <w:tcPr>
            <w:tcW w:w="102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123,756</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36,475</w:t>
            </w:r>
          </w:p>
        </w:tc>
        <w:tc>
          <w:tcPr>
            <w:tcW w:w="1080" w:type="dxa"/>
            <w:vAlign w:val="bottom"/>
            <w:gridSpan w:val="4"/>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&gt;4.0%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114,464</w:t>
            </w:r>
          </w:p>
        </w:tc>
        <w:tc>
          <w:tcPr>
            <w:tcW w:w="180" w:type="dxa"/>
            <w:vAlign w:val="bottom"/>
          </w:tcPr>
          <w:p>
            <w:pPr>
              <w:spacing w:after="0"/>
              <w:rPr>
                <w:sz w:val="15"/>
                <w:szCs w:val="15"/>
                <w:color w:val="auto"/>
              </w:rPr>
            </w:pPr>
          </w:p>
        </w:tc>
        <w:tc>
          <w:tcPr>
            <w:tcW w:w="9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12.55%</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36,479</w:t>
            </w:r>
          </w:p>
        </w:tc>
        <w:tc>
          <w:tcPr>
            <w:tcW w:w="108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auto"/>
              </w:rPr>
              <w:t>&gt;4.0%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45,599</w:t>
            </w:r>
          </w:p>
        </w:tc>
        <w:tc>
          <w:tcPr>
            <w:tcW w:w="102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June 30, 2015: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capital to risk weighted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Company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121,224</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27,523</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&gt;4.5%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107,477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27,558</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&gt;4.5%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39,806</w:t>
            </w:r>
          </w:p>
        </w:tc>
        <w:tc>
          <w:tcPr>
            <w:tcW w:w="10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&gt;6.5%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123,187</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48,932</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&gt;8.0%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111,228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48,999</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&gt;8.0%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61,249</w:t>
            </w:r>
          </w:p>
        </w:tc>
        <w:tc>
          <w:tcPr>
            <w:tcW w:w="10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121,224</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24,465</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&gt;4.0%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107,477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24,496</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&gt;4.0%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36,744</w:t>
            </w:r>
          </w:p>
        </w:tc>
        <w:tc>
          <w:tcPr>
            <w:tcW w:w="10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Company</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121,224</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33,464</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&gt;4.0%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107,477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33,421</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&gt;4.0%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41,776</w:t>
            </w:r>
          </w:p>
        </w:tc>
        <w:tc>
          <w:tcPr>
            <w:tcW w:w="10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April 23, 2014, the Company announced that its Board of Directors authorized the Company to purchase up to 870,000 shares of its common stock, representing 8.3% of the Company’s outstanding common shares and approximately $8.4 million based on the Company’s closing stock price on April 22, 2014.</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April 30, 2015, the Board of Directors voted to amend the existing stock repurchase program to authorize the Company to purchase an additional 500,000 shares of its common stock, representing 5.1% of the Company’s outstanding common shares or approximately $4.7 million based on the Company’s closing price on April 29, 2015. The amended stock repurchase program will expire on April 30, 2017.</w:t>
      </w:r>
    </w:p>
    <w:p>
      <w:pPr>
        <w:spacing w:after="0" w:line="18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On February 25, 2016, the Board of Directors approved an amendment to the Company’s existing stock repurchase program subject to regulatory approval, which was received on March 2, 2016. The approved amendment, which is effective March 2, 2016, increased the existing stock repurchase program by 600,000 shares of the Company’s common stock, representing 6.3% of the Company’s outstanding common shares or approximately $6.3 million based on the Company’s closing price on March 2, 2016. The amended stock repurchase program will expire on March 2,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1,311,362 shares had been repurchased under this plan at a weighted average price of $9.69.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10: Commitments and Contingencies” for further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increased by $57 thousand for the quarter ended March 31, 2016, compared to the quarter ended March 31, 2015. Net income increased by $445 thousand to $5.4 million for the nine months ended March 31, 2016, compared to $5.0 million for the nine months ended March 31, 2015. When compared to the prior year, increases in net income for both the three and nine months ended March 31, 2016 resulted principally from positive balance sheet growth due to increased loan volume, and higher gains on sales of SBA loans.</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following table details the “total return” on purchased loans, which includes transactional interest income of $913 thousand for the quarter ended March 31, 2016. Transactional interest income for the nine months ended March 31, 2016 was $5.8 million, a decrease of $1.8 million from the nine months ended March 31, 2015 principally due to higher payoffs in fiscal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Total Return on Purchased Loans</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Three Months Ended March 31,</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2016</w:t>
            </w:r>
          </w:p>
        </w:tc>
        <w:tc>
          <w:tcPr>
            <w:tcW w:w="11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2015</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5"/>
          </w:tcPr>
          <w:p>
            <w:pPr>
              <w:jc w:val="right"/>
              <w:ind w:right="660"/>
              <w:spacing w:after="0"/>
              <w:rPr>
                <w:sz w:val="20"/>
                <w:szCs w:val="20"/>
                <w:color w:val="auto"/>
              </w:rPr>
            </w:pPr>
            <w:r>
              <w:rPr>
                <w:rFonts w:ascii="Arial" w:cs="Arial" w:eastAsia="Arial" w:hAnsi="Arial"/>
                <w:sz w:val="18"/>
                <w:szCs w:val="18"/>
                <w:color w:val="auto"/>
              </w:rPr>
              <w:t>Income</w:t>
            </w:r>
          </w:p>
        </w:tc>
        <w:tc>
          <w:tcPr>
            <w:tcW w:w="1120" w:type="dxa"/>
            <w:vAlign w:val="bottom"/>
          </w:tcPr>
          <w:p>
            <w:pPr>
              <w:ind w:left="120"/>
              <w:spacing w:after="0"/>
              <w:rPr>
                <w:sz w:val="20"/>
                <w:szCs w:val="20"/>
                <w:color w:val="auto"/>
              </w:rPr>
            </w:pPr>
            <w:r>
              <w:rPr>
                <w:rFonts w:ascii="Arial" w:cs="Arial" w:eastAsia="Arial" w:hAnsi="Arial"/>
                <w:sz w:val="18"/>
                <w:szCs w:val="18"/>
                <w:color w:val="auto"/>
              </w:rPr>
              <w:t>Return (1)</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71"/>
              </w:rPr>
              <w:t>in</w:t>
            </w:r>
          </w:p>
        </w:tc>
        <w:tc>
          <w:tcPr>
            <w:tcW w:w="24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Income</w:t>
            </w:r>
          </w:p>
        </w:tc>
        <w:tc>
          <w:tcPr>
            <w:tcW w:w="1100" w:type="dxa"/>
            <w:vAlign w:val="bottom"/>
          </w:tcPr>
          <w:p>
            <w:pPr>
              <w:ind w:left="10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40" w:type="dxa"/>
            <w:vAlign w:val="bottom"/>
            <w:vMerge w:val="continue"/>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0.74%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2,292</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4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9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5,519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
              <w:spacing w:after="0" w:line="210" w:lineRule="exact"/>
              <w:rPr>
                <w:sz w:val="20"/>
                <w:szCs w:val="20"/>
                <w:color w:val="auto"/>
              </w:rPr>
            </w:pPr>
            <w:r>
              <w:rPr>
                <w:rFonts w:ascii="Arial" w:cs="Arial" w:eastAsia="Arial" w:hAnsi="Arial"/>
                <w:sz w:val="14"/>
                <w:szCs w:val="14"/>
                <w:color w:val="auto"/>
              </w:rPr>
              <w:t>9.88</w:t>
            </w:r>
            <w:r>
              <w:rPr>
                <w:rFonts w:ascii="Arial" w:cs="Arial" w:eastAsia="Arial" w:hAnsi="Arial"/>
                <w:sz w:val="24"/>
                <w:szCs w:val="24"/>
                <w:color w:val="auto"/>
                <w:vertAlign w:val="superscript"/>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6,993</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13.60</w:t>
            </w:r>
            <w:r>
              <w:rPr>
                <w:rFonts w:ascii="Arial" w:cs="Arial" w:eastAsia="Arial" w:hAnsi="Arial"/>
                <w:sz w:val="24"/>
                <w:szCs w:val="24"/>
                <w:color w:val="auto"/>
                <w:vertAlign w:val="superscript"/>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0" w:type="dxa"/>
            <w:vAlign w:val="bottom"/>
            <w:shd w:val="clear" w:color="auto" w:fill="808080"/>
          </w:tcPr>
          <w:p>
            <w:pPr>
              <w:spacing w:after="0"/>
              <w:rPr>
                <w:sz w:val="5"/>
                <w:szCs w:val="5"/>
                <w:color w:val="auto"/>
              </w:rPr>
            </w:pPr>
          </w:p>
        </w:tc>
        <w:tc>
          <w:tcPr>
            <w:tcW w:w="39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rPr>
              <w:t>Nine Months Ended March 31,</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2016</w:t>
            </w:r>
          </w:p>
        </w:tc>
        <w:tc>
          <w:tcPr>
            <w:tcW w:w="10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2015</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Return (1)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6"/>
          </w:tcPr>
          <w:p>
            <w:pPr>
              <w:ind w:left="400"/>
              <w:spacing w:after="0"/>
              <w:rPr>
                <w:sz w:val="20"/>
                <w:szCs w:val="20"/>
                <w:color w:val="auto"/>
              </w:rPr>
            </w:pPr>
            <w:r>
              <w:rPr>
                <w:rFonts w:ascii="Arial" w:cs="Arial" w:eastAsia="Arial" w:hAnsi="Arial"/>
                <w:sz w:val="18"/>
                <w:szCs w:val="18"/>
                <w:color w:val="auto"/>
              </w:rPr>
              <w:t>(Dollars in thousands)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13,195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r>
      <w:tr>
        <w:trPr>
          <w:trHeight w:val="216"/>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6,930</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r>
      <w:tr>
        <w:trPr>
          <w:trHeight w:val="210"/>
        </w:trPr>
        <w:tc>
          <w:tcPr>
            <w:tcW w:w="4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w:t>
            </w:r>
          </w:p>
        </w:tc>
      </w:tr>
      <w:tr>
        <w:trPr>
          <w:trHeight w:val="210"/>
        </w:trPr>
        <w:tc>
          <w:tcPr>
            <w:tcW w:w="46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line="210" w:lineRule="exact"/>
              <w:rPr>
                <w:sz w:val="20"/>
                <w:szCs w:val="20"/>
                <w:color w:val="auto"/>
              </w:rPr>
            </w:pPr>
            <w:r>
              <w:rPr>
                <w:rFonts w:ascii="Arial" w:cs="Arial" w:eastAsia="Arial" w:hAnsi="Arial"/>
                <w:sz w:val="14"/>
                <w:szCs w:val="14"/>
                <w:color w:val="auto"/>
              </w:rPr>
              <w:t>11.57</w:t>
            </w:r>
            <w:r>
              <w:rPr>
                <w:rFonts w:ascii="Arial" w:cs="Arial" w:eastAsia="Arial" w:hAnsi="Arial"/>
                <w:sz w:val="24"/>
                <w:szCs w:val="24"/>
                <w:color w:val="auto"/>
                <w:vertAlign w:val="superscript"/>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20,734</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13.36</w:t>
            </w:r>
            <w:r>
              <w:rPr>
                <w:rFonts w:ascii="Arial" w:cs="Arial" w:eastAsia="Arial" w:hAnsi="Arial"/>
                <w:sz w:val="24"/>
                <w:szCs w:val="24"/>
                <w:color w:val="auto"/>
                <w:vertAlign w:val="superscript"/>
              </w:rPr>
              <w:t>%</w:t>
            </w:r>
          </w:p>
        </w:tc>
      </w:tr>
      <w:tr>
        <w:trPr>
          <w:trHeight w:val="20"/>
        </w:trPr>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hanging="233"/>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on an annualized basis. The total return does not include the effect of purchased loan charge-offs or recoveries in the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2016 and 2015</w:t>
      </w:r>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Net interest and dividend income before provision for the three months ended March 31, 2016 and 2015 was $9.3 million and $9.1 million, respectively. The increase of $134 thousand was primarily due to higher average loan volume in the purchased and originated loan portfolio. The following table summarizes interest income and related yields recognized on the Company’s loans for the three months ended March 31, 2016 and 2015.</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91"/>
              </w:rPr>
              <w:t>Interest Income and Yield on Loans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90"/>
              </w:rPr>
              <w:t>Three Months Ended March 31,</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2016</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2015</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Interest</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1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Interest</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Balance (1)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20"/>
                <w:szCs w:val="20"/>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Yield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Balance (1)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20"/>
                <w:szCs w:val="20"/>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(Dollars in thousands)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Community Banking</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Division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247,194</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2,994</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232,369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LASG: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2,317</w:t>
            </w: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80,567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1760" w:type="dxa"/>
            <w:vAlign w:val="bottom"/>
          </w:tcPr>
          <w:p>
            <w:pPr>
              <w:ind w:left="160"/>
              <w:spacing w:after="0"/>
              <w:rPr>
                <w:sz w:val="20"/>
                <w:szCs w:val="20"/>
                <w:color w:val="auto"/>
              </w:rPr>
            </w:pPr>
            <w:r>
              <w:rPr>
                <w:rFonts w:ascii="Arial" w:cs="Arial" w:eastAsia="Arial" w:hAnsi="Arial"/>
                <w:sz w:val="18"/>
                <w:szCs w:val="18"/>
                <w:color w:val="auto"/>
              </w:rPr>
              <w:t>Purchased</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224,710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208,487</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6,614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Secured Loans to</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60,001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vMerge w:val="restart"/>
            <w:shd w:val="clear" w:color="auto" w:fill="CCEEFF"/>
          </w:tcPr>
          <w:p>
            <w:pPr>
              <w:spacing w:after="0"/>
              <w:rPr>
                <w:sz w:val="17"/>
                <w:szCs w:val="17"/>
                <w:color w:val="auto"/>
              </w:rPr>
            </w:pPr>
          </w:p>
        </w:tc>
        <w:tc>
          <w:tcPr>
            <w:tcW w:w="14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48,551</w:t>
            </w:r>
          </w:p>
        </w:tc>
        <w:tc>
          <w:tcPr>
            <w:tcW w:w="2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Broker-Dealers</w:t>
            </w: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8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ind w:left="320"/>
              <w:spacing w:after="0"/>
              <w:rPr>
                <w:sz w:val="20"/>
                <w:szCs w:val="20"/>
                <w:color w:val="auto"/>
              </w:rPr>
            </w:pPr>
            <w:r>
              <w:rPr>
                <w:rFonts w:ascii="Arial" w:cs="Arial" w:eastAsia="Arial" w:hAnsi="Arial"/>
                <w:sz w:val="18"/>
                <w:szCs w:val="18"/>
                <w:color w:val="auto"/>
              </w:rPr>
              <w:t>Total LASG</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444,687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7,910</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7.15%</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337,605</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7,796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50"/>
        </w:trPr>
        <w:tc>
          <w:tcPr>
            <w:tcW w:w="1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691,881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right w:val="single" w:sz="8" w:color="CCEEFF"/>
            </w:tcBorders>
            <w:gridSpan w:val="2"/>
            <w:shd w:val="clear" w:color="auto" w:fill="CCEEFF"/>
          </w:tcPr>
          <w:p>
            <w:pPr>
              <w:jc w:val="right"/>
              <w:ind w:right="120"/>
              <w:spacing w:after="0" w:line="210" w:lineRule="exact"/>
              <w:rPr>
                <w:sz w:val="20"/>
                <w:szCs w:val="20"/>
                <w:color w:val="auto"/>
              </w:rPr>
            </w:pPr>
            <w:r>
              <w:rPr>
                <w:rFonts w:ascii="Arial" w:cs="Arial" w:eastAsia="Arial" w:hAnsi="Arial"/>
                <w:sz w:val="14"/>
                <w:szCs w:val="14"/>
                <w:color w:val="auto"/>
              </w:rPr>
              <w:t>6.34</w:t>
            </w:r>
            <w:r>
              <w:rPr>
                <w:rFonts w:ascii="Arial" w:cs="Arial" w:eastAsia="Arial" w:hAnsi="Arial"/>
                <w:sz w:val="24"/>
                <w:szCs w:val="24"/>
                <w:color w:val="auto"/>
                <w:vertAlign w:val="superscript"/>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569,974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7.56</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loans held for sale.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interest rate spread decreased by 52 basis points and net interest margin decreased by 54 basis points for the quarter ended March 31, 2016 compared to the quarter ended March 31, 2015. The decrease was principally due to lower transactional interest income in the purchased portfolio. The following sets forth the average balance sheets, interest income and interest expense, and average yields and costs for the three months ended March 31, 2016 and 2015.</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Income/</w:t>
            </w: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Yield/</w:t>
            </w:r>
          </w:p>
        </w:tc>
        <w:tc>
          <w:tcPr>
            <w:tcW w:w="20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Income/</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Expense</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Expense</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Rate</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 (1)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100,904</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340" w:type="dxa"/>
            <w:vAlign w:val="bottom"/>
          </w:tcPr>
          <w:p>
            <w:pPr>
              <w:ind w:left="320"/>
              <w:spacing w:after="0"/>
              <w:rPr>
                <w:sz w:val="20"/>
                <w:szCs w:val="20"/>
                <w:color w:val="auto"/>
              </w:rPr>
            </w:pPr>
            <w:r>
              <w:rPr>
                <w:rFonts w:ascii="Arial" w:cs="Arial" w:eastAsia="Arial" w:hAnsi="Arial"/>
                <w:sz w:val="18"/>
                <w:szCs w:val="18"/>
                <w:color w:val="auto"/>
              </w:rPr>
              <w:t>Loans (2) (3)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691,881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10,904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569,974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7"/>
              </w:rPr>
              <w:t>Federal Home Loan Bank</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340" w:type="dxa"/>
            <w:vAlign w:val="bottom"/>
          </w:tcPr>
          <w:p>
            <w:pPr>
              <w:ind w:left="320"/>
              <w:spacing w:after="0"/>
              <w:rPr>
                <w:sz w:val="20"/>
                <w:szCs w:val="20"/>
                <w:color w:val="auto"/>
              </w:rPr>
            </w:pPr>
            <w:r>
              <w:rPr>
                <w:rFonts w:ascii="Arial" w:cs="Arial" w:eastAsia="Arial" w:hAnsi="Arial"/>
                <w:sz w:val="18"/>
                <w:szCs w:val="18"/>
                <w:color w:val="auto"/>
                <w:w w:val="93"/>
              </w:rPr>
              <w:t>Short-term investments (4)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80,789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876,145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771,808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0"/>
        </w:trPr>
        <w:tc>
          <w:tcPr>
            <w:tcW w:w="23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non-interest earning</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34,045</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33,069</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914,031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807,796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40" w:type="dxa"/>
            <w:vAlign w:val="bottom"/>
          </w:tcPr>
          <w:p>
            <w:pPr>
              <w:spacing w:after="0" w:line="201" w:lineRule="exact"/>
              <w:rPr>
                <w:sz w:val="20"/>
                <w:szCs w:val="20"/>
                <w:color w:val="auto"/>
              </w:rPr>
            </w:pPr>
            <w:r>
              <w:rPr>
                <w:rFonts w:ascii="Arial" w:cs="Arial" w:eastAsia="Arial" w:hAnsi="Arial"/>
                <w:sz w:val="18"/>
                <w:szCs w:val="18"/>
                <w:color w:val="auto"/>
              </w:rPr>
              <w:t>Liabilities &amp; Stockholders'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65,985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62,317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34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36,453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5"/>
        </w:trPr>
        <w:tc>
          <w:tcPr>
            <w:tcW w:w="2340" w:type="dxa"/>
            <w:vAlign w:val="bottom"/>
            <w:tcBorders>
              <w:top w:val="single" w:sz="8" w:color="CCEEFF"/>
            </w:tcBorders>
          </w:tcPr>
          <w:p>
            <w:pPr>
              <w:ind w:left="160"/>
              <w:spacing w:after="0" w:line="195" w:lineRule="exact"/>
              <w:rPr>
                <w:sz w:val="20"/>
                <w:szCs w:val="20"/>
                <w:color w:val="auto"/>
              </w:rPr>
            </w:pPr>
            <w:r>
              <w:rPr>
                <w:rFonts w:ascii="Arial" w:cs="Arial" w:eastAsia="Arial" w:hAnsi="Arial"/>
                <w:sz w:val="18"/>
                <w:szCs w:val="18"/>
                <w:color w:val="auto"/>
              </w:rPr>
              <w:t>Total interest-bearing</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684,130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1,566</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578,577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340" w:type="dxa"/>
            <w:vAlign w:val="bottom"/>
          </w:tcPr>
          <w:p>
            <w:pPr>
              <w:ind w:left="320"/>
              <w:spacing w:after="0"/>
              <w:rPr>
                <w:sz w:val="20"/>
                <w:szCs w:val="20"/>
                <w:color w:val="auto"/>
              </w:rPr>
            </w:pPr>
            <w:r>
              <w:rPr>
                <w:rFonts w:ascii="Arial" w:cs="Arial" w:eastAsia="Arial" w:hAnsi="Arial"/>
                <w:sz w:val="18"/>
                <w:szCs w:val="18"/>
                <w:color w:val="auto"/>
              </w:rPr>
              <w:t>Borrowed funds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43,718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Junior subordinated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debentures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34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0"/>
        </w:trPr>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Total interest-bearing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634,637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w w:val="96"/>
              </w:rPr>
              <w:t>Non-interest bearing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40" w:type="dxa"/>
            <w:vAlign w:val="bottom"/>
          </w:tcPr>
          <w:p>
            <w:pPr>
              <w:spacing w:after="0" w:line="201" w:lineRule="exact"/>
              <w:rPr>
                <w:sz w:val="20"/>
                <w:szCs w:val="20"/>
                <w:color w:val="auto"/>
              </w:rPr>
            </w:pPr>
            <w:r>
              <w:rPr>
                <w:rFonts w:ascii="Arial" w:cs="Arial" w:eastAsia="Arial" w:hAnsi="Arial"/>
                <w:sz w:val="18"/>
                <w:szCs w:val="18"/>
                <w:color w:val="auto"/>
                <w:w w:val="97"/>
              </w:rPr>
              <w:t>Demand deposits and escrow</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accounts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66,384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54,647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799,153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696,367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line="195" w:lineRule="exact"/>
              <w:rPr>
                <w:sz w:val="20"/>
                <w:szCs w:val="20"/>
                <w:color w:val="auto"/>
              </w:rPr>
            </w:pPr>
            <w:r>
              <w:rPr>
                <w:rFonts w:ascii="Arial" w:cs="Arial" w:eastAsia="Arial" w:hAnsi="Arial"/>
                <w:sz w:val="18"/>
                <w:szCs w:val="18"/>
                <w:color w:val="auto"/>
              </w:rPr>
              <w:t>Total liabilities and</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914,031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807,796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color w:val="auto"/>
              </w:rPr>
              <w:t>stockholders' equity</w:t>
            </w:r>
          </w:p>
        </w:tc>
        <w:tc>
          <w:tcPr>
            <w:tcW w:w="2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160"/>
              <w:spacing w:after="0"/>
              <w:rPr>
                <w:sz w:val="20"/>
                <w:szCs w:val="20"/>
                <w:color w:val="auto"/>
              </w:rPr>
            </w:pPr>
            <w:r>
              <w:rPr>
                <w:rFonts w:ascii="Arial" w:cs="Arial" w:eastAsia="Arial" w:hAnsi="Arial"/>
                <w:sz w:val="18"/>
                <w:szCs w:val="18"/>
                <w:color w:val="auto"/>
              </w:rPr>
              <w:t>Net interest income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9,254</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9,120</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Interest rate spread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9"/>
          </w:tcPr>
          <w:p>
            <w:pPr>
              <w:ind w:left="320"/>
              <w:spacing w:after="0"/>
              <w:rPr>
                <w:sz w:val="20"/>
                <w:szCs w:val="20"/>
                <w:color w:val="auto"/>
              </w:rPr>
            </w:pPr>
            <w:r>
              <w:rPr>
                <w:rFonts w:ascii="Arial" w:cs="Arial" w:eastAsia="Arial" w:hAnsi="Arial"/>
                <w:sz w:val="18"/>
                <w:szCs w:val="18"/>
                <w:color w:val="auto"/>
              </w:rPr>
              <w:t>Three Months Ended March 31, 2016 compared to 2015</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94"/>
              </w:rPr>
              <w:t>Change Due to</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34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20"/>
                <w:szCs w:val="20"/>
                <w:color w:val="auto"/>
              </w:rPr>
            </w:pP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Change Due to Rate</w:t>
            </w: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(1,761)</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ind w:left="3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1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2016 and 2015</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Net interest and dividend income before provision for the nine months ended March 31, 2016 and 2015 was $28.7 million and $28.0 million, respectively. The increase of $652 thousand was largely attributable to average higher loan volume income in the purchased and originated loan portfolios. The following table summarizes interest income and related yields recognized on the Company’s loans for the nine months ended March 31, 2016 and 2015.</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1"/>
              </w:rPr>
              <w:t>Interest Income and Yield on Loans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color w:val="auto"/>
                <w:w w:val="92"/>
              </w:rPr>
              <w:t>Nine Months Ended March 31,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6"/>
                <w:szCs w:val="16"/>
                <w:color w:val="auto"/>
              </w:rPr>
            </w:pPr>
          </w:p>
        </w:tc>
        <w:tc>
          <w:tcPr>
            <w:tcW w:w="118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Balance (1)</w:t>
            </w:r>
          </w:p>
        </w:tc>
        <w:tc>
          <w:tcPr>
            <w:tcW w:w="20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Income</w:t>
            </w:r>
          </w:p>
        </w:tc>
        <w:tc>
          <w:tcPr>
            <w:tcW w:w="1440" w:type="dxa"/>
            <w:vAlign w:val="bottom"/>
            <w:gridSpan w:val="2"/>
          </w:tcPr>
          <w:p>
            <w:pPr>
              <w:jc w:val="right"/>
              <w:ind w:right="57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Balance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71"/>
              </w:rPr>
              <w:t>in</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8,850</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236,584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LASG: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5,991</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320" w:type="dxa"/>
            <w:vAlign w:val="bottom"/>
          </w:tcPr>
          <w:p>
            <w:pPr>
              <w:ind w:left="160"/>
              <w:spacing w:after="0"/>
              <w:rPr>
                <w:sz w:val="20"/>
                <w:szCs w:val="20"/>
                <w:color w:val="auto"/>
              </w:rPr>
            </w:pPr>
            <w:r>
              <w:rPr>
                <w:rFonts w:ascii="Arial" w:cs="Arial" w:eastAsia="Arial" w:hAnsi="Arial"/>
                <w:sz w:val="18"/>
                <w:szCs w:val="18"/>
                <w:color w:val="auto"/>
              </w:rPr>
              <w:t>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211,519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18,347</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11.54%</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206,747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20,125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Secured Loans to Broker-</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60,004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440" w:type="dxa"/>
            <w:vAlign w:val="bottom"/>
            <w:tcBorders>
              <w:right w:val="single" w:sz="8" w:color="CCEEFF"/>
            </w:tcBorders>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39,054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Dealers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4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ind w:left="320"/>
              <w:spacing w:after="0"/>
              <w:rPr>
                <w:sz w:val="20"/>
                <w:szCs w:val="20"/>
                <w:color w:val="auto"/>
              </w:rPr>
            </w:pPr>
            <w:r>
              <w:rPr>
                <w:rFonts w:ascii="Arial" w:cs="Arial" w:eastAsia="Arial" w:hAnsi="Arial"/>
                <w:sz w:val="18"/>
                <w:szCs w:val="18"/>
                <w:color w:val="auto"/>
              </w:rPr>
              <w:t>Total LASG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410,283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24,563</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312,115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23,705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652,455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33,413</w:t>
            </w:r>
          </w:p>
        </w:tc>
        <w:tc>
          <w:tcPr>
            <w:tcW w:w="22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32,487</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loans held for sale.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interest rate spread and net interest margin decreased by 40 basis points and 41 basis points, respectively, for the nine months ended March 31, 2016, compared to the nine months ended March 31, 2015. These decreases were principally the result of lower total return on purchased loans. The following sets forth the average balance sheets, interest income and interest expense, and average yields and costs for the nine months ended March 31, 2016 and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Nine Months Ended March 31,</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Interest</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Interest</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Income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Yield/</w:t>
            </w: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Income</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Expense</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Expense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 (1)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Loans (2) (3)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652,455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33,413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548,699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32,487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stock</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Short-term investments (4)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92,784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842,692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34,408</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755,190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33,402</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881,442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791,186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67,078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62,731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122,165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34,049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339,116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648,914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4,356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0.89%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558,061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3,681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Borrowed funds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47,455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Junior subordinated debentures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interest-bearing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694,120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618,356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7"/>
              </w:rPr>
              <w:t>Demand deposits and escrow accounts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54,339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767,459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678,858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113,983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112,328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w w:val="99"/>
              </w:rPr>
              <w:t>Total liabilities and stockholders' equity</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881,442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791,186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Net interest income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28,669</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28,017</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tcBorders>
              <w:right w:val="single" w:sz="8" w:color="CCEEFF"/>
            </w:tcBorders>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 rate spread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loans held for sale.</w:t>
      </w:r>
    </w:p>
    <w:p>
      <w:pPr>
        <w:sectPr>
          <w:pgSz w:w="11900" w:h="16838" w:orient="portrait"/>
          <w:cols w:equalWidth="0" w:num="1">
            <w:col w:w="11480"/>
          </w:cols>
          <w:pgMar w:left="240" w:top="118" w:right="179" w:bottom="0" w:gutter="0" w:footer="0" w:header="0"/>
        </w:sectPr>
      </w:pPr>
    </w:p>
    <w:bookmarkStart w:id="44" w:name="page45"/>
    <w:bookmarkEnd w:id="44"/>
    <w:p>
      <w:pPr>
        <w:ind w:left="332" w:hanging="332"/>
        <w:spacing w:after="0"/>
        <w:tabs>
          <w:tab w:leader="none" w:pos="3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46" w:lineRule="exact"/>
        <w:rPr>
          <w:rFonts w:ascii="Arial" w:cs="Arial" w:eastAsia="Arial" w:hAnsi="Arial"/>
          <w:sz w:val="16"/>
          <w:szCs w:val="16"/>
          <w:color w:val="auto"/>
        </w:rPr>
      </w:pPr>
    </w:p>
    <w:p>
      <w:pPr>
        <w:ind w:left="332" w:hanging="332"/>
        <w:spacing w:after="0"/>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00" w:lineRule="exact"/>
        <w:rPr>
          <w:sz w:val="20"/>
          <w:szCs w:val="20"/>
          <w:color w:val="auto"/>
        </w:rPr>
      </w:pPr>
    </w:p>
    <w:p>
      <w:pPr>
        <w:spacing w:after="0" w:line="254" w:lineRule="exact"/>
        <w:rPr>
          <w:sz w:val="20"/>
          <w:szCs w:val="20"/>
          <w:color w:val="auto"/>
        </w:rPr>
      </w:pPr>
    </w:p>
    <w:p>
      <w:pPr>
        <w:jc w:val="center"/>
        <w:ind w:right="-43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92"/>
          </w:cols>
          <w:pgMar w:left="248" w:top="125" w:right="65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9"/>
          </w:tcPr>
          <w:p>
            <w:pPr>
              <w:jc w:val="right"/>
              <w:ind w:right="620"/>
              <w:spacing w:after="0"/>
              <w:rPr>
                <w:sz w:val="20"/>
                <w:szCs w:val="20"/>
                <w:color w:val="auto"/>
              </w:rPr>
            </w:pPr>
            <w:r>
              <w:rPr>
                <w:rFonts w:ascii="Arial" w:cs="Arial" w:eastAsia="Arial" w:hAnsi="Arial"/>
                <w:sz w:val="18"/>
                <w:szCs w:val="18"/>
                <w:color w:val="auto"/>
                <w:w w:val="98"/>
              </w:rPr>
              <w:t>Nine Months Ended March 31, 2016 compared to 2015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94"/>
              </w:rPr>
              <w:t>Change Due to</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20"/>
                <w:szCs w:val="20"/>
                <w:color w:val="auto"/>
              </w:rPr>
            </w:pP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Change Due to Rate</w:t>
            </w: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(2,937)</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accounted for under ASC 310-30, a provision for loan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Formation LLC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2016 and 2015</w:t>
      </w:r>
    </w:p>
    <w:p>
      <w:pPr>
        <w:spacing w:after="0" w:line="22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The provision for loan losses for the quarter ended March 31, 2016 and 2015 was $236 thousand and $44 thousand, respectively. The increase in the Company’s loan loss provision resulted principally due to the increased volume of newly originated loans, offset by charge-offs.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2016 and 2015</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provision for loan losses for the nine months ended March 31, 2016 and 2015 was $1.3 million and $477 thousand, respectively. The increase in the Company’s loan loss provision is principally due to two loans which were provided for in the second quarter and increased volume of newly originated loans, offset by charge-offs.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2016 and 2015</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Noninterest income increased by $481 thousand for the quarter ended March 31, 2016, compared to the quarter ended March 31, 2015, principally due to an increase in gains realized on sale of portfolio loans. The recent quarter includes gains realized on sale of SBA loans of $1.2 million, compared to $425 thousand in the quarter ended March 31, 2015. The gain is offset by lower gains recognized on real estate owned and other repossessed collateral of $411 thousand.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2016 and 2015</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Noninterest income increased by $1.3 million for the nine months ended March 31, 2016, compared to the nine months ended March 31, 2015, principally due to an increase of $1.6 million in gains realized on sale of portfolio loans. The recent period includes gains realized on sale of SBA loans of $2.6 million, compared to $950 thousand in the nine months ended March 31, 2015.</w:t>
      </w:r>
    </w:p>
    <w:p>
      <w:pPr>
        <w:sectPr>
          <w:pgSz w:w="11900" w:h="16838" w:orient="portrait"/>
          <w:cols w:equalWidth="0" w:num="1">
            <w:col w:w="11420"/>
          </w:cols>
          <w:pgMar w:left="240" w:top="118" w:right="239" w:bottom="1081"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081"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2016 and 2015</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Noninterest expense increased by $527 thousand for the quarter ended March 31, 2016, compared to the quarter ended March 31, 2015, primarily due to an increase in salaries and employee benefits of $530 thousand, due to increased employee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2016 and 2015</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Noninterest expense increased by $585 thousand for the nine months ended March 31, 2016, compared to the nine months ended March 31, 2015, principally due to the following:</w:t>
      </w:r>
    </w:p>
    <w:p>
      <w:pPr>
        <w:spacing w:after="0" w:line="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$370 thousand in salaries and employee benefits, principally due to increased employee headcount;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$275 thousand in occupancy and equipment expense, due to increases in rent and IT-related equipment expense; and</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$135 thousand in loan acquisition and collections expense, principally due to lower legal expense related to loan collection in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2016 and 2015</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income tax expense was $832 thousand or an effective rate of 31.5%, for the three months ended March 31, 2016, as compared to $993 thousand, or an effective rate of 36.2%, for the three months ended March 31, 2015, primarily due to the refinement of taxes payable and state apportionment as a result of the Company’s tax returns filed in the quarter ended March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2016 and 2015</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Company’s income tax expense was $2.9 million or an effective rate of 34.8%, for the nine months ended March 31, 2016, as compared to $2.8 million, or an effective rate of 36.1%, for the nine months ended March 31, 2015, primarily due to the adoption of ASU 2014-01 in the current period as well as the refinement of taxes payable and state apportionment as a result of the Company’s tax returns filed in the quarter ended March 31, 2016.</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March 31, 2016.</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March 31, 2016 that have materially affected, or is reasonably likely to materially affect, the Company’s internal controls over financial reporting.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ind w:left="820" w:right="280"/>
        <w:spacing w:after="0" w:line="277" w:lineRule="auto"/>
        <w:rPr>
          <w:sz w:val="20"/>
          <w:szCs w:val="20"/>
          <w:color w:val="auto"/>
        </w:rPr>
      </w:pPr>
      <w:r>
        <w:rPr>
          <w:rFonts w:ascii="Arial" w:cs="Arial" w:eastAsia="Arial" w:hAnsi="Arial"/>
          <w:sz w:val="18"/>
          <w:szCs w:val="18"/>
          <w:color w:val="auto"/>
        </w:rPr>
        <w:t>The following table sets forth information with respect to purchases made by the Company of its common stock during the three months ended March 31, 2016.</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Purchased</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Average Price Per</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Purchased Under</w:t>
            </w:r>
          </w:p>
        </w:tc>
      </w:t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Purchased (1)</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the Program</w:t>
            </w:r>
          </w:p>
        </w:tc>
      </w:tr>
      <w:tr>
        <w:trPr>
          <w:trHeight w:val="210"/>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 1 – Jan. 31</w:t>
            </w:r>
          </w:p>
        </w:tc>
        <w:tc>
          <w:tcPr>
            <w:tcW w:w="12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22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0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1,134,762</w:t>
            </w:r>
          </w:p>
        </w:tc>
        <w:tc>
          <w:tcPr>
            <w:tcW w:w="22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235,238</w:t>
            </w:r>
          </w:p>
        </w:tc>
        <w:tc>
          <w:tcPr>
            <w:tcW w:w="10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Feb. 1 – Feb. 29</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87,300</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9.88</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1,222,062</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147,938</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Mar. 1 - Mar. 31</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89,300</w:t>
            </w: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10.55</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1,311,362</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658,638</w:t>
            </w: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  Based on trade date, not settlement date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-7620</wp:posOffset>
            </wp:positionV>
            <wp:extent cx="285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Exhibits No</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Description</w:t>
      </w:r>
    </w:p>
    <w:p>
      <w:pPr>
        <w:spacing w:after="0" w:line="23" w:lineRule="exact"/>
        <w:rPr>
          <w:sz w:val="20"/>
          <w:szCs w:val="20"/>
          <w:color w:val="auto"/>
        </w:rPr>
      </w:pPr>
    </w:p>
    <w:p>
      <w:pPr>
        <w:ind w:left="740"/>
        <w:spacing w:after="0"/>
        <w:tabs>
          <w:tab w:leader="none" w:pos="1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(Rule 13a-14(a)). *</w:t>
      </w:r>
    </w:p>
    <w:p>
      <w:pPr>
        <w:spacing w:after="0" w:line="9" w:lineRule="exact"/>
        <w:rPr>
          <w:sz w:val="20"/>
          <w:szCs w:val="20"/>
          <w:color w:val="auto"/>
        </w:rPr>
      </w:pPr>
    </w:p>
    <w:p>
      <w:pPr>
        <w:ind w:left="740"/>
        <w:spacing w:after="0"/>
        <w:tabs>
          <w:tab w:leader="none" w:pos="1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(Rule 13a-14(a)). *</w:t>
      </w:r>
    </w:p>
    <w:p>
      <w:pPr>
        <w:spacing w:after="0" w:line="9" w:lineRule="exact"/>
        <w:rPr>
          <w:sz w:val="20"/>
          <w:szCs w:val="20"/>
          <w:color w:val="auto"/>
        </w:rPr>
      </w:pPr>
    </w:p>
    <w:p>
      <w:pPr>
        <w:ind w:left="1460" w:hanging="724"/>
        <w:spacing w:after="0" w:line="250" w:lineRule="auto"/>
        <w:tabs>
          <w:tab w:leader="none" w:pos="1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1460" w:right="40" w:hanging="724"/>
        <w:spacing w:after="0" w:line="250" w:lineRule="auto"/>
        <w:tabs>
          <w:tab w:leader="none" w:pos="14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1460" w:right="20" w:hanging="696"/>
        <w:spacing w:after="0" w:line="252"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following materials from Northeast Bancorp’s Quarterly Report on Form 10-Q for the quarter ended March 31, 2016 formatted in XBRL: (i) Consolidated Balance Sheets at March 31, 2016 and June 30, 2015; (ii) Consolidated Statements of Income for the three and nine months ended March 31, 2016 and 2015; (iii) Consolidated Statements of Comprehensive Income for the three and nine months ended March 31, 2016 and 2015; (iv) Consolidated Statements of Changes in Shareholders’ Equity for the nine months ended March 31, 2016 and 2015; (v) Consolidated Statements of Cash Flows for the nine months ended March 31, 2016 and 2015; and (v) Notes to Unaudited Consolidated Financial Statements.</w:t>
      </w:r>
    </w:p>
    <w:p>
      <w:pPr>
        <w:spacing w:after="0" w:line="19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20"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May 13, 2016</w:t>
      </w:r>
      <w:r>
        <w:rPr>
          <w:sz w:val="20"/>
          <w:szCs w:val="20"/>
          <w:color w:val="auto"/>
        </w:rPr>
        <w:tab/>
      </w:r>
      <w:r>
        <w:rPr>
          <w:rFonts w:ascii="Arial" w:cs="Arial" w:eastAsia="Arial" w:hAnsi="Arial"/>
          <w:sz w:val="17"/>
          <w:szCs w:val="17"/>
          <w:b w:val="1"/>
          <w:bCs w:val="1"/>
          <w:color w:val="auto"/>
        </w:rPr>
        <w:t>NORTHEAST BANCORP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Richard Wayne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Brian Shaughnessy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Brian 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NORTHEAST BANCORP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520"/>
        <w:spacing w:after="0"/>
        <w:tabs>
          <w:tab w:leader="none" w:pos="1240" w:val="left"/>
        </w:tabs>
        <w:rPr>
          <w:sz w:val="20"/>
          <w:szCs w:val="20"/>
          <w:color w:val="auto"/>
        </w:rPr>
      </w:pPr>
      <w:r>
        <w:rPr>
          <w:rFonts w:ascii="Arial" w:cs="Arial" w:eastAsia="Arial" w:hAnsi="Arial"/>
          <w:sz w:val="18"/>
          <w:szCs w:val="18"/>
          <w:u w:val="single" w:color="auto"/>
          <w:color w:val="auto"/>
        </w:rPr>
        <w:t>Exhibits</w:t>
      </w:r>
      <w:r>
        <w:rPr>
          <w:sz w:val="20"/>
          <w:szCs w:val="20"/>
          <w:color w:val="auto"/>
        </w:rPr>
        <w:tab/>
      </w:r>
      <w:r>
        <w:rPr>
          <w:rFonts w:ascii="Arial" w:cs="Arial" w:eastAsia="Arial" w:hAnsi="Arial"/>
          <w:sz w:val="16"/>
          <w:szCs w:val="16"/>
          <w:u w:val="single" w:color="auto"/>
          <w:color w:val="auto"/>
        </w:rPr>
        <w:t>Description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No</w:t>
      </w:r>
      <w:r>
        <w:rPr>
          <w:rFonts w:ascii="Arial" w:cs="Arial" w:eastAsia="Arial" w:hAnsi="Arial"/>
          <w:sz w:val="18"/>
          <w:szCs w:val="18"/>
          <w:color w:val="auto"/>
        </w:rPr>
        <w:t>.</w:t>
      </w:r>
    </w:p>
    <w:p>
      <w:pPr>
        <w:spacing w:after="0" w:line="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 2002 (Rule 13a-14(a)). *</w:t>
      </w:r>
    </w:p>
    <w:p>
      <w:pPr>
        <w:spacing w:after="0" w:line="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 2002 (Rule 13a-14(a)). *</w:t>
      </w:r>
    </w:p>
    <w:p>
      <w:pPr>
        <w:spacing w:after="0" w:line="9" w:lineRule="exact"/>
        <w:rPr>
          <w:sz w:val="20"/>
          <w:szCs w:val="20"/>
          <w:color w:val="auto"/>
        </w:rPr>
      </w:pPr>
    </w:p>
    <w:p>
      <w:pPr>
        <w:ind w:left="1260" w:hanging="609"/>
        <w:spacing w:after="0" w:line="250" w:lineRule="auto"/>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1260" w:right="60" w:hanging="609"/>
        <w:spacing w:after="0" w:line="250" w:lineRule="auto"/>
        <w:tabs>
          <w:tab w:leader="none" w:pos="12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1260" w:right="40" w:hanging="583"/>
        <w:spacing w:after="0" w:line="252" w:lineRule="auto"/>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following materials from Northeast Bancorp’s Quarterly Report on Form 10-Q for the quarter ended March 31, 2016 formatted in XBRL: (i) Consolidated Balance Sheets at March 31, 2016 and June 30, 2015; (ii) Consolidated Statements of Income for the three and nine months ended March 31, 2016 and 2015; (iii) Consolidated Statements of Comprehensive Income for the three and nine months ended March 31, 2016 and 2015; (iv) Consolidated Statements of Changes in Shareholders’ Equity for the nine months ended March 31, 2016 and 2015; (v) Consolidated Statements of Cash Flows for the nine months ended March 31, 2016 and 2015; and (v) Notes to Unaudited Consolidated Financial Statements.</w:t>
      </w:r>
    </w:p>
    <w:p>
      <w:pPr>
        <w:spacing w:after="0" w:line="19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11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Exhibit 31.1 Certification of the Chief Executive Officer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6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79" w:lineRule="exact"/>
        <w:rPr>
          <w:rFonts w:ascii="Arial" w:cs="Arial" w:eastAsia="Arial" w:hAnsi="Arial"/>
          <w:sz w:val="18"/>
          <w:szCs w:val="18"/>
          <w:color w:val="auto"/>
        </w:rPr>
      </w:pPr>
    </w:p>
    <w:p>
      <w:pPr>
        <w:ind w:left="340" w:right="4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340" w:right="40" w:hanging="8"/>
        <w:spacing w:after="0" w:line="264" w:lineRule="auto"/>
        <w:tabs>
          <w:tab w:leader="none" w:pos="5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340" w:right="20" w:hanging="8"/>
        <w:spacing w:after="0" w:line="264" w:lineRule="auto"/>
        <w:tabs>
          <w:tab w:leader="none" w:pos="5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340" w:right="100" w:hanging="8"/>
        <w:spacing w:after="0" w:line="308" w:lineRule="auto"/>
        <w:tabs>
          <w:tab w:leader="none" w:pos="585"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340" w:right="140" w:hanging="8"/>
        <w:spacing w:after="0" w:line="264" w:lineRule="auto"/>
        <w:tabs>
          <w:tab w:leader="none" w:pos="5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340" w:right="4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340" w:hanging="8"/>
        <w:spacing w:after="0" w:line="277" w:lineRule="auto"/>
        <w:tabs>
          <w:tab w:leader="none" w:pos="5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340" w:right="60" w:hanging="8"/>
        <w:spacing w:after="0" w:line="277" w:lineRule="auto"/>
        <w:tabs>
          <w:tab w:leader="none" w:pos="5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 13, 2016</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Wayne</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40"/>
          </w:cols>
          <w:pgMar w:left="240" w:top="121" w:right="319" w:bottom="1440" w:gutter="0" w:footer="0" w:header="0"/>
        </w:sectPr>
      </w:pPr>
    </w:p>
    <w:bookmarkStart w:id="52" w:name="page53"/>
    <w:bookmarkEnd w:id="52"/>
    <w:p>
      <w:pPr>
        <w:spacing w:after="0"/>
        <w:tabs>
          <w:tab w:leader="none" w:pos="114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Brian Shaughnessy, certify that:</w:t>
      </w:r>
    </w:p>
    <w:p>
      <w:pPr>
        <w:spacing w:after="0" w:line="26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79" w:lineRule="exact"/>
        <w:rPr>
          <w:rFonts w:ascii="Arial" w:cs="Arial" w:eastAsia="Arial" w:hAnsi="Arial"/>
          <w:sz w:val="18"/>
          <w:szCs w:val="18"/>
          <w:color w:val="auto"/>
        </w:rPr>
      </w:pPr>
    </w:p>
    <w:p>
      <w:pPr>
        <w:ind w:left="340" w:right="4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ind w:left="340" w:right="40" w:hanging="8"/>
        <w:spacing w:after="0" w:line="264" w:lineRule="auto"/>
        <w:tabs>
          <w:tab w:leader="none" w:pos="58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340" w:right="20" w:hanging="8"/>
        <w:spacing w:after="0" w:line="264" w:lineRule="auto"/>
        <w:tabs>
          <w:tab w:leader="none" w:pos="5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340" w:right="100" w:hanging="8"/>
        <w:spacing w:after="0" w:line="308" w:lineRule="auto"/>
        <w:tabs>
          <w:tab w:leader="none" w:pos="585"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340" w:right="140" w:hanging="8"/>
        <w:spacing w:after="0" w:line="264" w:lineRule="auto"/>
        <w:tabs>
          <w:tab w:leader="none" w:pos="5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340" w:right="4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340" w:hanging="8"/>
        <w:spacing w:after="0" w:line="277" w:lineRule="auto"/>
        <w:tabs>
          <w:tab w:leader="none" w:pos="5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340" w:right="60" w:hanging="8"/>
        <w:spacing w:after="0" w:line="277" w:lineRule="auto"/>
        <w:tabs>
          <w:tab w:leader="none" w:pos="58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13, 2016</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Brian Shaughnessy</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Brian 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40"/>
          </w:cols>
          <w:pgMar w:left="240" w:top="121" w:right="319" w:bottom="1440" w:gutter="0" w:footer="0" w:header="0"/>
        </w:sectPr>
      </w:pPr>
    </w:p>
    <w:bookmarkStart w:id="53" w:name="page54"/>
    <w:bookmarkEnd w:id="53"/>
    <w:p>
      <w:pPr>
        <w:spacing w:after="0"/>
        <w:tabs>
          <w:tab w:leader="none" w:pos="1180" w:val="left"/>
        </w:tabs>
        <w:rPr>
          <w:sz w:val="20"/>
          <w:szCs w:val="20"/>
          <w:color w:val="auto"/>
        </w:rPr>
      </w:pPr>
      <w:r>
        <w:rPr>
          <w:rFonts w:ascii="Arial" w:cs="Arial" w:eastAsia="Arial" w:hAnsi="Arial"/>
          <w:sz w:val="18"/>
          <w:szCs w:val="18"/>
          <w:b w:val="1"/>
          <w:bCs w:val="1"/>
          <w:color w:val="auto"/>
        </w:rPr>
        <w:t>Exhibit 32.1.</w:t>
      </w:r>
      <w:r>
        <w:rPr>
          <w:sz w:val="20"/>
          <w:szCs w:val="20"/>
          <w:color w:val="auto"/>
        </w:rPr>
        <w:tab/>
      </w:r>
      <w:r>
        <w:rPr>
          <w:rFonts w:ascii="Arial" w:cs="Arial" w:eastAsia="Arial" w:hAnsi="Arial"/>
          <w:sz w:val="16"/>
          <w:szCs w:val="16"/>
          <w:b w:val="1"/>
          <w:bCs w:val="1"/>
          <w:color w:val="auto"/>
        </w:rPr>
        <w:t>Certificate of the Chief Executive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December 31, 2015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235" w:lineRule="exact"/>
        <w:rPr>
          <w:sz w:val="20"/>
          <w:szCs w:val="20"/>
          <w:color w:val="auto"/>
        </w:rPr>
      </w:pPr>
    </w:p>
    <w:p>
      <w:pPr>
        <w:ind w:left="480" w:hanging="310"/>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302" w:lineRule="exact"/>
        <w:rPr>
          <w:rFonts w:ascii="Arial" w:cs="Arial" w:eastAsia="Arial" w:hAnsi="Arial"/>
          <w:sz w:val="16"/>
          <w:szCs w:val="16"/>
          <w:color w:val="auto"/>
        </w:rPr>
      </w:pPr>
    </w:p>
    <w:p>
      <w:pPr>
        <w:ind w:left="180" w:right="20" w:hanging="10"/>
        <w:spacing w:after="0" w:line="277"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May 13, 2016</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Wayne</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4" w:name="page55"/>
    <w:bookmarkEnd w:id="54"/>
    <w:p>
      <w:pPr>
        <w:spacing w:after="0"/>
        <w:tabs>
          <w:tab w:leader="none" w:pos="118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December 31, 2015 as filed with the Securities and Exchange Commission on the date hereof (the "Report"), I, Brian Shaughnessy, as Chief Financial Officer of the Company, hereby certify pursuant to 18 U.S.C. 1350, as adopted pursuant to 906 of the Sarbanes-Oxley Act of 2002, that:</w:t>
      </w:r>
    </w:p>
    <w:p>
      <w:pPr>
        <w:spacing w:after="0" w:line="235" w:lineRule="exact"/>
        <w:rPr>
          <w:sz w:val="20"/>
          <w:szCs w:val="20"/>
          <w:color w:val="auto"/>
        </w:rPr>
      </w:pPr>
    </w:p>
    <w:p>
      <w:pPr>
        <w:ind w:left="480" w:hanging="310"/>
        <w:spacing w:after="0"/>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302" w:lineRule="exact"/>
        <w:rPr>
          <w:rFonts w:ascii="Arial" w:cs="Arial" w:eastAsia="Arial" w:hAnsi="Arial"/>
          <w:sz w:val="16"/>
          <w:szCs w:val="16"/>
          <w:color w:val="auto"/>
        </w:rPr>
      </w:pPr>
    </w:p>
    <w:p>
      <w:pPr>
        <w:ind w:left="180" w:hanging="10"/>
        <w:spacing w:after="0" w:line="277"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2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13, 2016</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Brian Shaughnessy</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Brian 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decimal"/>
      <w:start w:val="4"/>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10"/>
    </w:lvl>
  </w:abstractNum>
  <w:abstractNum w:abstractNumId="11">
    <w:nsid w:val="333AB105"/>
    <w:multiLevelType w:val="hybridMultilevel"/>
    <w:lvl w:ilvl="0">
      <w:lvlJc w:val="left"/>
      <w:lvlText w:val="%1."/>
      <w:numFmt w:val="decimal"/>
      <w:start w:val="1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3"/>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lvl w:ilvl="1">
      <w:lvlJc w:val="left"/>
      <w:lvlText w:val="%2"/>
      <w:numFmt w:val="decimal"/>
      <w:start w:val="101"/>
    </w:lvl>
  </w:abstractNum>
  <w:abstractNum w:abstractNumId="24">
    <w:nsid w:val="2CA88611"/>
    <w:multiLevelType w:val="hybridMultilevel"/>
    <w:lvl w:ilvl="0">
      <w:lvlJc w:val="left"/>
      <w:lvlText w:val="**"/>
      <w:numFmt w:val="bullet"/>
      <w:start w:val="1"/>
    </w:lvl>
    <w:lvl w:ilvl="1">
      <w:lvlJc w:val="left"/>
      <w:lvlText w:val="%2"/>
      <w:numFmt w:val="decimal"/>
      <w:start w:val="1"/>
    </w:lvl>
  </w:abstractNum>
  <w:abstractNum w:abstractNumId="25">
    <w:nsid w:val="836C40E"/>
    <w:multiLevelType w:val="hybridMultilevel"/>
    <w:lvl w:ilvl="0">
      <w:lvlJc w:val="left"/>
      <w:lvlText w:val="*"/>
      <w:numFmt w:val="bullet"/>
      <w:start w:val="1"/>
    </w:lvl>
    <w:lvl w:ilvl="1">
      <w:lvlJc w:val="left"/>
      <w:lvlText w:val="%2"/>
      <w:numFmt w:val="decimal"/>
      <w:start w:val="101"/>
    </w:lvl>
  </w:abstractNum>
  <w:abstractNum w:abstractNumId="26">
    <w:nsid w:val="2901D82"/>
    <w:multiLevelType w:val="hybridMultilevel"/>
    <w:lvl w:ilvl="0">
      <w:lvlJc w:val="left"/>
      <w:lvlText w:val="**"/>
      <w:numFmt w:val="bullet"/>
      <w:start w:val="1"/>
    </w:lvl>
    <w:lvl w:ilvl="1">
      <w:lvlJc w:val="left"/>
      <w:lvlText w:val="%2"/>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2019-12-29T11:25:55Z</dcterms:created>
  <dcterms:modified xsi:type="dcterms:W3CDTF">2019-12-29T11:25:55Z</dcterms:modified>
</cp:coreProperties>
</file>