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3120"/>
        <w:spacing w:after="0" w:line="274" w:lineRule="auto"/>
        <w:rPr>
          <w:sz w:val="20"/>
          <w:szCs w:val="20"/>
          <w:color w:val="auto"/>
        </w:rPr>
      </w:pPr>
      <w:r>
        <w:rPr>
          <w:rFonts w:ascii="Arial" w:cs="Arial" w:eastAsia="Arial" w:hAnsi="Arial"/>
          <w:sz w:val="17"/>
          <w:szCs w:val="17"/>
          <w:b w:val="1"/>
          <w:bCs w:val="1"/>
          <w:color w:val="auto"/>
        </w:rPr>
        <w:t>POST-EFFECTIVE AMENDMENT NO. 1 TO FORM S-8 REGISTRATION STATEMENT No. 333-186356 POST-EFFECTIVE AMENDMENT NO. 1 TO FORM S-8 REGISTRATION STATEMENT No. 333-172974 POST-EFFECTIVE AMENDMENT NO. 1 TO FORM S-8 REGISTRATION STATEMENT No. 333-171466 POST-EFFECTIVE AMENDMENT NO. 1 TO FORM S-8 REGISTRATION STATEMENT No. 333-135452 POST-EFFECTIVE AMENDMENT NO. 1 TO FORM S-8 REGISTRATION STATEMENT No. 333-85206 POST-EFFECTIVE AMENDMENT NO. 1 TO FORM S-8 REGISTRATION STATEMENT No. 333-31664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270"/>
        </w:trPr>
        <w:tc>
          <w:tcPr>
            <w:tcW w:w="3300" w:type="dxa"/>
            <w:vAlign w:val="bottom"/>
            <w:tcBorders>
              <w:bottom w:val="single" w:sz="8" w:color="auto"/>
            </w:tcBorders>
          </w:tcPr>
          <w:p>
            <w:pPr>
              <w:spacing w:after="0"/>
              <w:rPr>
                <w:sz w:val="23"/>
                <w:szCs w:val="23"/>
                <w:color w:val="auto"/>
              </w:rPr>
            </w:pPr>
          </w:p>
        </w:tc>
        <w:tc>
          <w:tcPr>
            <w:tcW w:w="8120" w:type="dxa"/>
            <w:vAlign w:val="bottom"/>
            <w:tcBorders>
              <w:bottom w:val="single" w:sz="8" w:color="auto"/>
            </w:tcBorders>
          </w:tcPr>
          <w:p>
            <w:pPr>
              <w:spacing w:after="0"/>
              <w:rPr>
                <w:sz w:val="23"/>
                <w:szCs w:val="23"/>
                <w:color w:val="auto"/>
              </w:rPr>
            </w:pPr>
          </w:p>
        </w:tc>
      </w:tr>
      <w:tr>
        <w:trPr>
          <w:trHeight w:val="461"/>
        </w:trPr>
        <w:tc>
          <w:tcPr>
            <w:tcW w:w="3300" w:type="dxa"/>
            <w:vAlign w:val="bottom"/>
          </w:tcPr>
          <w:p>
            <w:pPr>
              <w:spacing w:after="0"/>
              <w:rPr>
                <w:sz w:val="24"/>
                <w:szCs w:val="24"/>
                <w:color w:val="auto"/>
              </w:rPr>
            </w:pPr>
          </w:p>
        </w:tc>
        <w:tc>
          <w:tcPr>
            <w:tcW w:w="81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9"/>
              </w:rPr>
              <w:t>NORTHEAST BANCORP</w:t>
            </w:r>
          </w:p>
        </w:tc>
      </w:t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418"/>
        </w:trPr>
        <w:tc>
          <w:tcPr>
            <w:tcW w:w="33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Maine</w:t>
            </w:r>
          </w:p>
        </w:tc>
        <w:tc>
          <w:tcPr>
            <w:tcW w:w="812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01-0425066</w:t>
            </w:r>
          </w:p>
        </w:tc>
      </w:tr>
      <w:tr>
        <w:trPr>
          <w:trHeight w:val="216"/>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8120" w:type="dxa"/>
            <w:vAlign w:val="bottom"/>
          </w:tcPr>
          <w:p>
            <w:pPr>
              <w:jc w:val="center"/>
              <w:ind w:left="4390"/>
              <w:spacing w:after="0"/>
              <w:rPr>
                <w:sz w:val="20"/>
                <w:szCs w:val="20"/>
                <w:color w:val="auto"/>
              </w:rPr>
            </w:pPr>
            <w:r>
              <w:rPr>
                <w:rFonts w:ascii="Arial" w:cs="Arial" w:eastAsia="Arial" w:hAnsi="Arial"/>
                <w:sz w:val="18"/>
                <w:szCs w:val="18"/>
                <w:color w:val="auto"/>
                <w:w w:val="93"/>
              </w:rPr>
              <w:t>(I.R.S. Employer</w:t>
            </w:r>
          </w:p>
        </w:tc>
      </w:tr>
      <w:tr>
        <w:trPr>
          <w:trHeight w:val="230"/>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1"/>
              </w:rPr>
              <w:t>Incorporation or Organization)</w:t>
            </w:r>
          </w:p>
        </w:tc>
        <w:tc>
          <w:tcPr>
            <w:tcW w:w="8120" w:type="dxa"/>
            <w:vAlign w:val="bottom"/>
          </w:tcPr>
          <w:p>
            <w:pPr>
              <w:jc w:val="center"/>
              <w:ind w:left="437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line="256" w:lineRule="auto"/>
        <w:rPr>
          <w:sz w:val="20"/>
          <w:szCs w:val="20"/>
          <w:color w:val="auto"/>
        </w:rPr>
      </w:pPr>
      <w:r>
        <w:rPr>
          <w:rFonts w:ascii="Arial" w:cs="Arial" w:eastAsia="Arial" w:hAnsi="Arial"/>
          <w:sz w:val="18"/>
          <w:szCs w:val="18"/>
          <w:color w:val="auto"/>
        </w:rPr>
        <w:t>Northeast Bancorp Amended and Restated 2010 Stock Option and Incentive Plan Northeast Bancorp 2010 Stock Option and Incentive Plan Northeast Bancorp 401(K) Savings and Retirement Plan Northeast Bancorp 1992 Stock Option Plan Northeast Bancorp 1999 Stock Option Plan Northeast Bancorp 2001 Stock Option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-699770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Richard Wayne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-130175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 (207)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Matthew Dyckman,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New York Avenue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20001 (202) 346-4000</w:t>
      </w:r>
    </w:p>
    <w:p>
      <w:pPr>
        <w:spacing w:after="0" w:line="21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20" w:space="80"/>
            <w:col w:w="2980" w:space="720"/>
            <w:col w:w="1240" w:space="80"/>
            <w:col w:w="4600"/>
          </w:cols>
          <w:pgMar w:left="240" w:top="78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060" w:space="720"/>
            <w:col w:w="2060" w:space="100"/>
            <w:col w:w="3760"/>
          </w:cols>
          <w:pgMar w:left="240" w:top="783" w:right="239" w:bottom="1440" w:gutter="0" w:footer="0" w:header="0"/>
          <w:type w:val="continuous"/>
        </w:sectPr>
      </w:pPr>
    </w:p>
    <w:p>
      <w:pPr>
        <w:spacing w:after="0" w:line="48" w:lineRule="exact"/>
        <w:rPr>
          <w:sz w:val="24"/>
          <w:szCs w:val="24"/>
          <w:color w:val="auto"/>
        </w:rPr>
      </w:pPr>
    </w:p>
    <w:p>
      <w:pPr>
        <w:ind w:left="5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7540" w:space="80"/>
            <w:col w:w="3800"/>
          </w:cols>
          <w:pgMar w:left="240" w:top="783"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post-effective amendments (the “Post-Effective Amendments”), filed by Northeast Bancorp, a Maine corporation (the “Company”), remove from registration all shares of common stock of the Company (the “Shares”) registered under the following Registration Statements on Form S-8 filed by the Company (the “Registration Statements”) with the U.S. Securities and Exchange Commission (the “SEC”), pertaining to the registration of the Shares offered under certain employee benefit and equity plans and agreements.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Registration No.</w:t>
            </w:r>
          </w:p>
        </w:tc>
        <w:tc>
          <w:tcPr>
            <w:tcW w:w="25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Filed with SEC</w:t>
            </w:r>
          </w:p>
        </w:tc>
        <w:tc>
          <w:tcPr>
            <w:tcW w:w="3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Name of Equity Plan or Agreement</w:t>
            </w:r>
          </w:p>
        </w:tc>
        <w:tc>
          <w:tcPr>
            <w:tcW w:w="32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Shares</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333-186356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31, 2013</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Amended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600,000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Restated 2010 Stock Option And</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Incentive 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333-172974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21, 2011</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1992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10,500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333-171466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29, 2010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2010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810,054 shares of Voting Common Stock,</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Incentive 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418"/>
        </w:trPr>
        <w:tc>
          <w:tcPr>
            <w:tcW w:w="232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810,054 Non- Voting Common Stock, par</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333-135452</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29, 2006</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401(K) Savings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20,000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333-85206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29, 2002</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2001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150,000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333-31664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3, 2000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135,000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 and Plan of Merger dated as of January 7, 2019, by and between Northeast Bank, a Maine state-chartered bank (the “Bank”), and the Company, provides for, among other things, the merger of the Company with and into the Bank (the “Merger”), whereupon the separate corporate existence of the Company will cease.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Merger became effective at 11:59 p.m. on May 15, 2019. As a result of the Merger, each outstanding share of voting common stock, par value $1.00 per share, of the Company was cancelled and converted into the right to receive one share of voting common stock, par value $1.00 per share, of the Bank. Additionally, each outstanding share of non-voting common stock, par value $1.00 per share, of the Company, was canceled and converted into the right to receive one share of non-voting common stock, par value $1.00 per share, of the Bank.</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closing of the Merger, the offerings pursuant to the Registration Statements have been terminated. In accordance with undertakings made by the Company in the Registration Statements to remove from registration by means of post-effective amendments any of the securities that remain unsold at the termination of the offerings, the Company hereby terminates the effectiveness of the Registration Statements and removes from registration the Shares registered but not sold under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Lewiston, Maine,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NORTHEAST BANK, as successor by merger to Northeast Bancorp.</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478 under the Securities Act of 1933, as amended, no other person is required to sign this Post-Effective Amendment.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2019-12-02T18:09:22Z</dcterms:created>
  <dcterms:modified xsi:type="dcterms:W3CDTF">2019-12-02T18:09:22Z</dcterms:modified>
</cp:coreProperties>
</file>