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o Accelerated filer o Non-accelerated filer o Smaller Reporting Company x</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October 31, 2013, the registrant had outstanding 9,552,587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7"/>
            <w:szCs w:val="17"/>
            <w:b w:val="1"/>
            <w:bCs w:val="1"/>
            <w:u w:val="single" w:color="auto"/>
            <w:color w:val="0000EE"/>
          </w:rPr>
          <w:t>Financial Information</w:t>
        </w:r>
      </w:hyperlink>
    </w:p>
    <w:p>
      <w:pPr>
        <w:spacing w:after="0" w:line="27"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 September 30, 2013 and June 30, 2013</w:t>
        </w:r>
      </w:hyperlink>
    </w:p>
    <w:p>
      <w:pPr>
        <w:spacing w:after="0" w:line="207"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 Three Months Ended September 30, 2013 and 2012</w:t>
        </w:r>
      </w:hyperlink>
    </w:p>
    <w:p>
      <w:pPr>
        <w:spacing w:after="0" w:line="225" w:lineRule="exact"/>
        <w:rPr>
          <w:sz w:val="20"/>
          <w:szCs w:val="20"/>
          <w:color w:val="auto"/>
        </w:rPr>
      </w:pPr>
    </w:p>
    <w:p>
      <w:pPr>
        <w:ind w:left="2080" w:right="700"/>
        <w:spacing w:after="0" w:line="501" w:lineRule="auto"/>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 Three Months Ended September 30, 2013 and 2012</w:t>
        </w:r>
      </w:hyperlink>
      <w:r>
        <w:rPr>
          <w:rFonts w:ascii="Arial" w:cs="Arial" w:eastAsia="Arial" w:hAnsi="Arial"/>
          <w:sz w:val="18"/>
          <w:szCs w:val="18"/>
          <w:b w:val="1"/>
          <w:bCs w:val="1"/>
          <w:u w:val="single" w:color="auto"/>
          <w:color w:val="0000EE"/>
        </w:rPr>
        <w:t xml:space="preserve"> </w:t>
      </w:r>
      <w:hyperlink w:anchor="page4">
        <w:r>
          <w:rPr>
            <w:rFonts w:ascii="Arial" w:cs="Arial" w:eastAsia="Arial" w:hAnsi="Arial"/>
            <w:sz w:val="18"/>
            <w:szCs w:val="18"/>
            <w:b w:val="1"/>
            <w:bCs w:val="1"/>
            <w:u w:val="single" w:color="auto"/>
            <w:color w:val="0000EE"/>
          </w:rPr>
          <w:t>Consolidated Statements of Changes in Stockholders’ Equity Three Months Ended September 30, 2013 and 2012</w:t>
        </w:r>
      </w:hyperlink>
      <w:r>
        <w:rPr>
          <w:rFonts w:ascii="Arial" w:cs="Arial" w:eastAsia="Arial" w:hAnsi="Arial"/>
          <w:sz w:val="18"/>
          <w:szCs w:val="18"/>
          <w:b w:val="1"/>
          <w:bCs w:val="1"/>
          <w:u w:val="single" w:color="auto"/>
          <w:color w:val="0000EE"/>
        </w:rPr>
        <w:t xml:space="preserve"> </w:t>
      </w:r>
      <w:hyperlink w:anchor="page5">
        <w:r>
          <w:rPr>
            <w:rFonts w:ascii="Arial" w:cs="Arial" w:eastAsia="Arial" w:hAnsi="Arial"/>
            <w:sz w:val="18"/>
            <w:szCs w:val="18"/>
            <w:b w:val="1"/>
            <w:bCs w:val="1"/>
            <w:u w:val="single" w:color="auto"/>
            <w:color w:val="0000EE"/>
          </w:rPr>
          <w:t>Consolidated Statements of Cash Flows Three Months Ended September 30, 2013 and 2012</w:t>
        </w:r>
      </w:hyperlink>
      <w:r>
        <w:rPr>
          <w:rFonts w:ascii="Arial" w:cs="Arial" w:eastAsia="Arial" w:hAnsi="Arial"/>
          <w:sz w:val="18"/>
          <w:szCs w:val="18"/>
          <w:b w:val="1"/>
          <w:bCs w:val="1"/>
          <w:u w:val="single" w:color="auto"/>
          <w:color w:val="0000EE"/>
        </w:rPr>
        <w:t xml:space="preserve"> </w:t>
      </w:r>
      <w:hyperlink w:anchor="page5">
        <w:r>
          <w:rPr>
            <w:rFonts w:ascii="Arial" w:cs="Arial" w:eastAsia="Arial" w:hAnsi="Arial"/>
            <w:sz w:val="18"/>
            <w:szCs w:val="18"/>
            <w:b w:val="1"/>
            <w:bCs w:val="1"/>
            <w:u w:val="single" w:color="auto"/>
            <w:color w:val="0000EE"/>
          </w:rPr>
          <w:t>Notes to Consolidated Financial Statements</w:t>
        </w:r>
      </w:hyperlink>
    </w:p>
    <w:p>
      <w:pPr>
        <w:ind w:left="960"/>
        <w:spacing w:after="0"/>
        <w:tabs>
          <w:tab w:leader="none" w:pos="2060" w:val="left"/>
        </w:tabs>
        <w:rPr>
          <w:rFonts w:ascii="Arial" w:cs="Arial" w:eastAsia="Arial" w:hAnsi="Arial"/>
          <w:sz w:val="16"/>
          <w:szCs w:val="16"/>
          <w:b w:val="1"/>
          <w:bCs w:val="1"/>
          <w:u w:val="single" w:color="auto"/>
          <w:color w:val="0000EE"/>
        </w:rPr>
      </w:pPr>
      <w:hyperlink w:anchor="page18">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18">
        <w:r>
          <w:rPr>
            <w:rFonts w:ascii="Arial" w:cs="Arial" w:eastAsia="Arial" w:hAnsi="Arial"/>
            <w:sz w:val="16"/>
            <w:szCs w:val="16"/>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28">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28">
        <w:r>
          <w:rPr>
            <w:rFonts w:ascii="Arial" w:cs="Arial" w:eastAsia="Arial" w:hAnsi="Arial"/>
            <w:sz w:val="16"/>
            <w:szCs w:val="16"/>
            <w:b w:val="1"/>
            <w:bCs w:val="1"/>
            <w:u w:val="single" w:color="auto"/>
            <w:color w:val="0000EE"/>
          </w:rPr>
          <w:t>Quantitative and Qualitative Disclosure about Market Risk</w:t>
        </w:r>
      </w:hyperlink>
    </w:p>
    <w:p>
      <w:pPr>
        <w:spacing w:after="0" w:line="225"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28">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28">
        <w:r>
          <w:rPr>
            <w:rFonts w:ascii="Arial" w:cs="Arial" w:eastAsia="Arial" w:hAnsi="Arial"/>
            <w:sz w:val="16"/>
            <w:szCs w:val="16"/>
            <w:b w:val="1"/>
            <w:bCs w:val="1"/>
            <w:u w:val="single" w:color="auto"/>
            <w:color w:val="0000EE"/>
          </w:rPr>
          <w:t>Controls and Procedures</w:t>
        </w:r>
      </w:hyperlink>
    </w:p>
    <w:p>
      <w:pPr>
        <w:spacing w:after="0" w:line="225" w:lineRule="exact"/>
        <w:rPr>
          <w:sz w:val="20"/>
          <w:szCs w:val="20"/>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28">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28">
        <w:r>
          <w:rPr>
            <w:rFonts w:ascii="Arial" w:cs="Arial" w:eastAsia="Arial" w:hAnsi="Arial"/>
            <w:sz w:val="17"/>
            <w:szCs w:val="17"/>
            <w:b w:val="1"/>
            <w:bCs w:val="1"/>
            <w:u w:val="single" w:color="auto"/>
            <w:color w:val="0000EE"/>
          </w:rPr>
          <w:t>Other Information</w:t>
        </w:r>
      </w:hyperlink>
    </w:p>
    <w:p>
      <w:pPr>
        <w:sectPr>
          <w:pgSz w:w="11900" w:h="16838" w:orient="portrait"/>
          <w:cols w:equalWidth="0" w:num="1">
            <w:col w:w="11420"/>
          </w:cols>
          <w:pgMar w:left="240" w:top="233" w:right="239" w:bottom="0" w:gutter="0" w:footer="0" w:header="0"/>
        </w:sectPr>
      </w:pPr>
    </w:p>
    <w:bookmarkStart w:id="1" w:name="page2"/>
    <w:bookmarkEnd w:id="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w:t>
              </w:r>
            </w:hyperlink>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w w:val="94"/>
              </w:rPr>
            </w:pPr>
            <w:hyperlink w:anchor="page28">
              <w:r>
                <w:rPr>
                  <w:rFonts w:ascii="Arial" w:cs="Arial" w:eastAsia="Arial" w:hAnsi="Arial"/>
                  <w:sz w:val="18"/>
                  <w:szCs w:val="18"/>
                  <w:b w:val="1"/>
                  <w:bCs w:val="1"/>
                  <w:color w:val="0000EE"/>
                  <w:w w:val="94"/>
                </w:rPr>
                <w:t>Item 1A.</w:t>
              </w:r>
            </w:hyperlink>
          </w:p>
        </w:tc>
        <w:tc>
          <w:tcPr>
            <w:tcW w:w="440" w:type="dxa"/>
            <w:vAlign w:val="bottom"/>
          </w:tcPr>
          <w:p>
            <w:pPr>
              <w:spacing w:after="0"/>
              <w:rPr>
                <w:sz w:val="24"/>
                <w:szCs w:val="24"/>
                <w:color w:val="auto"/>
              </w:rPr>
            </w:pPr>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Risk Factors</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440" w:type="dxa"/>
            <w:vAlign w:val="bottom"/>
          </w:tcPr>
          <w:p>
            <w:pPr>
              <w:spacing w:after="0"/>
              <w:rPr>
                <w:sz w:val="24"/>
                <w:szCs w:val="24"/>
                <w:color w:val="auto"/>
              </w:rPr>
            </w:pPr>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Unregistered Sales of Equity Securities and Use of Proceeds</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w:t>
              </w:r>
            </w:hyperlink>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Defaults Upon Senior Securities</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w:t>
              </w:r>
            </w:hyperlink>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Mine Safety Disclosures</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5.</w:t>
              </w:r>
            </w:hyperlink>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6.</w:t>
              </w:r>
            </w:hyperlink>
          </w:p>
        </w:tc>
        <w:tc>
          <w:tcPr>
            <w:tcW w:w="60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Exhibits</w:t>
              </w:r>
            </w:hyperlink>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20" w:type="dxa"/>
            <w:vAlign w:val="bottom"/>
            <w:gridSpan w:val="6"/>
          </w:tcPr>
          <w:p>
            <w:pPr>
              <w:jc w:val="right"/>
              <w:ind w:right="88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20" w:type="dxa"/>
            <w:vAlign w:val="bottom"/>
            <w:gridSpan w:val="4"/>
          </w:tcPr>
          <w:p>
            <w:pPr>
              <w:jc w:val="center"/>
              <w:ind w:right="530"/>
              <w:spacing w:after="0"/>
              <w:rPr>
                <w:sz w:val="20"/>
                <w:szCs w:val="20"/>
                <w:color w:val="auto"/>
              </w:rPr>
            </w:pPr>
            <w:r>
              <w:rPr>
                <w:rFonts w:ascii="Arial" w:cs="Arial" w:eastAsia="Arial" w:hAnsi="Arial"/>
                <w:sz w:val="18"/>
                <w:szCs w:val="18"/>
                <w:color w:val="auto"/>
                <w:w w:val="97"/>
              </w:rPr>
              <w:t>PART 1- FINANCIAL INFORMATION</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CONSOLIDATED BALANCE SHEETS</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6"/>
          </w:tcPr>
          <w:p>
            <w:pPr>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gridSpan w:val="15"/>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gridSpan w:val="4"/>
            <w:shd w:val="clear" w:color="auto" w:fill="CCEEFF"/>
          </w:tcPr>
          <w:p>
            <w:pPr>
              <w:jc w:val="center"/>
              <w:ind w:right="3800"/>
              <w:spacing w:after="0" w:line="196" w:lineRule="exact"/>
              <w:rPr>
                <w:sz w:val="20"/>
                <w:szCs w:val="20"/>
                <w:color w:val="auto"/>
              </w:rPr>
            </w:pPr>
            <w:r>
              <w:rPr>
                <w:rFonts w:ascii="Arial" w:cs="Arial" w:eastAsia="Arial" w:hAnsi="Arial"/>
                <w:sz w:val="18"/>
                <w:szCs w:val="18"/>
                <w:color w:val="auto"/>
                <w:w w:val="88"/>
              </w:rPr>
              <w:t>Assets</w:t>
            </w: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Arial" w:cs="Arial" w:eastAsia="Arial" w:hAnsi="Arial"/>
                <w:sz w:val="18"/>
                <w:szCs w:val="18"/>
                <w:color w:val="auto"/>
                <w:w w:val="98"/>
              </w:rPr>
              <w:t>Cash and due from banks</w:t>
            </w:r>
          </w:p>
        </w:tc>
        <w:tc>
          <w:tcPr>
            <w:tcW w:w="6060" w:type="dxa"/>
            <w:vAlign w:val="bottom"/>
            <w:gridSpan w:val="9"/>
          </w:tcPr>
          <w:p>
            <w:pPr>
              <w:ind w:left="58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2,849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3"/>
          </w:tcPr>
          <w:p>
            <w:pPr>
              <w:ind w:left="52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77,351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auto"/>
              </w:rPr>
              <w:t>Available-for-sale securities, at fair value</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118,207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483,486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auto"/>
              </w:rPr>
              <w:t>Less: Allowance for loan losses</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Loans, net</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482,262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3,334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Bank owned life insurance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4,920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60" w:type="dxa"/>
            <w:vAlign w:val="bottom"/>
            <w:gridSpan w:val="9"/>
            <w:shd w:val="clear" w:color="auto" w:fill="CCEEFF"/>
          </w:tcPr>
          <w:p>
            <w:pPr>
              <w:jc w:val="center"/>
              <w:ind w:right="2450"/>
              <w:spacing w:after="0"/>
              <w:rPr>
                <w:sz w:val="20"/>
                <w:szCs w:val="20"/>
                <w:color w:val="auto"/>
              </w:rPr>
            </w:pPr>
            <w:r>
              <w:rPr>
                <w:rFonts w:ascii="Arial" w:cs="Arial" w:eastAsia="Arial" w:hAnsi="Arial"/>
                <w:sz w:val="18"/>
                <w:szCs w:val="18"/>
                <w:color w:val="auto"/>
                <w:w w:val="93"/>
              </w:rPr>
              <w:t>Liabilities and Stockholders’ Equity</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8"/>
                <w:szCs w:val="18"/>
                <w:color w:val="auto"/>
              </w:rPr>
              <w:t>Deposits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Demand</w:t>
            </w:r>
          </w:p>
        </w:tc>
        <w:tc>
          <w:tcPr>
            <w:tcW w:w="6060" w:type="dxa"/>
            <w:vAlign w:val="bottom"/>
            <w:gridSpan w:val="9"/>
            <w:shd w:val="clear" w:color="auto" w:fill="CCEEFF"/>
          </w:tcPr>
          <w:p>
            <w:pPr>
              <w:ind w:left="58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tcPr>
          <w:p>
            <w:pPr>
              <w:ind w:left="340"/>
              <w:spacing w:after="0"/>
              <w:rPr>
                <w:sz w:val="20"/>
                <w:szCs w:val="20"/>
                <w:color w:val="auto"/>
              </w:rPr>
            </w:pPr>
            <w:r>
              <w:rPr>
                <w:rFonts w:ascii="Arial" w:cs="Arial" w:eastAsia="Arial" w:hAnsi="Arial"/>
                <w:sz w:val="18"/>
                <w:szCs w:val="18"/>
                <w:color w:val="auto"/>
              </w:rPr>
              <w:t>Savings and interest checking</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91,330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Money market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ind w:left="340"/>
              <w:spacing w:after="0"/>
              <w:rPr>
                <w:sz w:val="20"/>
                <w:szCs w:val="20"/>
                <w:color w:val="auto"/>
              </w:rPr>
            </w:pPr>
            <w:r>
              <w:rPr>
                <w:rFonts w:ascii="Arial" w:cs="Arial" w:eastAsia="Arial" w:hAnsi="Arial"/>
                <w:sz w:val="18"/>
                <w:szCs w:val="18"/>
                <w:color w:val="auto"/>
              </w:rPr>
              <w:t>Time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304,521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deposits</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532,098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tcPr>
          <w:p>
            <w:pPr>
              <w:ind w:left="160"/>
              <w:spacing w:after="0"/>
              <w:rPr>
                <w:sz w:val="20"/>
                <w:szCs w:val="20"/>
                <w:color w:val="auto"/>
              </w:rPr>
            </w:pPr>
            <w:r>
              <w:rPr>
                <w:rFonts w:ascii="Arial" w:cs="Arial" w:eastAsia="Arial" w:hAnsi="Arial"/>
                <w:sz w:val="18"/>
                <w:szCs w:val="18"/>
                <w:color w:val="auto"/>
              </w:rPr>
              <w:t>Wholesale repurchase agreements</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15,343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14"/>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8,310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8,708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611,109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14"/>
          </w:tcPr>
          <w:p>
            <w:pPr>
              <w:ind w:left="160"/>
              <w:spacing w:after="0" w:line="201" w:lineRule="exact"/>
              <w:rPr>
                <w:sz w:val="20"/>
                <w:szCs w:val="20"/>
                <w:color w:val="auto"/>
              </w:rPr>
            </w:pPr>
            <w:r>
              <w:rPr>
                <w:rFonts w:ascii="Arial" w:cs="Arial" w:eastAsia="Arial" w:hAnsi="Arial"/>
                <w:sz w:val="18"/>
                <w:szCs w:val="18"/>
                <w:color w:val="auto"/>
              </w:rPr>
              <w:t>Preferred stock, $1.00 par value, 1,000,000 shares authorized; no shares issued and outstanding at</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14"/>
          </w:tcPr>
          <w:p>
            <w:pPr>
              <w:ind w:left="340"/>
              <w:spacing w:after="0"/>
              <w:rPr>
                <w:sz w:val="20"/>
                <w:szCs w:val="20"/>
                <w:color w:val="auto"/>
              </w:rPr>
            </w:pPr>
            <w:r>
              <w:rPr>
                <w:rFonts w:ascii="Arial" w:cs="Arial" w:eastAsia="Arial" w:hAnsi="Arial"/>
                <w:sz w:val="18"/>
                <w:szCs w:val="18"/>
                <w:color w:val="auto"/>
              </w:rPr>
              <w:t>September 30, 2013 and June 30, 2013</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14"/>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Voting common stock, $1.00 par value, 25,000,000 shares authorized; 9,552,587 and 9,565,680 shares</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14"/>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2013 and June 30, 2013, respectively</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9,553</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14"/>
          </w:tcPr>
          <w:p>
            <w:pPr>
              <w:ind w:left="160"/>
              <w:spacing w:after="0" w:line="201" w:lineRule="exact"/>
              <w:rPr>
                <w:sz w:val="20"/>
                <w:szCs w:val="20"/>
                <w:color w:val="auto"/>
              </w:rPr>
            </w:pPr>
            <w:r>
              <w:rPr>
                <w:rFonts w:ascii="Arial" w:cs="Arial" w:eastAsia="Arial" w:hAnsi="Arial"/>
                <w:sz w:val="18"/>
                <w:szCs w:val="18"/>
                <w:color w:val="auto"/>
                <w:w w:val="98"/>
              </w:rPr>
              <w:t>Non-voting common stock, $1.00 par value, 3,000,000 shares authorized; 880,963 shares issued and</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14"/>
          </w:tcPr>
          <w:p>
            <w:pPr>
              <w:ind w:left="340"/>
              <w:spacing w:after="0"/>
              <w:rPr>
                <w:sz w:val="20"/>
                <w:szCs w:val="20"/>
                <w:color w:val="auto"/>
              </w:rPr>
            </w:pPr>
            <w:r>
              <w:rPr>
                <w:rFonts w:ascii="Arial" w:cs="Arial" w:eastAsia="Arial" w:hAnsi="Arial"/>
                <w:sz w:val="18"/>
                <w:szCs w:val="18"/>
                <w:color w:val="auto"/>
              </w:rPr>
              <w:t>outstanding at September 30, 2013 and June 30, 2013</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6"/>
              </w:rPr>
              <w:t>Additional paid-in capital</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-8242935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-8242935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11,904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113,846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i w:val="1"/>
                <w:iCs w:val="1"/>
                <w:color w:val="auto"/>
                <w:w w:val="95"/>
              </w:rPr>
              <w:t>The accompanying notes are an integral part of these unaudited consolidated financial statements.</w:t>
            </w: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3"/>
          </w:tcPr>
          <w:p>
            <w:pPr>
              <w:ind w:left="566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2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5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Wholesale repurchase agreements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before provision for loan losses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Fees for other services to customers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securities gains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Gain on sales of loans held for sale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(Loss) gain recognized on real estate owned and other repossessed collateral, net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commissions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Bank-owned life insurance income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noninterest income</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Occupancy and equipment expense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Data processing fees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Intangible asset amortization</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Legal settlement recovery</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Other noninterest expense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7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10,440,513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10,383,441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10,440,513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-8825865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-8825865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60"/>
          </w:cols>
          <w:pgMar w:left="240" w:top="125"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net unrealized gain or loss on available-for-sale securities</w:t>
            </w: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accumulated loss on effective cash flow hedges</w:t>
            </w: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 (benefit) related to other comprehensive (loss) income</w:t>
            </w: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13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comprehensive income</w:t>
            </w:r>
          </w:p>
        </w:tc>
        <w:tc>
          <w:tcPr>
            <w:tcW w:w="1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vMerge w:val="restart"/>
          </w:tcPr>
          <w:p>
            <w:pPr>
              <w:jc w:val="right"/>
              <w:ind w:right="36"/>
              <w:spacing w:after="0"/>
              <w:rPr>
                <w:sz w:val="20"/>
                <w:szCs w:val="20"/>
                <w:color w:val="auto"/>
              </w:rPr>
            </w:pPr>
            <w:r>
              <w:rPr>
                <w:rFonts w:ascii="Arial" w:cs="Arial" w:eastAsia="Arial" w:hAnsi="Arial"/>
                <w:sz w:val="14"/>
                <w:szCs w:val="14"/>
                <w:b w:val="1"/>
                <w:bCs w:val="1"/>
                <w:color w:val="auto"/>
              </w:rPr>
              <w:t>Non-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4"/>
              </w:rPr>
              <w:t>Voting Common Stock</w:t>
            </w:r>
          </w:p>
        </w:tc>
        <w:tc>
          <w:tcPr>
            <w:tcW w:w="102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1620" w:type="dxa"/>
            <w:vAlign w:val="bottom"/>
            <w:gridSpan w:val="6"/>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voting Common 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9"/>
                <w:szCs w:val="9"/>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Earnings</w:t>
            </w:r>
          </w:p>
        </w:tc>
        <w:tc>
          <w:tcPr>
            <w:tcW w:w="10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9"/>
                <w:szCs w:val="9"/>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9,307,127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1,076,314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12,235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 loss, net of</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w w:val="97"/>
              </w:rPr>
              <w:t>Conversion of non-voting common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stock to voting common stock</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105,845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(105,845)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on preferred stock</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$0.09 per share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Accretion of preferred stock</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9,412,972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9,565,680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880,963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12,524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Other comprehensive income, net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tax</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$0.09 per share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160"/>
              <w:spacing w:after="0" w:line="201" w:lineRule="exact"/>
              <w:rPr>
                <w:sz w:val="20"/>
                <w:szCs w:val="20"/>
                <w:color w:val="auto"/>
              </w:rPr>
            </w:pPr>
            <w:r>
              <w:rPr>
                <w:rFonts w:ascii="Arial" w:cs="Arial" w:eastAsia="Arial" w:hAnsi="Arial"/>
                <w:sz w:val="18"/>
                <w:szCs w:val="18"/>
                <w:color w:val="auto"/>
              </w:rPr>
              <w:t>Forfeiture of restricted common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stock</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(13,093)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9,552,587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25" w:right="239" w:bottom="9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8"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sale and impairment of real estate owned,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Accretion of fair value adjustments on loans,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fair value adjustments on deposits,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Accretion of fair value adjustments on borrowings,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Originations of loans held for sale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Net proceeds from sales of loans held for sale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loans held for sale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Gain on sales of portfolio loans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Bank-owned life insurance income,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premises and equipment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Gain on sale of premises and equipment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available-for-sale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securities,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available-for-sale securities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6,576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(31,961)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47,676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Dividends paid on preferred stock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FHLB advances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102,572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Transfers from real estate owned and other repossessed collateral to loans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ectPr>
          <w:pgSz w:w="11900" w:h="16838" w:orient="portrait"/>
          <w:cols w:equalWidth="0" w:num="1">
            <w:col w:w="11420"/>
          </w:cols>
          <w:pgMar w:left="240" w:top="125" w:right="239" w:bottom="90" w:gutter="0" w:footer="0" w:header="0"/>
        </w:sectPr>
      </w:pPr>
    </w:p>
    <w:bookmarkStart w:id="5" w:name="page6"/>
    <w:bookmarkEnd w:id="5"/>
    <w:p>
      <w:pPr>
        <w:ind w:right="58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2013 (“Fiscal 2013”)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(“ASU”) No. 2011-11, </w:t>
      </w:r>
      <w:r>
        <w:rPr>
          <w:rFonts w:ascii="Arial" w:cs="Arial" w:eastAsia="Arial" w:hAnsi="Arial"/>
          <w:sz w:val="18"/>
          <w:szCs w:val="18"/>
          <w:i w:val="1"/>
          <w:iCs w:val="1"/>
          <w:color w:val="auto"/>
        </w:rPr>
        <w:t>Balance Sheet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210): Disclosures about Offsetting Assets and Liabilities </w:t>
      </w:r>
      <w:r>
        <w:rPr>
          <w:rFonts w:ascii="Arial" w:cs="Arial" w:eastAsia="Arial" w:hAnsi="Arial"/>
          <w:sz w:val="18"/>
          <w:szCs w:val="18"/>
          <w:color w:val="auto"/>
        </w:rPr>
        <w:t>(“ASU 2011-11”). The update requires entities to disclose information about offsetting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financial 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adoption of this guidance did not have a material impact on the consolidated financial statements.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January 2013, the FASB issued ASU No. 2013-01,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xml:space="preserve"> (“ASU 2013-01). The amendments clarify that the scope of Update 2011-11 applies to derivatives accounted for in accordance with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new standards are effective for annual periods beginning January 1, 2013 and for interim periods within those annual periods. Retrospective application is required. The adoption of this guidance did not have a material impact on the consolidated financial statements.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available-for-sale at amortized cost and fair values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2013</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800" w:type="dxa"/>
            <w:vAlign w:val="bottom"/>
          </w:tcPr>
          <w:p>
            <w:pPr>
              <w:jc w:val="center"/>
              <w:ind w:right="38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880" w:type="dxa"/>
            <w:vAlign w:val="bottom"/>
          </w:tcPr>
          <w:p>
            <w:pPr>
              <w:jc w:val="center"/>
              <w:ind w:right="2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9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10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45,181</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45,223</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45,289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75,146</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72,984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78,944</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76,264</w:t>
            </w:r>
          </w:p>
        </w:tc>
      </w:tr>
      <w:tr>
        <w:trPr>
          <w:trHeight w:val="210"/>
        </w:trPr>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unrealized gains and unrealized losses on available-for-sale securities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9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2013</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920" w:type="dxa"/>
            <w:vAlign w:val="bottom"/>
          </w:tcPr>
          <w:p>
            <w:pPr>
              <w:spacing w:after="0"/>
              <w:rPr>
                <w:sz w:val="10"/>
                <w:szCs w:val="10"/>
                <w:color w:val="auto"/>
              </w:rPr>
            </w:pPr>
          </w:p>
        </w:tc>
        <w:tc>
          <w:tcPr>
            <w:tcW w:w="1040" w:type="dxa"/>
            <w:vAlign w:val="bottom"/>
            <w:tcBorders>
              <w:top w:val="single" w:sz="8" w:color="auto"/>
            </w:tcBorders>
          </w:tcPr>
          <w:p>
            <w:pPr>
              <w:jc w:val="center"/>
              <w:ind w:left="163"/>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tcPr>
          <w:p>
            <w:pPr>
              <w:jc w:val="center"/>
              <w:ind w:left="209"/>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r>
      <w:tr>
        <w:trPr>
          <w:trHeight w:val="149"/>
        </w:trPr>
        <w:tc>
          <w:tcPr>
            <w:tcW w:w="3920" w:type="dxa"/>
            <w:vAlign w:val="bottom"/>
          </w:tcPr>
          <w:p>
            <w:pPr>
              <w:spacing w:after="0"/>
              <w:rPr>
                <w:sz w:val="12"/>
                <w:szCs w:val="12"/>
                <w:color w:val="auto"/>
              </w:rPr>
            </w:pPr>
          </w:p>
        </w:tc>
        <w:tc>
          <w:tcPr>
            <w:tcW w:w="1040" w:type="dxa"/>
            <w:vAlign w:val="bottom"/>
          </w:tcPr>
          <w:p>
            <w:pPr>
              <w:jc w:val="center"/>
              <w:ind w:left="163"/>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3920" w:type="dxa"/>
            <w:vAlign w:val="bottom"/>
          </w:tcPr>
          <w:p>
            <w:pPr>
              <w:spacing w:after="0"/>
              <w:rPr>
                <w:sz w:val="14"/>
                <w:szCs w:val="14"/>
                <w:color w:val="auto"/>
              </w:rPr>
            </w:pPr>
          </w:p>
        </w:tc>
        <w:tc>
          <w:tcPr>
            <w:tcW w:w="1040" w:type="dxa"/>
            <w:vAlign w:val="bottom"/>
          </w:tcPr>
          <w:p>
            <w:pPr>
              <w:jc w:val="center"/>
              <w:ind w:left="163"/>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60" w:type="dxa"/>
            <w:vAlign w:val="bottom"/>
          </w:tcPr>
          <w:p>
            <w:pPr>
              <w:jc w:val="center"/>
              <w:ind w:left="209"/>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9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369"/>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0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tcBorders>
              <w:bottom w:val="single" w:sz="8" w:color="auto"/>
            </w:tcBorders>
            <w:gridSpan w:val="4"/>
          </w:tcPr>
          <w:p>
            <w:pPr>
              <w:jc w:val="center"/>
              <w:ind w:left="247"/>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3"/>
          </w:tcPr>
          <w:p>
            <w:pPr>
              <w:jc w:val="center"/>
              <w:ind w:right="425"/>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5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Gross realized losses</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0"/>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2013, investment securities with a fair value of approximately $42.9 million were pledged as collateral to secure outstanding borrowings.</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2"/>
                <w:szCs w:val="12"/>
                <w:color w:val="auto"/>
              </w:rPr>
            </w:pPr>
          </w:p>
        </w:tc>
        <w:tc>
          <w:tcPr>
            <w:tcW w:w="230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More than 12 Months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42"/>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r>
      <w:tr>
        <w:trPr>
          <w:trHeight w:val="171"/>
        </w:trPr>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20" w:type="dxa"/>
            <w:vAlign w:val="bottom"/>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r>
      <w:tr>
        <w:trPr>
          <w:trHeight w:val="142"/>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right"/>
              <w:ind w:righ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69,719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72,984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(2,162)</w:t>
            </w:r>
          </w:p>
        </w:tc>
      </w:tr>
      <w:tr>
        <w:trPr>
          <w:trHeight w:val="223"/>
        </w:trPr>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360"/>
          </w:cols>
          <w:pgMar w:left="240" w:top="125" w:right="2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2"/>
              </w:rPr>
              <w:t>June 30, 2013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2"/>
                <w:szCs w:val="12"/>
                <w:color w:val="auto"/>
              </w:rPr>
            </w:pPr>
          </w:p>
        </w:tc>
        <w:tc>
          <w:tcPr>
            <w:tcW w:w="230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auto"/>
              </w:rPr>
              <w:t>More than 12 Months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02"/>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r>
      <w:tr>
        <w:trPr>
          <w:trHeight w:val="171"/>
        </w:trPr>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2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r>
      <w:tr>
        <w:trPr>
          <w:trHeight w:val="142"/>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76,264</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76,264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months ended September 30, 2013 or 2012.</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September 30, 2013, the Company had one security in a continuous loss position for greater than twelve months. At September 30, 2013, all of the Company’s available-for-sale securities were issued or guaranteed by either government agencies or government-sponsored enterprises. The decline in fair value of the Company’s available-for-sale securities at September 30, 2013 is attributable to changes in interest rates.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September 30, 2013.</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September 30, 2013.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384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384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7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42,176</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42,217</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3,005</w:t>
            </w:r>
          </w:p>
        </w:tc>
        <w:tc>
          <w:tcPr>
            <w:tcW w:w="38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38,715</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35,706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34,270</w:t>
            </w:r>
          </w:p>
        </w:tc>
        <w:tc>
          <w:tcPr>
            <w:tcW w:w="3840" w:type="dxa"/>
            <w:vAlign w:val="bottom"/>
          </w:tcPr>
          <w:p>
            <w:pPr>
              <w:spacing w:after="0"/>
              <w:rPr>
                <w:sz w:val="18"/>
                <w:szCs w:val="18"/>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32"/>
        </w:trPr>
        <w:tc>
          <w:tcPr>
            <w:tcW w:w="4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All loans purchased by the Company in the secondary market by the Bank’s Loan Acquisition and Servicing Group (“LASG”) are accounted for under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declines in expected cash flows of purchased loans are recorded through a specific allocation in the allowance for loan losses.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ectPr>
          <w:pgSz w:w="11900" w:h="16838" w:orient="portrait"/>
          <w:cols w:equalWidth="0" w:num="1">
            <w:col w:w="11460"/>
          </w:cols>
          <w:pgMar w:left="240" w:top="118"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September 30, 2013</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6"/>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110,720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113,365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92,440</w:t>
            </w:r>
          </w:p>
        </w:tc>
        <w:tc>
          <w:tcPr>
            <w:tcW w:w="4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35,389</w:t>
            </w:r>
          </w:p>
        </w:tc>
        <w:tc>
          <w:tcPr>
            <w:tcW w:w="4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264,448</w:t>
            </w:r>
          </w:p>
        </w:tc>
        <w:tc>
          <w:tcPr>
            <w:tcW w:w="4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29,720</w:t>
            </w:r>
          </w:p>
        </w:tc>
        <w:tc>
          <w:tcPr>
            <w:tcW w:w="4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13,337</w:t>
            </w:r>
          </w:p>
        </w:tc>
        <w:tc>
          <w:tcPr>
            <w:tcW w:w="440" w:type="dxa"/>
            <w:vAlign w:val="bottom"/>
          </w:tcPr>
          <w:p>
            <w:pPr>
              <w:spacing w:after="0"/>
              <w:rPr>
                <w:sz w:val="18"/>
                <w:szCs w:val="18"/>
                <w:color w:val="auto"/>
              </w:rPr>
            </w:pPr>
          </w:p>
        </w:tc>
      </w:tr>
      <w:tr>
        <w:trPr>
          <w:trHeight w:val="210"/>
        </w:trPr>
        <w:tc>
          <w:tcPr>
            <w:tcW w:w="2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483,486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2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40" w:right="26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4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40" w:right="160"/>
        <w:spacing w:after="0" w:line="271" w:lineRule="auto"/>
        <w:rPr>
          <w:sz w:val="20"/>
          <w:szCs w:val="20"/>
          <w:color w:val="auto"/>
        </w:rPr>
      </w:pPr>
      <w:r>
        <w:rPr>
          <w:rFonts w:ascii="Arial" w:cs="Arial" w:eastAsia="Arial" w:hAnsi="Arial"/>
          <w:sz w:val="17"/>
          <w:szCs w:val="17"/>
          <w:color w:val="auto"/>
        </w:rPr>
        <w:t>Purchased: Loans in this segment are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ectPr>
          <w:pgSz w:w="11900" w:h="16838" w:orient="portrait"/>
          <w:cols w:equalWidth="0" w:num="1">
            <w:col w:w="11460"/>
          </w:cols>
          <w:pgMar w:left="240" w:top="125" w:right="199" w:bottom="5" w:gutter="0" w:footer="0" w:header="0"/>
        </w:sectPr>
      </w:pPr>
    </w:p>
    <w:bookmarkStart w:id="8" w:name="page9"/>
    <w:bookmarkEnd w:id="8"/>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three months ended September 30, 2013 or 2012.</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impairment based on the group’s historical loss experience adjusted for qualitative factors. Accordingly, the Company does not separately identify individual consumer and residential loans for individual impairment and disclosure. However, all loans modified in troubled debt restructurings are individually reviewed for impairment.</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all portfolio segments, except the purchased loan segment,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Loan impairment of purchased loans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Three Months Ended September 30, 2013</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Three Months Ended September 30, 2012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2013</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141,694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174,868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2013</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2,626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122,497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29,576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4"/>
                <w:szCs w:val="14"/>
                <w:b w:val="1"/>
                <w:bCs w:val="1"/>
                <w:color w:val="auto"/>
                <w:w w:val="93"/>
              </w:rPr>
              <w:t>At September 30, 2013</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At June 30, 2013</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Unpaid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Unpaid</w:t>
            </w:r>
          </w:p>
        </w:tc>
        <w:tc>
          <w:tcPr>
            <w:tcW w:w="140" w:type="dxa"/>
            <w:vAlign w:val="bottom"/>
          </w:tcPr>
          <w:p>
            <w:pPr>
              <w:spacing w:after="0"/>
              <w:rPr>
                <w:sz w:val="10"/>
                <w:szCs w:val="10"/>
                <w:color w:val="auto"/>
              </w:rPr>
            </w:pPr>
          </w:p>
        </w:tc>
        <w:tc>
          <w:tcPr>
            <w:tcW w:w="10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ind w:left="4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right"/>
              <w:ind w:right="70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ind w:left="14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left="74"/>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left="285"/>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left="74"/>
              <w:spacing w:after="0" w:line="149"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left="305"/>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74"/>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65"/>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Impaired loans without a valuation allowance: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552</w:t>
            </w:r>
          </w:p>
        </w:tc>
        <w:tc>
          <w:tcPr>
            <w:tcW w:w="96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270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528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550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398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60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34"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type w:val="continuous"/>
        </w:sectPr>
      </w:pPr>
    </w:p>
    <w:bookmarkStart w:id="10" w:name="page11"/>
    <w:bookmarkEnd w:id="10"/>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utilizes a ten-point internal loan rating system for its purchased loan portfolio and originated commercial real estate, construction and commercial business loans as follows: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 defined weakness or weaknesses that jeopardize the orderly liquidation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On an annual basis, or more often if needed, the Company formally reviews the ratings of all commercial real estate, construction, and commercial business loans.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5"/>
              <w:spacing w:after="0"/>
              <w:rPr>
                <w:sz w:val="20"/>
                <w:szCs w:val="20"/>
                <w:color w:val="auto"/>
              </w:rPr>
            </w:pPr>
            <w:r>
              <w:rPr>
                <w:rFonts w:ascii="Arial" w:cs="Arial" w:eastAsia="Arial" w:hAnsi="Arial"/>
                <w:sz w:val="14"/>
                <w:szCs w:val="14"/>
                <w:b w:val="1"/>
                <w:bCs w:val="1"/>
                <w:color w:val="auto"/>
                <w:w w:val="91"/>
              </w:rPr>
              <w:t>September 30, 2013</w:t>
            </w:r>
          </w:p>
        </w:tc>
        <w:tc>
          <w:tcPr>
            <w:tcW w:w="1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5"/>
              </w:rPr>
              <w:t>Originated Portfolio</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Purchased Portfolio</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6"/>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173,513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318,105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40,220</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0"/>
              </w:rPr>
              <w:t>June 30, 2013</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5"/>
              </w:rPr>
              <w:t>Originated Portfolio</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Purchased Portfolio</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6"/>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287,181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296,916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30-59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4"/>
                <w:szCs w:val="14"/>
                <w:b w:val="1"/>
                <w:bCs w:val="1"/>
                <w:color w:val="auto"/>
                <w:w w:val="89"/>
              </w:rPr>
              <w:t>Days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2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2,258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108,462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110,720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109,172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109,326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40,220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510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306,074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Purchased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1" w:orient="portrait"/>
          <w:cols w:equalWidth="0" w:num="1">
            <w:col w:w="11460"/>
          </w:cols>
          <w:pgMar w:left="240" w:top="368"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177,412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483,486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87,083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100,402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45"/>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19"/>
        </w:trPr>
        <w:tc>
          <w:tcPr>
            <w:tcW w:w="3460" w:type="dxa"/>
            <w:vAlign w:val="bottom"/>
          </w:tcPr>
          <w:p>
            <w:pPr>
              <w:spacing w:after="0"/>
              <w:rPr>
                <w:sz w:val="10"/>
                <w:szCs w:val="10"/>
                <w:color w:val="auto"/>
              </w:rPr>
            </w:pP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820" w:type="dxa"/>
            <w:vAlign w:val="bottom"/>
          </w:tcPr>
          <w:p>
            <w:pPr>
              <w:jc w:val="center"/>
              <w:ind w:left="25"/>
              <w:spacing w:after="0" w:line="119" w:lineRule="exact"/>
              <w:rPr>
                <w:sz w:val="20"/>
                <w:szCs w:val="20"/>
                <w:color w:val="auto"/>
              </w:rPr>
            </w:pPr>
            <w:r>
              <w:rPr>
                <w:rFonts w:ascii="Arial" w:cs="Arial" w:eastAsia="Arial" w:hAnsi="Arial"/>
                <w:sz w:val="13"/>
                <w:szCs w:val="13"/>
                <w:b w:val="1"/>
                <w:bCs w:val="1"/>
                <w:color w:val="auto"/>
                <w:w w:val="99"/>
              </w:rPr>
              <w:t>Recorded</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56"/>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Contracts</w:t>
            </w:r>
          </w:p>
        </w:tc>
        <w:tc>
          <w:tcPr>
            <w:tcW w:w="220" w:type="dxa"/>
            <w:vAlign w:val="bottom"/>
          </w:tcPr>
          <w:p>
            <w:pPr>
              <w:spacing w:after="0"/>
              <w:rPr>
                <w:sz w:val="14"/>
                <w:szCs w:val="14"/>
                <w:color w:val="auto"/>
              </w:rPr>
            </w:pPr>
          </w:p>
        </w:tc>
        <w:tc>
          <w:tcPr>
            <w:tcW w:w="820" w:type="dxa"/>
            <w:vAlign w:val="bottom"/>
          </w:tcPr>
          <w:p>
            <w:pPr>
              <w:jc w:val="center"/>
              <w:ind w:left="25"/>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rPr>
              <w:t>Contracts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56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4"/>
          </w:tcPr>
          <w:p>
            <w:pPr>
              <w:jc w:val="right"/>
              <w:ind w:right="471"/>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311"/>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56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Principal deferment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341</w:t>
            </w:r>
          </w:p>
        </w:tc>
        <w:tc>
          <w:tcPr>
            <w:tcW w:w="1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10"/>
        </w:trPr>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65"/>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34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17"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Three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28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w w:val="99"/>
              </w:rPr>
              <w:t>Recorded</w:t>
            </w:r>
          </w:p>
        </w:tc>
        <w:tc>
          <w:tcPr>
            <w:tcW w:w="220" w:type="dxa"/>
            <w:vAlign w:val="bottom"/>
          </w:tcPr>
          <w:p>
            <w:pPr>
              <w:spacing w:after="0"/>
              <w:rPr>
                <w:sz w:val="10"/>
                <w:szCs w:val="10"/>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0"/>
                <w:szCs w:val="10"/>
                <w:color w:val="auto"/>
              </w:rPr>
            </w:pPr>
          </w:p>
        </w:tc>
        <w:tc>
          <w:tcPr>
            <w:tcW w:w="15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Pr>
          <w:p>
            <w:pPr>
              <w:spacing w:after="0"/>
              <w:rPr>
                <w:sz w:val="10"/>
                <w:szCs w:val="10"/>
                <w:color w:val="auto"/>
              </w:rPr>
            </w:pPr>
          </w:p>
        </w:tc>
        <w:tc>
          <w:tcPr>
            <w:tcW w:w="130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Post-Modification</w:t>
            </w: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Pre-Modification</w:t>
            </w: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Originated portfolio:</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Residential real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tcPr>
          <w:p>
            <w:pPr>
              <w:ind w:left="340"/>
              <w:spacing w:after="0"/>
              <w:rPr>
                <w:sz w:val="20"/>
                <w:szCs w:val="20"/>
                <w:color w:val="auto"/>
              </w:rPr>
            </w:pPr>
            <w:r>
              <w:rPr>
                <w:rFonts w:ascii="Arial" w:cs="Arial" w:eastAsia="Arial" w:hAnsi="Arial"/>
                <w:sz w:val="14"/>
                <w:szCs w:val="14"/>
                <w:color w:val="auto"/>
              </w:rPr>
              <w:t>estate</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Home equity</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Commercial real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tcPr>
          <w:p>
            <w:pPr>
              <w:ind w:left="340"/>
              <w:spacing w:after="0"/>
              <w:rPr>
                <w:sz w:val="20"/>
                <w:szCs w:val="20"/>
                <w:color w:val="auto"/>
              </w:rPr>
            </w:pPr>
            <w:r>
              <w:rPr>
                <w:rFonts w:ascii="Arial" w:cs="Arial" w:eastAsia="Arial" w:hAnsi="Arial"/>
                <w:sz w:val="14"/>
                <w:szCs w:val="14"/>
                <w:color w:val="auto"/>
              </w:rPr>
              <w:t>estate</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Commercial</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business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Consumer</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originated</w:t>
            </w:r>
          </w:p>
        </w:tc>
        <w:tc>
          <w:tcPr>
            <w:tcW w:w="9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portfolio</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Purchased portfolio:</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Residential real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tcPr>
          <w:p>
            <w:pPr>
              <w:ind w:left="340"/>
              <w:spacing w:after="0"/>
              <w:rPr>
                <w:sz w:val="20"/>
                <w:szCs w:val="20"/>
                <w:color w:val="auto"/>
              </w:rPr>
            </w:pPr>
            <w:r>
              <w:rPr>
                <w:rFonts w:ascii="Arial" w:cs="Arial" w:eastAsia="Arial" w:hAnsi="Arial"/>
                <w:sz w:val="14"/>
                <w:szCs w:val="14"/>
                <w:color w:val="auto"/>
              </w:rPr>
              <w:t>estate</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Commercial real</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estate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tcPr>
          <w:p>
            <w:pPr>
              <w:spacing w:after="0" w:line="110" w:lineRule="exact"/>
              <w:rPr>
                <w:sz w:val="20"/>
                <w:szCs w:val="20"/>
                <w:color w:val="auto"/>
              </w:rPr>
            </w:pPr>
            <w:r>
              <w:rPr>
                <w:rFonts w:ascii="Arial" w:cs="Arial" w:eastAsia="Arial" w:hAnsi="Arial"/>
                <w:sz w:val="12"/>
                <w:szCs w:val="12"/>
                <w:color w:val="auto"/>
              </w:rPr>
              <w:t>Total purchased</w:t>
            </w:r>
          </w:p>
        </w:tc>
        <w:tc>
          <w:tcPr>
            <w:tcW w:w="9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2"/>
          </w:tcPr>
          <w:p>
            <w:pPr>
              <w:ind w:left="160"/>
              <w:spacing w:after="0"/>
              <w:rPr>
                <w:sz w:val="20"/>
                <w:szCs w:val="20"/>
                <w:color w:val="auto"/>
              </w:rPr>
            </w:pPr>
            <w:r>
              <w:rPr>
                <w:rFonts w:ascii="Arial" w:cs="Arial" w:eastAsia="Arial" w:hAnsi="Arial"/>
                <w:sz w:val="14"/>
                <w:szCs w:val="14"/>
                <w:color w:val="auto"/>
              </w:rPr>
              <w:t>portfolio</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modified in a TDR in the last twelve months defaulted during the three months ended September 30, 2013; the recorded investment of such loan was $69 thousand. As of September 30, 2013, there were no further commitments to lend associated with loans modified in a TDR.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loans accounted for under ASC 310-30 that were acquired by the Company during period.</w:t>
      </w:r>
    </w:p>
    <w:p>
      <w:pPr>
        <w:sectPr>
          <w:pgSz w:w="11900" w:h="16838" w:orient="portrait"/>
          <w:cols w:equalWidth="0" w:num="1">
            <w:col w:w="11460"/>
          </w:cols>
          <w:pgMar w:left="240" w:top="140" w:right="199" w:bottom="0" w:gutter="0" w:footer="0" w:header="0"/>
        </w:sectPr>
      </w:pPr>
    </w:p>
    <w:p>
      <w:pPr>
        <w:spacing w:after="0" w:line="217" w:lineRule="exact"/>
        <w:rPr>
          <w:sz w:val="20"/>
          <w:szCs w:val="20"/>
          <w:color w:val="auto"/>
        </w:rPr>
      </w:pPr>
    </w:p>
    <w:p>
      <w:pPr>
        <w:ind w:left="6020"/>
        <w:spacing w:after="0"/>
        <w:rPr>
          <w:sz w:val="20"/>
          <w:szCs w:val="20"/>
          <w:color w:val="auto"/>
        </w:rPr>
      </w:pPr>
      <w:r>
        <w:rPr>
          <w:rFonts w:ascii="Arial" w:cs="Arial" w:eastAsia="Arial" w:hAnsi="Arial"/>
          <w:sz w:val="13"/>
          <w:szCs w:val="13"/>
          <w:b w:val="1"/>
          <w:bCs w:val="1"/>
          <w:color w:val="auto"/>
        </w:rPr>
        <w:t>Three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13970</wp:posOffset>
            </wp:positionV>
            <wp:extent cx="2195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(Dollars in thousands)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560" w:type="dxa"/>
            <w:vAlign w:val="bottom"/>
          </w:tcPr>
          <w:p>
            <w:pPr>
              <w:spacing w:after="0"/>
              <w:rPr>
                <w:sz w:val="18"/>
                <w:szCs w:val="18"/>
                <w:color w:val="auto"/>
              </w:rPr>
            </w:pP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560" w:type="dxa"/>
            <w:vAlign w:val="bottom"/>
            <w:tcBorders>
              <w:top w:val="single" w:sz="8" w:color="auto"/>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Accretable yield</w:t>
            </w:r>
          </w:p>
        </w:tc>
        <w:tc>
          <w:tcPr>
            <w:tcW w:w="560" w:type="dxa"/>
            <w:vAlign w:val="bottom"/>
          </w:tcPr>
          <w:p>
            <w:pPr>
              <w:spacing w:after="0"/>
              <w:rPr>
                <w:sz w:val="18"/>
                <w:szCs w:val="18"/>
                <w:color w:val="auto"/>
              </w:rPr>
            </w:pP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(5,696)</w:t>
            </w:r>
          </w:p>
        </w:tc>
      </w:tr>
      <w:tr>
        <w:trPr>
          <w:trHeight w:val="210"/>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loans acquired</w:t>
            </w: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2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Three Months Ended September 30, 2013</w:t>
            </w:r>
          </w:p>
        </w:tc>
      </w:tr>
      <w:tr>
        <w:trPr>
          <w:trHeight w:val="142"/>
        </w:trPr>
        <w:tc>
          <w:tcPr>
            <w:tcW w:w="5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tcPr>
          <w:p>
            <w:pPr>
              <w:jc w:val="right"/>
              <w:ind w:right="9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gridSpan w:val="2"/>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108,251</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8"/>
                <w:szCs w:val="18"/>
                <w:color w:val="auto"/>
              </w:rPr>
            </w:pP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2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Reclassifications to (from) accretable yield</w:t>
            </w:r>
          </w:p>
        </w:tc>
        <w:tc>
          <w:tcPr>
            <w:tcW w:w="260" w:type="dxa"/>
            <w:vAlign w:val="bottom"/>
          </w:tcPr>
          <w:p>
            <w:pPr>
              <w:spacing w:after="0"/>
              <w:rPr>
                <w:sz w:val="18"/>
                <w:szCs w:val="18"/>
                <w:color w:val="auto"/>
              </w:rPr>
            </w:pP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 and other</w:t>
            </w:r>
          </w:p>
        </w:tc>
        <w:tc>
          <w:tcPr>
            <w:tcW w:w="2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(3,491)</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End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3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2013</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4"/>
          </w:tcPr>
          <w:p>
            <w:pPr>
              <w:jc w:val="right"/>
              <w:ind w:right="89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210,188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202,722</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174,866</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165,657</w:t>
            </w:r>
          </w:p>
        </w:tc>
        <w:tc>
          <w:tcPr>
            <w:tcW w:w="10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737"/>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5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4360" w:type="dxa"/>
            <w:vAlign w:val="bottom"/>
            <w:gridSpan w:val="5"/>
          </w:tcPr>
          <w:p>
            <w:pPr>
              <w:jc w:val="right"/>
              <w:ind w:right="410"/>
              <w:spacing w:after="0" w:line="142" w:lineRule="exact"/>
              <w:rPr>
                <w:sz w:val="20"/>
                <w:szCs w:val="20"/>
                <w:color w:val="auto"/>
              </w:rPr>
            </w:pPr>
            <w:r>
              <w:rPr>
                <w:rFonts w:ascii="Arial" w:cs="Arial" w:eastAsia="Arial" w:hAnsi="Arial"/>
                <w:sz w:val="14"/>
                <w:szCs w:val="14"/>
                <w:b w:val="1"/>
                <w:bCs w:val="1"/>
                <w:color w:val="auto"/>
              </w:rPr>
              <w:t>(Dollars 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jc w:val="right"/>
              <w:ind w:right="10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1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200" w:type="dxa"/>
            <w:vAlign w:val="bottom"/>
            <w:tcBorders>
              <w:top w:val="single" w:sz="8" w:color="auto"/>
              <w:bottom w:val="single" w:sz="8" w:color="auto"/>
            </w:tcBorders>
            <w:shd w:val="clear" w:color="auto" w:fill="CCEEFF"/>
          </w:tcPr>
          <w:p>
            <w:pPr>
              <w:jc w:val="right"/>
              <w:ind w:right="10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10,440,513</w:t>
            </w:r>
          </w:p>
        </w:tc>
        <w:tc>
          <w:tcPr>
            <w:tcW w:w="1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10,383,441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1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10,440,513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10,383,441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40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4320" w:type="dxa"/>
            <w:vAlign w:val="bottom"/>
            <w:tcBorders>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69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1,166,804</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788,549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Warrants</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67,958</w:t>
            </w:r>
          </w:p>
        </w:tc>
      </w:tr>
      <w:tr>
        <w:trPr>
          <w:trHeight w:val="210"/>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8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ectPr>
          <w:pgSz w:w="11900" w:h="16838" w:orient="portrait"/>
          <w:cols w:equalWidth="0" w:num="1">
            <w:col w:w="11460"/>
          </w:cols>
          <w:pgMar w:left="240" w:top="118" w:right="199" w:bottom="0" w:gutter="0" w:footer="0" w:header="0"/>
        </w:sectPr>
      </w:pPr>
    </w:p>
    <w:bookmarkStart w:id="13" w:name="page14"/>
    <w:bookmarkEnd w:id="13"/>
    <w:p>
      <w:pPr>
        <w:spacing w:after="0" w:line="6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securities, as well as certain preferred and trust preferred stocks. Level 3 securities are securities for which significant unobservable inputs are utilized.</w:t>
      </w:r>
    </w:p>
    <w:p>
      <w:pPr>
        <w:spacing w:after="0" w:line="170"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 The fair value of the Company’s borrowings with the FHLB is estimated by discounting the cash flows through maturity or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71"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i w:val="1"/>
          <w:iCs w:val="1"/>
          <w:color w:val="auto"/>
        </w:rPr>
        <w:t xml:space="preserve">Off-Balance Sheet Credit-Related Instruments - </w:t>
      </w:r>
      <w:r>
        <w:rPr>
          <w:rFonts w:ascii="Arial" w:cs="Arial" w:eastAsia="Arial" w:hAnsi="Arial"/>
          <w:sz w:val="16"/>
          <w:szCs w:val="16"/>
          <w:color w:val="auto"/>
        </w:rPr>
        <w:t>Fair values for off-balance-sheet, credit-related financial instruments are based on fees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enter into similar agreements, taking into account the remaining terms of the agreements and the counterparties’ credit standing. The fair</w:t>
      </w:r>
    </w:p>
    <w:p>
      <w:pPr>
        <w:sectPr>
          <w:pgSz w:w="11900" w:h="16908" w:orient="portrait"/>
          <w:cols w:equalWidth="0" w:num="1">
            <w:col w:w="11420"/>
          </w:cols>
          <w:pgMar w:left="240" w:top="341" w:right="239" w:bottom="0" w:gutter="0" w:footer="0" w:header="0"/>
        </w:sectPr>
      </w:pPr>
    </w:p>
    <w:bookmarkStart w:id="14" w:name="page15"/>
    <w:bookmarkEnd w:id="14"/>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value of such instruments was nominal at each date presented.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2013</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513"/>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76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7"/>
              </w:rPr>
              <w:t>45,223</w:t>
            </w: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45,223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72,984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72,984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Other assets - interest rate swaps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3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300" w:type="dxa"/>
            <w:vAlign w:val="bottom"/>
          </w:tcPr>
          <w:p>
            <w:pPr>
              <w:spacing w:after="0"/>
              <w:rPr>
                <w:sz w:val="20"/>
                <w:szCs w:val="20"/>
                <w:color w:val="auto"/>
              </w:rPr>
            </w:pPr>
          </w:p>
        </w:tc>
        <w:tc>
          <w:tcPr>
            <w:tcW w:w="13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397</w:t>
            </w:r>
          </w:p>
        </w:tc>
        <w:tc>
          <w:tcPr>
            <w:tcW w:w="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4"/>
                <w:szCs w:val="14"/>
                <w:b w:val="1"/>
                <w:bCs w:val="1"/>
                <w:color w:val="auto"/>
                <w:w w:val="90"/>
              </w:rPr>
              <w:t>June 30, 2013</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513"/>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76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7"/>
              </w:rPr>
              <w:t>45,333</w:t>
            </w: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45,333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76,264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76,264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60" w:type="dxa"/>
            <w:vAlign w:val="bottom"/>
            <w:gridSpan w:val="7"/>
          </w:tcPr>
          <w:p>
            <w:pPr>
              <w:spacing w:after="0"/>
              <w:rPr>
                <w:sz w:val="20"/>
                <w:szCs w:val="20"/>
                <w:color w:val="auto"/>
              </w:rPr>
            </w:pPr>
            <w:r>
              <w:rPr>
                <w:rFonts w:ascii="Arial" w:cs="Arial" w:eastAsia="Arial" w:hAnsi="Arial"/>
                <w:sz w:val="18"/>
                <w:szCs w:val="18"/>
                <w:color w:val="auto"/>
                <w:w w:val="93"/>
              </w:rPr>
              <w:t>Assets measured at fair value on a nonrecurring basis are summarized below.</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2013</w:t>
            </w: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351</w:t>
            </w: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Real estate owned and other repossessed collateral</w:t>
            </w:r>
          </w:p>
        </w:tc>
        <w:tc>
          <w:tcPr>
            <w:tcW w:w="300" w:type="dxa"/>
            <w:vAlign w:val="bottom"/>
          </w:tcPr>
          <w:p>
            <w:pPr>
              <w:spacing w:after="0"/>
              <w:rPr>
                <w:sz w:val="20"/>
                <w:szCs w:val="20"/>
                <w:color w:val="auto"/>
              </w:rPr>
            </w:pP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3,413</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196"/>
              <w:spacing w:after="0"/>
              <w:rPr>
                <w:sz w:val="20"/>
                <w:szCs w:val="20"/>
                <w:color w:val="auto"/>
              </w:rPr>
            </w:pPr>
            <w:r>
              <w:rPr>
                <w:rFonts w:ascii="Arial" w:cs="Arial" w:eastAsia="Arial" w:hAnsi="Arial"/>
                <w:sz w:val="14"/>
                <w:szCs w:val="14"/>
                <w:b w:val="1"/>
                <w:bCs w:val="1"/>
                <w:color w:val="auto"/>
                <w:w w:val="92"/>
              </w:rPr>
              <w:t>June 30, 2013</w:t>
            </w: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894</w:t>
            </w: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Real estate owned and other repossessed collateral</w:t>
            </w:r>
          </w:p>
        </w:tc>
        <w:tc>
          <w:tcPr>
            <w:tcW w:w="300" w:type="dxa"/>
            <w:vAlign w:val="bottom"/>
          </w:tcPr>
          <w:p>
            <w:pPr>
              <w:spacing w:after="0"/>
              <w:rPr>
                <w:sz w:val="20"/>
                <w:szCs w:val="20"/>
                <w:color w:val="auto"/>
              </w:rPr>
            </w:pP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2,134</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394"/>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Fair Value Measurements at September 30, 2013</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94"/>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12"/>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88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77,351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77,351</w:t>
            </w:r>
          </w:p>
        </w:tc>
        <w:tc>
          <w:tcPr>
            <w:tcW w:w="4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77,351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118,207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118,207</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118,207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5,721</w:t>
            </w: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5,418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482,262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495,522</w:t>
            </w: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1,255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ind w:right="194"/>
              <w:spacing w:after="0"/>
              <w:rPr>
                <w:sz w:val="20"/>
                <w:szCs w:val="20"/>
                <w:color w:val="auto"/>
              </w:rPr>
            </w:pPr>
            <w:r>
              <w:rPr>
                <w:rFonts w:ascii="Arial" w:cs="Arial" w:eastAsia="Arial" w:hAnsi="Arial"/>
                <w:sz w:val="18"/>
                <w:szCs w:val="18"/>
                <w:color w:val="auto"/>
              </w:rPr>
              <w:t>532,098</w:t>
            </w: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496,432</w:t>
            </w: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ind w:right="172"/>
              <w:spacing w:after="0"/>
              <w:rPr>
                <w:sz w:val="20"/>
                <w:szCs w:val="20"/>
                <w:color w:val="auto"/>
              </w:rPr>
            </w:pPr>
            <w:r>
              <w:rPr>
                <w:rFonts w:ascii="Arial" w:cs="Arial" w:eastAsia="Arial" w:hAnsi="Arial"/>
                <w:sz w:val="18"/>
                <w:szCs w:val="18"/>
                <w:color w:val="auto"/>
              </w:rPr>
              <w:t>496,432</w:t>
            </w: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42,985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44,333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Wholesale repurchase agreements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15,343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15,969</w:t>
            </w: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15,969</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1,970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1,695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w:t>
            </w: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8,310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w:t>
            </w:r>
          </w:p>
        </w:tc>
        <w:tc>
          <w:tcPr>
            <w:tcW w:w="460" w:type="dxa"/>
            <w:vAlign w:val="bottom"/>
          </w:tcPr>
          <w:p>
            <w:pPr>
              <w:spacing w:after="0"/>
              <w:rPr>
                <w:sz w:val="20"/>
                <w:szCs w:val="20"/>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394"/>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Fair Value Measurements at June 30, 2013</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94"/>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12"/>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88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65,934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65,934</w:t>
            </w:r>
          </w:p>
        </w:tc>
        <w:tc>
          <w:tcPr>
            <w:tcW w:w="4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65,934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121,597</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121,597</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121,597</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Regulatory stock</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5,721</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5,721</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5,721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8,594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8,602</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8,602</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Loans, net</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434,233</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444,988</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1,396</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1,396</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1,396</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60" w:type="dxa"/>
            <w:vAlign w:val="bottom"/>
            <w:gridSpan w:val="2"/>
          </w:tcPr>
          <w:p>
            <w:pPr>
              <w:spacing w:after="0" w:line="176" w:lineRule="exact"/>
              <w:rPr>
                <w:sz w:val="20"/>
                <w:szCs w:val="20"/>
                <w:color w:val="auto"/>
              </w:rPr>
            </w:pPr>
            <w:r>
              <w:rPr>
                <w:rFonts w:ascii="Arial" w:cs="Arial" w:eastAsia="Arial" w:hAnsi="Arial"/>
                <w:sz w:val="18"/>
                <w:szCs w:val="18"/>
                <w:color w:val="auto"/>
              </w:rPr>
              <w:t>Financial liabilities:</w:t>
            </w:r>
          </w:p>
        </w:tc>
        <w:tc>
          <w:tcPr>
            <w:tcW w:w="1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484,623</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449,857</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449,857</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28,040</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29,404</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29,404</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25,397</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26,092</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26,092</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625</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625</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625</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1,739</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1,926</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1,926</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8,268</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7,594</w:t>
            </w:r>
          </w:p>
        </w:tc>
        <w:tc>
          <w:tcPr>
            <w:tcW w:w="1220" w:type="dxa"/>
            <w:vAlign w:val="bottom"/>
          </w:tcPr>
          <w:p>
            <w:pPr>
              <w:ind w:lef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389</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389</w:t>
            </w:r>
          </w:p>
        </w:tc>
        <w:tc>
          <w:tcPr>
            <w:tcW w:w="1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389</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 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September 30, 2013, the Company had posted cash collateral totaling $800 thousand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prudent to limit the variability of a portion of its interest payments and, therefore, generally hedges a portion of its variable-rate interest payments.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September 30, 2013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ind w:left="100"/>
              <w:spacing w:after="0" w:line="110" w:lineRule="exact"/>
              <w:rPr>
                <w:sz w:val="20"/>
                <w:szCs w:val="20"/>
                <w:color w:val="auto"/>
              </w:rPr>
            </w:pPr>
            <w:r>
              <w:rPr>
                <w:rFonts w:ascii="Arial" w:cs="Arial" w:eastAsia="Arial" w:hAnsi="Arial"/>
                <w:sz w:val="12"/>
                <w:szCs w:val="12"/>
                <w:b w:val="1"/>
                <w:bCs w:val="1"/>
                <w:color w:val="auto"/>
              </w:rPr>
              <w:t>Notional</w:t>
            </w:r>
          </w:p>
        </w:tc>
        <w:tc>
          <w:tcPr>
            <w:tcW w:w="130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218"/>
              <w:spacing w:after="0" w:line="110" w:lineRule="exact"/>
              <w:rPr>
                <w:sz w:val="20"/>
                <w:szCs w:val="20"/>
                <w:color w:val="auto"/>
              </w:rPr>
            </w:pPr>
            <w:r>
              <w:rPr>
                <w:rFonts w:ascii="Arial" w:cs="Arial" w:eastAsia="Arial" w:hAnsi="Arial"/>
                <w:sz w:val="12"/>
                <w:szCs w:val="12"/>
                <w:b w:val="1"/>
                <w:bCs w:val="1"/>
                <w:color w:val="auto"/>
                <w:w w:val="92"/>
              </w:rPr>
              <w:t>Receive</w:t>
            </w:r>
          </w:p>
        </w:tc>
        <w:tc>
          <w:tcPr>
            <w:tcW w:w="940" w:type="dxa"/>
            <w:vAlign w:val="bottom"/>
            <w:tcBorders>
              <w:top w:val="single" w:sz="8" w:color="auto"/>
            </w:tcBorders>
          </w:tcPr>
          <w:p>
            <w:pPr>
              <w:jc w:val="center"/>
              <w:ind w:right="278"/>
              <w:spacing w:after="0" w:line="110" w:lineRule="exact"/>
              <w:rPr>
                <w:sz w:val="20"/>
                <w:szCs w:val="20"/>
                <w:color w:val="auto"/>
              </w:rPr>
            </w:pPr>
            <w:r>
              <w:rPr>
                <w:rFonts w:ascii="Arial" w:cs="Arial" w:eastAsia="Arial" w:hAnsi="Arial"/>
                <w:sz w:val="12"/>
                <w:szCs w:val="12"/>
                <w:b w:val="1"/>
                <w:bCs w:val="1"/>
                <w:color w:val="auto"/>
                <w:w w:val="93"/>
              </w:rPr>
              <w:t>Pay</w:t>
            </w:r>
          </w:p>
        </w:tc>
        <w:tc>
          <w:tcPr>
            <w:tcW w:w="1040" w:type="dxa"/>
            <w:vAlign w:val="bottom"/>
            <w:tcBorders>
              <w:top w:val="single" w:sz="8" w:color="auto"/>
            </w:tcBorders>
          </w:tcPr>
          <w:p>
            <w:pPr>
              <w:jc w:val="center"/>
              <w:ind w:right="358"/>
              <w:spacing w:after="0" w:line="110" w:lineRule="exact"/>
              <w:rPr>
                <w:sz w:val="20"/>
                <w:szCs w:val="20"/>
                <w:color w:val="auto"/>
              </w:rPr>
            </w:pPr>
            <w:r>
              <w:rPr>
                <w:rFonts w:ascii="Arial" w:cs="Arial" w:eastAsia="Arial" w:hAnsi="Arial"/>
                <w:sz w:val="12"/>
                <w:szCs w:val="12"/>
                <w:b w:val="1"/>
                <w:bCs w:val="1"/>
                <w:color w:val="auto"/>
              </w:rPr>
              <w:t>Strike</w:t>
            </w: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198"/>
              <w:spacing w:after="0" w:line="110" w:lineRule="exact"/>
              <w:rPr>
                <w:sz w:val="20"/>
                <w:szCs w:val="20"/>
                <w:color w:val="auto"/>
              </w:rPr>
            </w:pPr>
            <w:r>
              <w:rPr>
                <w:rFonts w:ascii="Arial" w:cs="Arial" w:eastAsia="Arial" w:hAnsi="Arial"/>
                <w:sz w:val="12"/>
                <w:szCs w:val="12"/>
                <w:b w:val="1"/>
                <w:bCs w:val="1"/>
                <w:color w:val="auto"/>
                <w:w w:val="98"/>
              </w:rPr>
              <w:t>Unrealized</w:t>
            </w: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300" w:type="dxa"/>
            <w:vAlign w:val="bottom"/>
          </w:tcPr>
          <w:p>
            <w:pPr>
              <w:jc w:val="right"/>
              <w:ind w:right="277"/>
              <w:spacing w:after="0"/>
              <w:rPr>
                <w:sz w:val="20"/>
                <w:szCs w:val="20"/>
                <w:color w:val="auto"/>
              </w:rPr>
            </w:pPr>
            <w:r>
              <w:rPr>
                <w:rFonts w:ascii="Arial" w:cs="Arial" w:eastAsia="Arial" w:hAnsi="Arial"/>
                <w:sz w:val="13"/>
                <w:szCs w:val="13"/>
                <w:b w:val="1"/>
                <w:bCs w:val="1"/>
                <w:color w:val="auto"/>
              </w:rPr>
              <w:t>Inception Date</w:t>
            </w:r>
          </w:p>
        </w:tc>
        <w:tc>
          <w:tcPr>
            <w:tcW w:w="1580" w:type="dxa"/>
            <w:vAlign w:val="bottom"/>
          </w:tcPr>
          <w:p>
            <w:pPr>
              <w:jc w:val="right"/>
              <w:ind w:right="397"/>
              <w:spacing w:after="0"/>
              <w:rPr>
                <w:sz w:val="20"/>
                <w:szCs w:val="20"/>
                <w:color w:val="auto"/>
              </w:rPr>
            </w:pPr>
            <w:r>
              <w:rPr>
                <w:rFonts w:ascii="Arial" w:cs="Arial" w:eastAsia="Arial" w:hAnsi="Arial"/>
                <w:sz w:val="13"/>
                <w:szCs w:val="13"/>
                <w:b w:val="1"/>
                <w:bCs w:val="1"/>
                <w:color w:val="auto"/>
              </w:rPr>
              <w:t>Termination Date</w:t>
            </w:r>
          </w:p>
        </w:tc>
        <w:tc>
          <w:tcPr>
            <w:tcW w:w="1200" w:type="dxa"/>
            <w:vAlign w:val="bottom"/>
          </w:tcPr>
          <w:p>
            <w:pPr>
              <w:ind w:left="300"/>
              <w:spacing w:after="0"/>
              <w:rPr>
                <w:sz w:val="20"/>
                <w:szCs w:val="20"/>
                <w:color w:val="auto"/>
              </w:rPr>
            </w:pPr>
            <w:r>
              <w:rPr>
                <w:rFonts w:ascii="Arial" w:cs="Arial" w:eastAsia="Arial" w:hAnsi="Arial"/>
                <w:sz w:val="13"/>
                <w:szCs w:val="13"/>
                <w:b w:val="1"/>
                <w:bCs w:val="1"/>
                <w:color w:val="auto"/>
              </w:rPr>
              <w:t>Index</w:t>
            </w:r>
          </w:p>
        </w:tc>
        <w:tc>
          <w:tcPr>
            <w:tcW w:w="1060" w:type="dxa"/>
            <w:vAlign w:val="bottom"/>
          </w:tcPr>
          <w:p>
            <w:pPr>
              <w:jc w:val="center"/>
              <w:ind w:right="218"/>
              <w:spacing w:after="0"/>
              <w:rPr>
                <w:sz w:val="20"/>
                <w:szCs w:val="20"/>
                <w:color w:val="auto"/>
              </w:rPr>
            </w:pPr>
            <w:r>
              <w:rPr>
                <w:rFonts w:ascii="Arial" w:cs="Arial" w:eastAsia="Arial" w:hAnsi="Arial"/>
                <w:sz w:val="13"/>
                <w:szCs w:val="13"/>
                <w:b w:val="1"/>
                <w:bCs w:val="1"/>
                <w:color w:val="auto"/>
                <w:w w:val="92"/>
              </w:rPr>
              <w:t>Rate</w:t>
            </w:r>
          </w:p>
        </w:tc>
        <w:tc>
          <w:tcPr>
            <w:tcW w:w="940" w:type="dxa"/>
            <w:vAlign w:val="bottom"/>
          </w:tcPr>
          <w:p>
            <w:pPr>
              <w:jc w:val="center"/>
              <w:ind w:right="298"/>
              <w:spacing w:after="0"/>
              <w:rPr>
                <w:sz w:val="20"/>
                <w:szCs w:val="20"/>
                <w:color w:val="auto"/>
              </w:rPr>
            </w:pPr>
            <w:r>
              <w:rPr>
                <w:rFonts w:ascii="Arial" w:cs="Arial" w:eastAsia="Arial" w:hAnsi="Arial"/>
                <w:sz w:val="13"/>
                <w:szCs w:val="13"/>
                <w:b w:val="1"/>
                <w:bCs w:val="1"/>
                <w:color w:val="auto"/>
                <w:w w:val="92"/>
              </w:rPr>
              <w:t>Rate</w:t>
            </w:r>
          </w:p>
        </w:tc>
        <w:tc>
          <w:tcPr>
            <w:tcW w:w="1040" w:type="dxa"/>
            <w:vAlign w:val="bottom"/>
          </w:tcPr>
          <w:p>
            <w:pPr>
              <w:jc w:val="center"/>
              <w:ind w:right="358"/>
              <w:spacing w:after="0"/>
              <w:rPr>
                <w:sz w:val="20"/>
                <w:szCs w:val="20"/>
                <w:color w:val="auto"/>
              </w:rPr>
            </w:pPr>
            <w:r>
              <w:rPr>
                <w:rFonts w:ascii="Arial" w:cs="Arial" w:eastAsia="Arial" w:hAnsi="Arial"/>
                <w:sz w:val="13"/>
                <w:szCs w:val="13"/>
                <w:b w:val="1"/>
                <w:bCs w:val="1"/>
                <w:color w:val="auto"/>
                <w:w w:val="92"/>
              </w:rPr>
              <w:t>Rate</w:t>
            </w:r>
          </w:p>
        </w:tc>
        <w:tc>
          <w:tcPr>
            <w:tcW w:w="80" w:type="dxa"/>
            <w:vAlign w:val="bottom"/>
          </w:tcPr>
          <w:p>
            <w:pPr>
              <w:spacing w:after="0"/>
              <w:rPr>
                <w:sz w:val="13"/>
                <w:szCs w:val="13"/>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3"/>
                <w:szCs w:val="13"/>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90"/>
              </w:rPr>
              <w:t>Fair Value</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gridSpan w:val="2"/>
          </w:tcPr>
          <w:p>
            <w:pPr>
              <w:jc w:val="right"/>
              <w:ind w:right="398"/>
              <w:spacing w:after="0" w:line="129" w:lineRule="exact"/>
              <w:rPr>
                <w:sz w:val="20"/>
                <w:szCs w:val="20"/>
                <w:color w:val="auto"/>
              </w:rPr>
            </w:pPr>
            <w:r>
              <w:rPr>
                <w:rFonts w:ascii="Arial" w:cs="Arial" w:eastAsia="Arial" w:hAnsi="Arial"/>
                <w:sz w:val="13"/>
                <w:szCs w:val="13"/>
                <w:b w:val="1"/>
                <w:bCs w:val="1"/>
                <w:color w:val="auto"/>
              </w:rPr>
              <w:t>(Dollars in thousands)</w:t>
            </w: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Interest rate swaps:</w:t>
            </w: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February 2010</w:t>
            </w:r>
          </w:p>
        </w:tc>
        <w:tc>
          <w:tcPr>
            <w:tcW w:w="15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February 2015</w:t>
            </w:r>
          </w:p>
        </w:tc>
        <w:tc>
          <w:tcPr>
            <w:tcW w:w="1200" w:type="dxa"/>
            <w:vAlign w:val="bottom"/>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tcPr>
          <w:p>
            <w:pPr>
              <w:jc w:val="right"/>
              <w:ind w:right="98"/>
              <w:spacing w:after="0" w:line="135" w:lineRule="exact"/>
              <w:rPr>
                <w:sz w:val="20"/>
                <w:szCs w:val="20"/>
                <w:color w:val="auto"/>
              </w:rPr>
            </w:pPr>
            <w:r>
              <w:rPr>
                <w:rFonts w:ascii="Arial" w:cs="Arial" w:eastAsia="Arial" w:hAnsi="Arial"/>
                <w:sz w:val="13"/>
                <w:szCs w:val="13"/>
                <w:color w:val="auto"/>
              </w:rPr>
              <w:t>2.16%</w:t>
            </w:r>
          </w:p>
        </w:tc>
        <w:tc>
          <w:tcPr>
            <w:tcW w:w="94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4.69%</w:t>
            </w:r>
          </w:p>
        </w:tc>
        <w:tc>
          <w:tcPr>
            <w:tcW w:w="1040" w:type="dxa"/>
            <w:vAlign w:val="bottom"/>
          </w:tcPr>
          <w:p>
            <w:pPr>
              <w:ind w:left="56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(340)</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5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July 2033</w:t>
            </w:r>
          </w:p>
        </w:tc>
        <w:tc>
          <w:tcPr>
            <w:tcW w:w="1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0.27%</w:t>
            </w:r>
          </w:p>
        </w:tc>
        <w:tc>
          <w:tcPr>
            <w:tcW w:w="94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3.38%</w:t>
            </w:r>
          </w:p>
        </w:tc>
        <w:tc>
          <w:tcPr>
            <w:tcW w:w="10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5,000</w:t>
            </w:r>
          </w:p>
        </w:tc>
        <w:tc>
          <w:tcPr>
            <w:tcW w:w="180" w:type="dxa"/>
            <w:vAlign w:val="bottom"/>
          </w:tcPr>
          <w:p>
            <w:pPr>
              <w:spacing w:after="0"/>
              <w:rPr>
                <w:sz w:val="11"/>
                <w:szCs w:val="11"/>
                <w:color w:val="auto"/>
              </w:rPr>
            </w:pP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5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July 2028</w:t>
            </w:r>
          </w:p>
        </w:tc>
        <w:tc>
          <w:tcPr>
            <w:tcW w:w="1200" w:type="dxa"/>
            <w:vAlign w:val="bottom"/>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tcPr>
          <w:p>
            <w:pPr>
              <w:jc w:val="right"/>
              <w:ind w:right="98"/>
              <w:spacing w:after="0" w:line="135" w:lineRule="exact"/>
              <w:rPr>
                <w:sz w:val="20"/>
                <w:szCs w:val="20"/>
                <w:color w:val="auto"/>
              </w:rPr>
            </w:pPr>
            <w:r>
              <w:rPr>
                <w:rFonts w:ascii="Arial" w:cs="Arial" w:eastAsia="Arial" w:hAnsi="Arial"/>
                <w:sz w:val="13"/>
                <w:szCs w:val="13"/>
                <w:color w:val="auto"/>
              </w:rPr>
              <w:t>0.27%</w:t>
            </w:r>
          </w:p>
        </w:tc>
        <w:tc>
          <w:tcPr>
            <w:tcW w:w="940" w:type="dxa"/>
            <w:vAlign w:val="bottom"/>
          </w:tcPr>
          <w:p>
            <w:pPr>
              <w:jc w:val="right"/>
              <w:ind w:right="78"/>
              <w:spacing w:after="0" w:line="135" w:lineRule="exact"/>
              <w:rPr>
                <w:sz w:val="20"/>
                <w:szCs w:val="20"/>
                <w:color w:val="auto"/>
              </w:rPr>
            </w:pPr>
            <w:r>
              <w:rPr>
                <w:rFonts w:ascii="Arial" w:cs="Arial" w:eastAsia="Arial" w:hAnsi="Arial"/>
                <w:sz w:val="13"/>
                <w:szCs w:val="13"/>
                <w:color w:val="auto"/>
              </w:rPr>
              <w:t>3.23%</w:t>
            </w:r>
          </w:p>
        </w:tc>
        <w:tc>
          <w:tcPr>
            <w:tcW w:w="1040" w:type="dxa"/>
            <w:vAlign w:val="bottom"/>
          </w:tcPr>
          <w:p>
            <w:pPr>
              <w:ind w:left="56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(15)</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5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July 2023</w:t>
            </w:r>
          </w:p>
        </w:tc>
        <w:tc>
          <w:tcPr>
            <w:tcW w:w="1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0.27%</w:t>
            </w:r>
          </w:p>
        </w:tc>
        <w:tc>
          <w:tcPr>
            <w:tcW w:w="94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2.77%</w:t>
            </w:r>
          </w:p>
        </w:tc>
        <w:tc>
          <w:tcPr>
            <w:tcW w:w="104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(42)</w:t>
            </w:r>
          </w:p>
        </w:tc>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Interest rate caps:</w:t>
            </w:r>
          </w:p>
        </w:tc>
        <w:tc>
          <w:tcPr>
            <w:tcW w:w="1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September 2009</w:t>
            </w:r>
          </w:p>
        </w:tc>
        <w:tc>
          <w:tcPr>
            <w:tcW w:w="15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September 2014</w:t>
            </w:r>
          </w:p>
        </w:tc>
        <w:tc>
          <w:tcPr>
            <w:tcW w:w="1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rPr>
              <w:t>n/a</w:t>
            </w:r>
          </w:p>
        </w:tc>
        <w:tc>
          <w:tcPr>
            <w:tcW w:w="940" w:type="dxa"/>
            <w:vAlign w:val="bottom"/>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n/a</w:t>
            </w:r>
          </w:p>
        </w:tc>
        <w:tc>
          <w:tcPr>
            <w:tcW w:w="1040" w:type="dxa"/>
            <w:vAlign w:val="bottom"/>
            <w:shd w:val="clear" w:color="auto" w:fill="CCEEFF"/>
          </w:tcPr>
          <w:p>
            <w:pPr>
              <w:ind w:left="480"/>
              <w:spacing w:after="0" w:line="135" w:lineRule="exact"/>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31,000</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(263</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(369</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June 30, 2013</w:t>
            </w: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Notional</w:t>
            </w:r>
          </w:p>
        </w:tc>
        <w:tc>
          <w:tcPr>
            <w:tcW w:w="1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jc w:val="center"/>
              <w:ind w:right="218"/>
              <w:spacing w:after="0" w:line="110" w:lineRule="exact"/>
              <w:rPr>
                <w:sz w:val="20"/>
                <w:szCs w:val="20"/>
                <w:color w:val="auto"/>
              </w:rPr>
            </w:pPr>
            <w:r>
              <w:rPr>
                <w:rFonts w:ascii="Arial" w:cs="Arial" w:eastAsia="Arial" w:hAnsi="Arial"/>
                <w:sz w:val="12"/>
                <w:szCs w:val="12"/>
                <w:b w:val="1"/>
                <w:bCs w:val="1"/>
                <w:color w:val="auto"/>
                <w:w w:val="92"/>
              </w:rPr>
              <w:t>Receive</w:t>
            </w:r>
          </w:p>
        </w:tc>
        <w:tc>
          <w:tcPr>
            <w:tcW w:w="940" w:type="dxa"/>
            <w:vAlign w:val="bottom"/>
          </w:tcPr>
          <w:p>
            <w:pPr>
              <w:jc w:val="center"/>
              <w:ind w:right="278"/>
              <w:spacing w:after="0" w:line="110" w:lineRule="exact"/>
              <w:rPr>
                <w:sz w:val="20"/>
                <w:szCs w:val="20"/>
                <w:color w:val="auto"/>
              </w:rPr>
            </w:pPr>
            <w:r>
              <w:rPr>
                <w:rFonts w:ascii="Arial" w:cs="Arial" w:eastAsia="Arial" w:hAnsi="Arial"/>
                <w:sz w:val="12"/>
                <w:szCs w:val="12"/>
                <w:b w:val="1"/>
                <w:bCs w:val="1"/>
                <w:color w:val="auto"/>
                <w:w w:val="93"/>
              </w:rPr>
              <w:t>Pay</w:t>
            </w:r>
          </w:p>
        </w:tc>
        <w:tc>
          <w:tcPr>
            <w:tcW w:w="1040" w:type="dxa"/>
            <w:vAlign w:val="bottom"/>
          </w:tcPr>
          <w:p>
            <w:pPr>
              <w:jc w:val="center"/>
              <w:ind w:right="358"/>
              <w:spacing w:after="0" w:line="110" w:lineRule="exact"/>
              <w:rPr>
                <w:sz w:val="20"/>
                <w:szCs w:val="20"/>
                <w:color w:val="auto"/>
              </w:rPr>
            </w:pPr>
            <w:r>
              <w:rPr>
                <w:rFonts w:ascii="Arial" w:cs="Arial" w:eastAsia="Arial" w:hAnsi="Arial"/>
                <w:sz w:val="12"/>
                <w:szCs w:val="12"/>
                <w:b w:val="1"/>
                <w:bCs w:val="1"/>
                <w:color w:val="auto"/>
              </w:rPr>
              <w:t>Strike</w:t>
            </w:r>
          </w:p>
        </w:tc>
        <w:tc>
          <w:tcPr>
            <w:tcW w:w="80" w:type="dxa"/>
            <w:vAlign w:val="bottom"/>
          </w:tcPr>
          <w:p>
            <w:pPr>
              <w:spacing w:after="0"/>
              <w:rPr>
                <w:sz w:val="9"/>
                <w:szCs w:val="9"/>
                <w:color w:val="auto"/>
              </w:rPr>
            </w:pPr>
          </w:p>
        </w:tc>
        <w:tc>
          <w:tcPr>
            <w:tcW w:w="880" w:type="dxa"/>
            <w:vAlign w:val="bottom"/>
            <w:gridSpan w:val="2"/>
          </w:tcPr>
          <w:p>
            <w:pPr>
              <w:jc w:val="center"/>
              <w:ind w:right="198"/>
              <w:spacing w:after="0" w:line="110" w:lineRule="exact"/>
              <w:rPr>
                <w:sz w:val="20"/>
                <w:szCs w:val="20"/>
                <w:color w:val="auto"/>
              </w:rPr>
            </w:pPr>
            <w:r>
              <w:rPr>
                <w:rFonts w:ascii="Arial" w:cs="Arial" w:eastAsia="Arial" w:hAnsi="Arial"/>
                <w:sz w:val="12"/>
                <w:szCs w:val="12"/>
                <w:b w:val="1"/>
                <w:bCs w:val="1"/>
                <w:color w:val="auto"/>
                <w:w w:val="98"/>
              </w:rPr>
              <w:t>Unrealized</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300" w:type="dxa"/>
            <w:vAlign w:val="bottom"/>
          </w:tcPr>
          <w:p>
            <w:pPr>
              <w:jc w:val="right"/>
              <w:ind w:right="277"/>
              <w:spacing w:after="0"/>
              <w:rPr>
                <w:sz w:val="20"/>
                <w:szCs w:val="20"/>
                <w:color w:val="auto"/>
              </w:rPr>
            </w:pPr>
            <w:r>
              <w:rPr>
                <w:rFonts w:ascii="Arial" w:cs="Arial" w:eastAsia="Arial" w:hAnsi="Arial"/>
                <w:sz w:val="13"/>
                <w:szCs w:val="13"/>
                <w:b w:val="1"/>
                <w:bCs w:val="1"/>
                <w:color w:val="auto"/>
              </w:rPr>
              <w:t>Inception Date</w:t>
            </w:r>
          </w:p>
        </w:tc>
        <w:tc>
          <w:tcPr>
            <w:tcW w:w="1580" w:type="dxa"/>
            <w:vAlign w:val="bottom"/>
          </w:tcPr>
          <w:p>
            <w:pPr>
              <w:jc w:val="right"/>
              <w:ind w:right="397"/>
              <w:spacing w:after="0"/>
              <w:rPr>
                <w:sz w:val="20"/>
                <w:szCs w:val="20"/>
                <w:color w:val="auto"/>
              </w:rPr>
            </w:pPr>
            <w:r>
              <w:rPr>
                <w:rFonts w:ascii="Arial" w:cs="Arial" w:eastAsia="Arial" w:hAnsi="Arial"/>
                <w:sz w:val="13"/>
                <w:szCs w:val="13"/>
                <w:b w:val="1"/>
                <w:bCs w:val="1"/>
                <w:color w:val="auto"/>
              </w:rPr>
              <w:t>Termination Date</w:t>
            </w:r>
          </w:p>
        </w:tc>
        <w:tc>
          <w:tcPr>
            <w:tcW w:w="1200" w:type="dxa"/>
            <w:vAlign w:val="bottom"/>
          </w:tcPr>
          <w:p>
            <w:pPr>
              <w:ind w:left="300"/>
              <w:spacing w:after="0"/>
              <w:rPr>
                <w:sz w:val="20"/>
                <w:szCs w:val="20"/>
                <w:color w:val="auto"/>
              </w:rPr>
            </w:pPr>
            <w:r>
              <w:rPr>
                <w:rFonts w:ascii="Arial" w:cs="Arial" w:eastAsia="Arial" w:hAnsi="Arial"/>
                <w:sz w:val="13"/>
                <w:szCs w:val="13"/>
                <w:b w:val="1"/>
                <w:bCs w:val="1"/>
                <w:color w:val="auto"/>
              </w:rPr>
              <w:t>Index</w:t>
            </w:r>
          </w:p>
        </w:tc>
        <w:tc>
          <w:tcPr>
            <w:tcW w:w="1060" w:type="dxa"/>
            <w:vAlign w:val="bottom"/>
          </w:tcPr>
          <w:p>
            <w:pPr>
              <w:jc w:val="center"/>
              <w:ind w:right="218"/>
              <w:spacing w:after="0"/>
              <w:rPr>
                <w:sz w:val="20"/>
                <w:szCs w:val="20"/>
                <w:color w:val="auto"/>
              </w:rPr>
            </w:pPr>
            <w:r>
              <w:rPr>
                <w:rFonts w:ascii="Arial" w:cs="Arial" w:eastAsia="Arial" w:hAnsi="Arial"/>
                <w:sz w:val="13"/>
                <w:szCs w:val="13"/>
                <w:b w:val="1"/>
                <w:bCs w:val="1"/>
                <w:color w:val="auto"/>
                <w:w w:val="92"/>
              </w:rPr>
              <w:t>Rate</w:t>
            </w:r>
          </w:p>
        </w:tc>
        <w:tc>
          <w:tcPr>
            <w:tcW w:w="940" w:type="dxa"/>
            <w:vAlign w:val="bottom"/>
          </w:tcPr>
          <w:p>
            <w:pPr>
              <w:jc w:val="center"/>
              <w:ind w:right="298"/>
              <w:spacing w:after="0"/>
              <w:rPr>
                <w:sz w:val="20"/>
                <w:szCs w:val="20"/>
                <w:color w:val="auto"/>
              </w:rPr>
            </w:pPr>
            <w:r>
              <w:rPr>
                <w:rFonts w:ascii="Arial" w:cs="Arial" w:eastAsia="Arial" w:hAnsi="Arial"/>
                <w:sz w:val="13"/>
                <w:szCs w:val="13"/>
                <w:b w:val="1"/>
                <w:bCs w:val="1"/>
                <w:color w:val="auto"/>
                <w:w w:val="92"/>
              </w:rPr>
              <w:t>Rate</w:t>
            </w:r>
          </w:p>
        </w:tc>
        <w:tc>
          <w:tcPr>
            <w:tcW w:w="1040" w:type="dxa"/>
            <w:vAlign w:val="bottom"/>
          </w:tcPr>
          <w:p>
            <w:pPr>
              <w:jc w:val="center"/>
              <w:ind w:right="358"/>
              <w:spacing w:after="0"/>
              <w:rPr>
                <w:sz w:val="20"/>
                <w:szCs w:val="20"/>
                <w:color w:val="auto"/>
              </w:rPr>
            </w:pPr>
            <w:r>
              <w:rPr>
                <w:rFonts w:ascii="Arial" w:cs="Arial" w:eastAsia="Arial" w:hAnsi="Arial"/>
                <w:sz w:val="13"/>
                <w:szCs w:val="13"/>
                <w:b w:val="1"/>
                <w:bCs w:val="1"/>
                <w:color w:val="auto"/>
                <w:w w:val="92"/>
              </w:rPr>
              <w:t>Rate</w:t>
            </w:r>
          </w:p>
        </w:tc>
        <w:tc>
          <w:tcPr>
            <w:tcW w:w="80" w:type="dxa"/>
            <w:vAlign w:val="bottom"/>
          </w:tcPr>
          <w:p>
            <w:pPr>
              <w:spacing w:after="0"/>
              <w:rPr>
                <w:sz w:val="13"/>
                <w:szCs w:val="13"/>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3"/>
                <w:szCs w:val="13"/>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90"/>
              </w:rPr>
              <w:t>Fair Value</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gridSpan w:val="2"/>
          </w:tcPr>
          <w:p>
            <w:pPr>
              <w:jc w:val="right"/>
              <w:ind w:right="398"/>
              <w:spacing w:after="0" w:line="129" w:lineRule="exact"/>
              <w:rPr>
                <w:sz w:val="20"/>
                <w:szCs w:val="20"/>
                <w:color w:val="auto"/>
              </w:rPr>
            </w:pPr>
            <w:r>
              <w:rPr>
                <w:rFonts w:ascii="Arial" w:cs="Arial" w:eastAsia="Arial" w:hAnsi="Arial"/>
                <w:sz w:val="13"/>
                <w:szCs w:val="13"/>
                <w:b w:val="1"/>
                <w:bCs w:val="1"/>
                <w:color w:val="auto"/>
              </w:rPr>
              <w:t>(Dollars in thousands)</w:t>
            </w: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Interest rate swaps:</w:t>
            </w: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10,000</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February 2010</w:t>
            </w:r>
          </w:p>
        </w:tc>
        <w:tc>
          <w:tcPr>
            <w:tcW w:w="15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February 2015</w:t>
            </w:r>
          </w:p>
        </w:tc>
        <w:tc>
          <w:tcPr>
            <w:tcW w:w="1200" w:type="dxa"/>
            <w:vAlign w:val="bottom"/>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tcPr>
          <w:p>
            <w:pPr>
              <w:jc w:val="right"/>
              <w:ind w:right="98"/>
              <w:spacing w:after="0" w:line="135" w:lineRule="exact"/>
              <w:rPr>
                <w:sz w:val="20"/>
                <w:szCs w:val="20"/>
                <w:color w:val="auto"/>
              </w:rPr>
            </w:pPr>
            <w:r>
              <w:rPr>
                <w:rFonts w:ascii="Arial" w:cs="Arial" w:eastAsia="Arial" w:hAnsi="Arial"/>
                <w:sz w:val="13"/>
                <w:szCs w:val="13"/>
                <w:color w:val="auto"/>
              </w:rPr>
              <w:t>2.16%</w:t>
            </w:r>
          </w:p>
        </w:tc>
        <w:tc>
          <w:tcPr>
            <w:tcW w:w="940" w:type="dxa"/>
            <w:vAlign w:val="bottom"/>
          </w:tcPr>
          <w:p>
            <w:pPr>
              <w:jc w:val="right"/>
              <w:ind w:right="78"/>
              <w:spacing w:after="0" w:line="135" w:lineRule="exact"/>
              <w:rPr>
                <w:sz w:val="20"/>
                <w:szCs w:val="20"/>
                <w:color w:val="auto"/>
              </w:rPr>
            </w:pPr>
            <w:r>
              <w:rPr>
                <w:rFonts w:ascii="Arial" w:cs="Arial" w:eastAsia="Arial" w:hAnsi="Arial"/>
                <w:sz w:val="13"/>
                <w:szCs w:val="13"/>
                <w:color w:val="auto"/>
              </w:rPr>
              <w:t>4.69%</w:t>
            </w:r>
          </w:p>
        </w:tc>
        <w:tc>
          <w:tcPr>
            <w:tcW w:w="1040" w:type="dxa"/>
            <w:vAlign w:val="bottom"/>
          </w:tcPr>
          <w:p>
            <w:pPr>
              <w:ind w:left="56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(223)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(389)</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Interest rate caps:</w:t>
            </w: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6,000</w:t>
            </w:r>
          </w:p>
        </w:tc>
        <w:tc>
          <w:tcPr>
            <w:tcW w:w="180" w:type="dxa"/>
            <w:vAlign w:val="bottom"/>
          </w:tcPr>
          <w:p>
            <w:pPr>
              <w:spacing w:after="0"/>
              <w:rPr>
                <w:sz w:val="11"/>
                <w:szCs w:val="11"/>
                <w:color w:val="auto"/>
              </w:rPr>
            </w:pP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September 2009</w:t>
            </w:r>
          </w:p>
        </w:tc>
        <w:tc>
          <w:tcPr>
            <w:tcW w:w="15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September 2014</w:t>
            </w:r>
          </w:p>
        </w:tc>
        <w:tc>
          <w:tcPr>
            <w:tcW w:w="1200" w:type="dxa"/>
            <w:vAlign w:val="bottom"/>
          </w:tcPr>
          <w:p>
            <w:pPr>
              <w:ind w:left="300"/>
              <w:spacing w:after="0" w:line="135" w:lineRule="exact"/>
              <w:rPr>
                <w:sz w:val="20"/>
                <w:szCs w:val="20"/>
                <w:color w:val="auto"/>
              </w:rPr>
            </w:pPr>
            <w:r>
              <w:rPr>
                <w:rFonts w:ascii="Arial" w:cs="Arial" w:eastAsia="Arial" w:hAnsi="Arial"/>
                <w:sz w:val="13"/>
                <w:szCs w:val="13"/>
                <w:color w:val="auto"/>
              </w:rPr>
              <w:t>3 Mo. LIBOR</w:t>
            </w:r>
          </w:p>
        </w:tc>
        <w:tc>
          <w:tcPr>
            <w:tcW w:w="1060" w:type="dxa"/>
            <w:vAlign w:val="bottom"/>
          </w:tcPr>
          <w:p>
            <w:pPr>
              <w:ind w:left="640"/>
              <w:spacing w:after="0" w:line="135" w:lineRule="exact"/>
              <w:rPr>
                <w:sz w:val="20"/>
                <w:szCs w:val="20"/>
                <w:color w:val="auto"/>
              </w:rPr>
            </w:pPr>
            <w:r>
              <w:rPr>
                <w:rFonts w:ascii="Arial" w:cs="Arial" w:eastAsia="Arial" w:hAnsi="Arial"/>
                <w:sz w:val="13"/>
                <w:szCs w:val="13"/>
                <w:color w:val="auto"/>
              </w:rPr>
              <w:t>n/a</w:t>
            </w:r>
          </w:p>
        </w:tc>
        <w:tc>
          <w:tcPr>
            <w:tcW w:w="940" w:type="dxa"/>
            <w:vAlign w:val="bottom"/>
          </w:tcPr>
          <w:p>
            <w:pPr>
              <w:jc w:val="right"/>
              <w:ind w:right="178"/>
              <w:spacing w:after="0" w:line="135" w:lineRule="exact"/>
              <w:rPr>
                <w:sz w:val="20"/>
                <w:szCs w:val="20"/>
                <w:color w:val="auto"/>
              </w:rPr>
            </w:pPr>
            <w:r>
              <w:rPr>
                <w:rFonts w:ascii="Arial" w:cs="Arial" w:eastAsia="Arial" w:hAnsi="Arial"/>
                <w:sz w:val="13"/>
                <w:szCs w:val="13"/>
                <w:color w:val="auto"/>
              </w:rPr>
              <w:t>n/a</w:t>
            </w:r>
          </w:p>
        </w:tc>
        <w:tc>
          <w:tcPr>
            <w:tcW w:w="1040" w:type="dxa"/>
            <w:vAlign w:val="bottom"/>
          </w:tcPr>
          <w:p>
            <w:pPr>
              <w:ind w:left="480"/>
              <w:spacing w:after="0" w:line="135" w:lineRule="exact"/>
              <w:rPr>
                <w:sz w:val="20"/>
                <w:szCs w:val="20"/>
                <w:color w:val="auto"/>
              </w:rPr>
            </w:pPr>
            <w:r>
              <w:rPr>
                <w:rFonts w:ascii="Arial" w:cs="Arial" w:eastAsia="Arial" w:hAnsi="Arial"/>
                <w:sz w:val="13"/>
                <w:szCs w:val="13"/>
                <w:color w:val="auto"/>
              </w:rPr>
              <w:t>2.51%</w:t>
            </w:r>
          </w:p>
        </w:tc>
        <w:tc>
          <w:tcPr>
            <w:tcW w:w="8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1"/>
                <w:szCs w:val="11"/>
                <w:color w:val="auto"/>
              </w:rPr>
            </w:pPr>
          </w:p>
        </w:tc>
        <w:tc>
          <w:tcPr>
            <w:tcW w:w="8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Other 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16,000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5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(263</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(389</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Arial" w:cs="Arial" w:eastAsia="Arial" w:hAnsi="Arial"/>
                <w:sz w:val="8"/>
                <w:szCs w:val="8"/>
                <w:color w:val="auto"/>
                <w:w w:val="73"/>
              </w:rPr>
              <w:t>)</w:t>
            </w: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September 30, 2013 and 2012,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months ended September 30, 2013 and 2012 related to the balance sheet hedging of variable rate debt indicates that the hedges were effective.</w:t>
      </w:r>
    </w:p>
    <w:p>
      <w:pPr>
        <w:sectPr>
          <w:pgSz w:w="11900" w:h="16838" w:orient="portrait"/>
          <w:cols w:equalWidth="0" w:num="1">
            <w:col w:w="11420"/>
          </w:cols>
          <w:pgMar w:left="240" w:top="140" w:right="239" w:bottom="0" w:gutter="0" w:footer="0" w:header="0"/>
        </w:sectPr>
      </w:pPr>
    </w:p>
    <w:bookmarkStart w:id="16" w:name="page17"/>
    <w:bookmarkEnd w:id="16"/>
    <w:p>
      <w:pPr>
        <w:spacing w:after="0" w:line="6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periods presented, amounts recognized in income related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00" w:type="dxa"/>
            <w:vAlign w:val="bottom"/>
            <w:gridSpan w:val="4"/>
          </w:tcPr>
          <w:p>
            <w:pPr>
              <w:jc w:val="right"/>
              <w:ind w:right="49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rate caps</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95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50"/>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expects to record interest income of $100 thousand related to interest rate swap ineffectiveness in the next twelve months. The Company expects to record interest expense of $34 thousand related to its purchased interest rate caps in the next twelve months.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Pre-tax</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Pre-tax</w:t>
            </w: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20" w:type="dxa"/>
            <w:vAlign w:val="bottom"/>
          </w:tcPr>
          <w:p>
            <w:pPr>
              <w:spacing w:after="0"/>
              <w:rPr>
                <w:sz w:val="10"/>
                <w:szCs w:val="10"/>
                <w:color w:val="auto"/>
              </w:rPr>
            </w:pPr>
          </w:p>
        </w:tc>
        <w:tc>
          <w:tcPr>
            <w:tcW w:w="7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(Benefit)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Change in net unrealized gain or loss on available-for-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4240" w:type="dxa"/>
            <w:vAlign w:val="bottom"/>
          </w:tcPr>
          <w:p>
            <w:pPr>
              <w:ind w:left="180"/>
              <w:spacing w:after="0" w:line="201" w:lineRule="exact"/>
              <w:rPr>
                <w:sz w:val="20"/>
                <w:szCs w:val="20"/>
                <w:color w:val="auto"/>
              </w:rPr>
            </w:pPr>
            <w:r>
              <w:rPr>
                <w:rFonts w:ascii="Arial" w:cs="Arial" w:eastAsia="Arial" w:hAnsi="Arial"/>
                <w:sz w:val="18"/>
                <w:szCs w:val="18"/>
                <w:color w:val="auto"/>
                <w:w w:val="97"/>
              </w:rPr>
              <w:t>Reclassification adjustment for net gains included in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line="182" w:lineRule="exact"/>
              <w:rPr>
                <w:sz w:val="20"/>
                <w:szCs w:val="20"/>
                <w:color w:val="auto"/>
              </w:rPr>
            </w:pPr>
            <w:r>
              <w:rPr>
                <w:rFonts w:ascii="Arial" w:cs="Arial" w:eastAsia="Arial" w:hAnsi="Arial"/>
                <w:sz w:val="18"/>
                <w:szCs w:val="18"/>
                <w:color w:val="auto"/>
                <w:w w:val="99"/>
              </w:rPr>
              <w:t>Change in accumulated gain or loss on effective cash</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flow hedges</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Reclassification adjustment for net gains included in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derivatives and hedging activities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September 30, 2013</w:t>
            </w:r>
          </w:p>
        </w:tc>
        <w:tc>
          <w:tcPr>
            <w:tcW w:w="2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2013</w:t>
            </w:r>
          </w:p>
        </w:tc>
        <w:tc>
          <w:tcPr>
            <w:tcW w:w="310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4"/>
          </w:tcPr>
          <w:p>
            <w:pPr>
              <w:jc w:val="right"/>
              <w:ind w:right="99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3100" w:type="dxa"/>
            <w:vAlign w:val="bottom"/>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3100" w:type="dxa"/>
            <w:vAlign w:val="bottom"/>
          </w:tcPr>
          <w:p>
            <w:pPr>
              <w:spacing w:after="0"/>
              <w:rPr>
                <w:sz w:val="18"/>
                <w:szCs w:val="18"/>
                <w:color w:val="auto"/>
              </w:rPr>
            </w:pPr>
          </w:p>
        </w:tc>
      </w:tr>
      <w:tr>
        <w:trPr>
          <w:trHeight w:val="210"/>
        </w:trPr>
        <w:tc>
          <w:tcPr>
            <w:tcW w:w="4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3100" w:type="dxa"/>
            <w:vAlign w:val="bottom"/>
          </w:tcPr>
          <w:p>
            <w:pPr>
              <w:spacing w:after="0"/>
              <w:rPr>
                <w:sz w:val="18"/>
                <w:szCs w:val="18"/>
                <w:color w:val="auto"/>
              </w:rPr>
            </w:pPr>
          </w:p>
        </w:tc>
      </w:tr>
      <w:tr>
        <w:trPr>
          <w:trHeight w:val="210"/>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8"/>
                <w:szCs w:val="18"/>
                <w:color w:val="auto"/>
              </w:rPr>
            </w:pPr>
          </w:p>
        </w:tc>
        <w:tc>
          <w:tcPr>
            <w:tcW w:w="3100" w:type="dxa"/>
            <w:vAlign w:val="bottom"/>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494"/>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40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282"/>
              <w:spacing w:after="0"/>
              <w:rPr>
                <w:sz w:val="20"/>
                <w:szCs w:val="20"/>
                <w:color w:val="auto"/>
              </w:rPr>
            </w:pPr>
            <w:r>
              <w:rPr>
                <w:rFonts w:ascii="Arial" w:cs="Arial" w:eastAsia="Arial" w:hAnsi="Arial"/>
                <w:sz w:val="14"/>
                <w:szCs w:val="14"/>
                <w:b w:val="1"/>
                <w:bCs w:val="1"/>
                <w:color w:val="auto"/>
                <w:w w:val="96"/>
              </w:rPr>
              <w:t>September 30, 2013</w:t>
            </w:r>
          </w:p>
        </w:tc>
        <w:tc>
          <w:tcPr>
            <w:tcW w:w="3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2013</w:t>
            </w:r>
          </w:p>
        </w:tc>
      </w:tr>
      <w:tr>
        <w:trPr>
          <w:trHeight w:val="142"/>
        </w:trPr>
        <w:tc>
          <w:tcPr>
            <w:tcW w:w="4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3"/>
          </w:tcPr>
          <w:p>
            <w:pPr>
              <w:jc w:val="right"/>
              <w:ind w:right="999"/>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6"/>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Residential real estate mortgages</w:t>
            </w:r>
          </w:p>
        </w:tc>
        <w:tc>
          <w:tcPr>
            <w:tcW w:w="16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ind w:right="62"/>
              <w:spacing w:after="0"/>
              <w:rPr>
                <w:sz w:val="20"/>
                <w:szCs w:val="20"/>
                <w:color w:val="auto"/>
              </w:rPr>
            </w:pPr>
            <w:r>
              <w:rPr>
                <w:rFonts w:ascii="Arial" w:cs="Arial" w:eastAsia="Arial" w:hAnsi="Arial"/>
                <w:sz w:val="18"/>
                <w:szCs w:val="18"/>
                <w:color w:val="auto"/>
              </w:rPr>
              <w:t>15,791</w:t>
            </w:r>
          </w:p>
        </w:tc>
        <w:tc>
          <w:tcPr>
            <w:tcW w:w="3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12,445</w:t>
            </w:r>
          </w:p>
        </w:tc>
      </w:tr>
    </w:tbl>
    <w:p>
      <w:pPr>
        <w:sectPr>
          <w:pgSz w:w="11900" w:h="16900" w:orient="portrait"/>
          <w:cols w:equalWidth="0" w:num="1">
            <w:col w:w="11460"/>
          </w:cols>
          <w:pgMar w:left="240" w:top="125" w:right="199" w:bottom="0" w:gutter="0" w:footer="0" w:header="0"/>
        </w:sectPr>
      </w:pPr>
    </w:p>
    <w:bookmarkStart w:id="17" w:name="page18"/>
    <w:bookmarkEnd w:id="17"/>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loans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mortgages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Commercial business loans</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Unused lines of credit</w:t>
            </w:r>
          </w:p>
        </w:tc>
        <w:tc>
          <w:tcPr>
            <w:tcW w:w="12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31,580</w:t>
            </w:r>
          </w:p>
        </w:tc>
        <w:tc>
          <w:tcPr>
            <w:tcW w:w="280" w:type="dxa"/>
            <w:vAlign w:val="bottom"/>
            <w:vMerge w:val="continue"/>
          </w:tcPr>
          <w:p>
            <w:pPr>
              <w:spacing w:after="0"/>
              <w:rPr>
                <w:sz w:val="17"/>
                <w:szCs w:val="17"/>
                <w:color w:val="auto"/>
              </w:rPr>
            </w:pPr>
          </w:p>
        </w:tc>
        <w:tc>
          <w:tcPr>
            <w:tcW w:w="60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30,809</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Unadvanced portions of construction loans</w:t>
            </w: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2013,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2013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which has ten banking branches. The Bank, which was originally organized in 1872 as a Maine-chartered mutual savings bank, is a Maine state-chartered bank and a member of the Federal Reserve System. As such, the Company and the Bank are currently subject to the regulatory oversight of the Federal Reserve and the State of Maine Bureau of Financial Institutions (the “Bureau”).</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w:t>
      </w:r>
    </w:p>
    <w:p>
      <w:pPr>
        <w:sectPr>
          <w:pgSz w:w="11900" w:h="16939" w:orient="portrait"/>
          <w:cols w:equalWidth="0" w:num="1">
            <w:col w:w="11420"/>
          </w:cols>
          <w:pgMar w:left="240" w:top="140" w:right="239" w:bottom="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September 30, 2013 follow.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780" w:type="dxa"/>
            <w:vAlign w:val="bottom"/>
            <w:gridSpan w:val="2"/>
          </w:tcPr>
          <w:p>
            <w:pPr>
              <w:jc w:val="right"/>
              <w:ind w:right="2319"/>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r>
        <w:trPr>
          <w:trHeight w:val="523"/>
        </w:trPr>
        <w:tc>
          <w:tcPr>
            <w:tcW w:w="54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41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Ratios at September 30, 2013</w:t>
            </w:r>
          </w:p>
        </w:tc>
        <w:tc>
          <w:tcPr>
            <w:tcW w:w="160" w:type="dxa"/>
            <w:vAlign w:val="bottom"/>
            <w:tcBorders>
              <w:bottom w:val="single" w:sz="8" w:color="CCEEFF"/>
            </w:tcBorders>
          </w:tcPr>
          <w:p>
            <w:pPr>
              <w:spacing w:after="0"/>
              <w:rPr>
                <w:sz w:val="24"/>
                <w:szCs w:val="24"/>
                <w:color w:val="auto"/>
              </w:rPr>
            </w:pPr>
          </w:p>
        </w:tc>
        <w:tc>
          <w:tcPr>
            <w:tcW w:w="3100" w:type="dxa"/>
            <w:vAlign w:val="bottom"/>
          </w:tcPr>
          <w:p>
            <w:pPr>
              <w:spacing w:after="0"/>
              <w:rPr>
                <w:sz w:val="24"/>
                <w:szCs w:val="24"/>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10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(ii) Total risk-based capital ratio</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25.63%</w:t>
            </w:r>
          </w:p>
        </w:tc>
        <w:tc>
          <w:tcPr>
            <w:tcW w:w="3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310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(iv) Ratio of loans to core deposits</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93.04%</w:t>
            </w:r>
          </w:p>
        </w:tc>
        <w:tc>
          <w:tcPr>
            <w:tcW w:w="3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risk-based capital</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171.30%</w:t>
            </w:r>
          </w:p>
        </w:tc>
        <w:tc>
          <w:tcPr>
            <w:tcW w:w="3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September 30, 2013, the Company, on a consolidated basis, had total assets of $725.0 million, total deposits of $532.1 million, and stockholders’ equity of $113.8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 The Community Banking Division, with ten full-service branches and six loan production offices, from the Bank’s headquarters in Lewiston, Maine. The Company operates ableBanking and the LASG from its offices in Boston, Massachusetts.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i w:val="1"/>
          <w:iCs w:val="1"/>
          <w:color w:val="auto"/>
        </w:rPr>
        <w:t>Measured growth of the commercial loan portfolio</w:t>
      </w:r>
      <w:r>
        <w:rPr>
          <w:rFonts w:ascii="Arial" w:cs="Arial" w:eastAsia="Arial" w:hAnsi="Arial"/>
          <w:sz w:val="18"/>
          <w:szCs w:val="18"/>
          <w:color w:val="auto"/>
        </w:rPr>
        <w:t>. The Company’s LASG purchases performing commercial real estate loans, on a nationwide basis,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at a discount from their outstanding principal balances, producing yields higher than those normally achieved on our originated loan portfolio. Loans are purchased on a nationwide basis from a variety of sources, including banks, insurance companies, investment funds and government agencies, either directly or indirectly through a broker. To a lesser extent, this group also originates, on a nationwide basis, commercial real estate and commercial business loans.</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Focus on core deposits</w:t>
      </w:r>
      <w:r>
        <w:rPr>
          <w:rFonts w:ascii="Arial" w:cs="Arial" w:eastAsia="Arial" w:hAnsi="Arial"/>
          <w:sz w:val="17"/>
          <w:szCs w:val="17"/>
          <w:color w:val="auto"/>
        </w:rPr>
        <w:t>. The Company offers a full line of deposit products to customers in the Community Banking Division’s market area through its ten-branch network. In June 2012, we launched our online affinity deposit program, ableBanking, a division of Northeast Bank. One of the Company’s strategic goals is for ableBanking to provide an additional channel through which to raise core deposits to fund the Company’s asset strategy.</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is expected to allow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2013 to gain a better understanding of how Northeast’s financial performance is measured and reported. There has been no material change in critical accounting policies during the three months ended September 30, 2013.</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Net income was $320 thousand for the quarter ended September 30, 2013, compared to $1.0 million for the quarter ended September 30, 2012. Net income available to common stockholders was $320 thousand, or $0.03 per diluted common share, for the quarter ended September 30, 2013, compared to $936 thousand, or $0.09 per diluted common share, for the quarter ended September 30, 2012. The current quarter included $554 thousand of expenses related to severance and an insurance recovery of $250 thousand related to a lawsuit settled in the previous quarter. Excluding these items, which the Company considers to be non-core, net operating earnings were $521 thousand, or $0.05 per diluted common share.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Net interest income increased by $1.0 million, or 16.5%, to $7.1 million for the quarter ended September 30, 2013, compared to the quarter ended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September 30, 2012, primarily due to growth in the purchased loan portfolio. This result is evident in the net interest margin, which increased to 4.24% for the quarter ended September 30, 2013, compared to 3.80% for the quarter ended September 30, 2012.</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Noninterest income decreased by $1.2 million for the quarter ended September 30, 2013, compared to the quarter ended September 30, 2012, principally due to the lower securities gains of $792 thousand and a decrease in gains on sales of real estate owned of $489 thousand.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Noninterest expense increased by $1.0 million for the quarter ended September 30, 2013, compared to the quarter ended September 30, 2012, principally due to an increase of $1.0 million in salaries and employee benefits resulting from severance of $554 thousand and increased headcount in the LASG and mortgage lending division.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ectPr>
          <w:pgSz w:w="11900" w:h="16838" w:orient="portrait"/>
          <w:cols w:equalWidth="0" w:num="1">
            <w:col w:w="11460"/>
          </w:cols>
          <w:pgMar w:left="240" w:top="125" w:right="199" w:bottom="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assets increased by $54.3 million, or 8.1%, to $725.0 million at September 30, 2013, compared to June 30, 2013. The principal components of the change in the balance sheet were as follows:</w:t>
      </w:r>
    </w:p>
    <w:p>
      <w:pPr>
        <w:spacing w:after="0" w:line="170" w:lineRule="exact"/>
        <w:rPr>
          <w:sz w:val="20"/>
          <w:szCs w:val="20"/>
          <w:color w:val="auto"/>
        </w:rPr>
      </w:pPr>
    </w:p>
    <w:p>
      <w:pPr>
        <w:ind w:left="660" w:hanging="328"/>
        <w:spacing w:after="0" w:line="273" w:lineRule="auto"/>
        <w:tabs>
          <w:tab w:leader="none" w:pos="6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loan portfolio grew by $48.1 million, or 11.1%, compared to June 30, 2013, principally due to net growth of $35.4 million in commercial loans purchased or originated by the LASG and $12.7 million of net growth in loans originated by the Community Banking Division. Growth in the Community Banking Division during the quarter was principally due to $27.7 million of residential loan originations held in portfolio to increase the Bank’s loan purchasing capacity under regulatory conditions. As has been discussed in the Company’s prior SEC filings, the Company made certain commitments to the Board of Governors of the Federal Reserve System in connection with the merger of FHB Formation LLC with and into the Company in December 2010. The Company’s loan purchase capacity under these conditions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b w:val="1"/>
                <w:bCs w:val="1"/>
                <w:color w:val="auto"/>
              </w:rPr>
              <w:t>Basis for</w:t>
            </w:r>
          </w:p>
        </w:tc>
        <w:tc>
          <w:tcPr>
            <w:tcW w:w="320" w:type="dxa"/>
            <w:vAlign w:val="bottom"/>
          </w:tcPr>
          <w:p>
            <w:pPr>
              <w:spacing w:after="0"/>
              <w:rPr>
                <w:sz w:val="14"/>
                <w:szCs w:val="14"/>
                <w:color w:val="auto"/>
              </w:rPr>
            </w:pPr>
          </w:p>
        </w:tc>
        <w:tc>
          <w:tcPr>
            <w:tcW w:w="5040" w:type="dxa"/>
            <w:vAlign w:val="bottom"/>
            <w:gridSpan w:val="2"/>
            <w:vMerge w:val="restart"/>
          </w:tcPr>
          <w:p>
            <w:pPr>
              <w:ind w:left="2060"/>
              <w:spacing w:after="0"/>
              <w:rPr>
                <w:sz w:val="20"/>
                <w:szCs w:val="20"/>
                <w:color w:val="auto"/>
              </w:rPr>
            </w:pPr>
            <w:r>
              <w:rPr>
                <w:rFonts w:ascii="Arial" w:cs="Arial" w:eastAsia="Arial" w:hAnsi="Arial"/>
                <w:sz w:val="14"/>
                <w:szCs w:val="14"/>
                <w:b w:val="1"/>
                <w:bCs w:val="1"/>
                <w:color w:val="auto"/>
              </w:rPr>
              <w:t>Condition</w:t>
            </w:r>
          </w:p>
        </w:tc>
        <w:tc>
          <w:tcPr>
            <w:tcW w:w="260" w:type="dxa"/>
            <w:vAlign w:val="bottom"/>
          </w:tcPr>
          <w:p>
            <w:pPr>
              <w:spacing w:after="0"/>
              <w:rPr>
                <w:sz w:val="14"/>
                <w:szCs w:val="14"/>
                <w:color w:val="auto"/>
              </w:rPr>
            </w:pPr>
          </w:p>
        </w:tc>
        <w:tc>
          <w:tcPr>
            <w:tcW w:w="2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Purchased Loan Capacity at</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b w:val="1"/>
                <w:bCs w:val="1"/>
                <w:color w:val="auto"/>
              </w:rPr>
              <w:t>Regulatory Condition</w:t>
            </w:r>
          </w:p>
        </w:tc>
        <w:tc>
          <w:tcPr>
            <w:tcW w:w="32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42"/>
        </w:trPr>
        <w:tc>
          <w:tcPr>
            <w:tcW w:w="1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tcPr>
          <w:p>
            <w:pPr>
              <w:jc w:val="center"/>
              <w:ind w:right="181"/>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5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Purchased loans may not exceed 40% of total loans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Regulatory Capital</w:t>
            </w:r>
          </w:p>
        </w:tc>
        <w:tc>
          <w:tcPr>
            <w:tcW w:w="5360" w:type="dxa"/>
            <w:vAlign w:val="bottom"/>
            <w:gridSpan w:val="3"/>
          </w:tcPr>
          <w:p>
            <w:pPr>
              <w:ind w:left="320"/>
              <w:spacing w:after="0" w:line="201" w:lineRule="exact"/>
              <w:rPr>
                <w:sz w:val="20"/>
                <w:szCs w:val="20"/>
                <w:color w:val="auto"/>
              </w:rPr>
            </w:pPr>
            <w:r>
              <w:rPr>
                <w:rFonts w:ascii="Arial" w:cs="Arial" w:eastAsia="Arial" w:hAnsi="Arial"/>
                <w:sz w:val="18"/>
                <w:szCs w:val="18"/>
                <w:color w:val="auto"/>
                <w:w w:val="97"/>
              </w:rPr>
              <w:t>Commercial real estate loans may not exceed 300% of total risk-</w:t>
            </w: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360" w:type="dxa"/>
            <w:vAlign w:val="bottom"/>
            <w:gridSpan w:val="3"/>
          </w:tcPr>
          <w:p>
            <w:pPr>
              <w:ind w:left="320"/>
              <w:spacing w:after="0"/>
              <w:rPr>
                <w:sz w:val="20"/>
                <w:szCs w:val="20"/>
                <w:color w:val="auto"/>
              </w:rPr>
            </w:pPr>
            <w:r>
              <w:rPr>
                <w:rFonts w:ascii="Arial" w:cs="Arial" w:eastAsia="Arial" w:hAnsi="Arial"/>
                <w:sz w:val="18"/>
                <w:szCs w:val="18"/>
                <w:color w:val="auto"/>
              </w:rPr>
              <w:t>based capital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2"/>
              </w:rPr>
              <w:t>Purchased</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7"/>
              </w:rPr>
              <w:t>Originated</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7"/>
              </w:rPr>
              <w:t>Total LASG</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2"/>
              </w:rPr>
              <w:t>Purchased</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7"/>
              </w:rPr>
              <w:t>Originated</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7"/>
              </w:rPr>
              <w:t>Total LASG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4"/>
          </w:tcPr>
          <w:p>
            <w:pPr>
              <w:jc w:val="right"/>
              <w:ind w:right="4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Purchased or originated during the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26,426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44,757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42,273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8,799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16,348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26,426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31,349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8,799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Totals as of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214,159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63,588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277,747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133,510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12,594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177,412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63,618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107,440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12,594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Returns during the period:</w:t>
            </w:r>
          </w:p>
        </w:tc>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Yield</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10.16%</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5.71%</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9.21%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9.54%</w:t>
            </w:r>
          </w:p>
        </w:tc>
        <w:tc>
          <w:tcPr>
            <w:tcW w:w="90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Return (1)</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10.62%</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5.71%</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9.57%</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17.41%</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(1) 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ind w:left="660" w:right="20" w:hanging="328"/>
        <w:spacing w:after="0" w:line="259"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Deposits and borrowings increased by $47.4 million and $6.2 million, respectively, from June 30, 2013. Growth in each was tied to the Company’s strategy for funding its loan growth, and in particular to mitigate the interest rate risk associated with the increase in its residential loan portfolio. To date, the Company has duration-matched such growth with a mix of term funding raised through deposit listing services and Federal Home Loan Bank advances, the latter in conjunction with interest rate swaps.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and short-term investments were $77.4 million as of September 30, 2013, an increase of $11.4 million, or 17.3%, from $65.9 million at June 30, 2013. This increase is principally the result of the following: (i) growth in deposits and borrowings of $47.5 million and $6.2 million, respectively, (ii) net decreases in securities and loans held for sale of $3.4 million and $3.2 million, respectively, offset by (iii) an increase in portfolio loans of $48.1 million.</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Available-for-sale securities, consisting of securities issued by government agencies and government-sponsored enterprises, totaled $118.2 million as of September 30, 2013. At September 30, 2013, securities with a fair value of $42.9 million were pledged for outstanding 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loans, excluding loans held for sale, amounted to $483.5 million as of September 30, 2013, an increase of $48.1 million, or 11.1%, from $435.4 million as of June 30, 2013. The increase consisted of net growth in loans purchased or originated by the LASG of $35.4 million and net growth in loans originated by the Community Banking Division of $12.7 million. The composition of the Company’s loan portfolio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2013</w:t>
            </w: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right"/>
              <w:ind w:right="377"/>
              <w:spacing w:after="0" w:line="119" w:lineRule="exact"/>
              <w:rPr>
                <w:sz w:val="20"/>
                <w:szCs w:val="20"/>
                <w:color w:val="auto"/>
              </w:rPr>
            </w:pPr>
            <w:r>
              <w:rPr>
                <w:rFonts w:ascii="Arial" w:cs="Arial" w:eastAsia="Arial" w:hAnsi="Arial"/>
                <w:sz w:val="13"/>
                <w:szCs w:val="13"/>
                <w:b w:val="1"/>
                <w:bCs w:val="1"/>
                <w:color w:val="auto"/>
              </w:rPr>
              <w:t>Community</w:t>
            </w:r>
          </w:p>
        </w:tc>
        <w:tc>
          <w:tcPr>
            <w:tcW w:w="360" w:type="dxa"/>
            <w:vAlign w:val="bottom"/>
          </w:tcPr>
          <w:p>
            <w:pPr>
              <w:spacing w:after="0"/>
              <w:rPr>
                <w:sz w:val="10"/>
                <w:szCs w:val="10"/>
                <w:color w:val="auto"/>
              </w:rPr>
            </w:pPr>
          </w:p>
        </w:tc>
        <w:tc>
          <w:tcPr>
            <w:tcW w:w="104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LASG</w:t>
            </w:r>
          </w:p>
        </w:tc>
        <w:tc>
          <w:tcPr>
            <w:tcW w:w="500" w:type="dxa"/>
            <w:vAlign w:val="bottom"/>
          </w:tcPr>
          <w:p>
            <w:pPr>
              <w:spacing w:after="0"/>
              <w:rPr>
                <w:sz w:val="10"/>
                <w:szCs w:val="10"/>
                <w:color w:val="auto"/>
              </w:rPr>
            </w:pPr>
          </w:p>
        </w:tc>
        <w:tc>
          <w:tcPr>
            <w:tcW w:w="106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Banking Division</w:t>
            </w: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9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110,570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110,720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33,255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33,255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47,137</w:t>
            </w:r>
          </w:p>
        </w:tc>
        <w:tc>
          <w:tcPr>
            <w:tcW w:w="36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32,212</w:t>
            </w:r>
          </w:p>
        </w:tc>
        <w:tc>
          <w:tcPr>
            <w:tcW w:w="5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79,349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27,244</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2,733</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29,977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12,511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63,618</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306,074</w:t>
            </w:r>
          </w:p>
        </w:tc>
        <w:tc>
          <w:tcPr>
            <w:tcW w:w="2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Purchased loans: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127,995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46,751</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46,751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177,412</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177,412</w:t>
            </w:r>
          </w:p>
        </w:tc>
        <w:tc>
          <w:tcPr>
            <w:tcW w:w="2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3"/>
        </w:trPr>
        <w:tc>
          <w:tcPr>
            <w:tcW w:w="3980" w:type="dxa"/>
            <w:vAlign w:val="bottom"/>
          </w:tcPr>
          <w:p>
            <w:pPr>
              <w:ind w:left="5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242,456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241,030</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483,486</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292"/>
              <w:spacing w:after="0"/>
              <w:rPr>
                <w:sz w:val="20"/>
                <w:szCs w:val="20"/>
                <w:color w:val="auto"/>
              </w:rPr>
            </w:pPr>
            <w:r>
              <w:rPr>
                <w:rFonts w:ascii="Arial" w:cs="Arial" w:eastAsia="Arial" w:hAnsi="Arial"/>
                <w:sz w:val="14"/>
                <w:szCs w:val="14"/>
                <w:b w:val="1"/>
                <w:bCs w:val="1"/>
                <w:color w:val="auto"/>
                <w:w w:val="92"/>
              </w:rPr>
              <w:t>June 30, 2013</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Community</w:t>
            </w:r>
          </w:p>
        </w:tc>
        <w:tc>
          <w:tcPr>
            <w:tcW w:w="220" w:type="dxa"/>
            <w:vAlign w:val="bottom"/>
          </w:tcPr>
          <w:p>
            <w:pPr>
              <w:spacing w:after="0"/>
              <w:rPr>
                <w:sz w:val="10"/>
                <w:szCs w:val="10"/>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LASG</w:t>
            </w:r>
          </w:p>
        </w:tc>
        <w:tc>
          <w:tcPr>
            <w:tcW w:w="28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Banking Division</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7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89,584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89,734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35,389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48,428</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18,126</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66,554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30,487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12,444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17,242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13,337</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229,711</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2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Purchased loans: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125,496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38,550</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38,550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3"/>
        </w:trPr>
        <w:tc>
          <w:tcPr>
            <w:tcW w:w="3980" w:type="dxa"/>
            <w:vAlign w:val="bottom"/>
          </w:tcPr>
          <w:p>
            <w:pPr>
              <w:ind w:left="5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229,711</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205,665</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Loans are classified as non-performing when 90 days past due, unless a loan is well-secured and in process of collection. Loans less than 90 days past due, for which collection of principal or interest is considered doubtful, also may be designated as non-performing. In both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situations, accrual of interest ceases. The Company typically maintains such loans as non-performing until the respective borrowers have demonstrated a sustained period of payment performance.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September 30, 2013 and June 30, 2013. The net increase in nonperforming assets during the three months ended September 30, 2013 was principally due to two purchased loan relationships. Management believes that, based on their carrying amounts, nonperforming assets are well secured based on the estimated fair value of underlying collateral.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Non-Performing Assets at September 30, 2013</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Community Banking</w:t>
            </w:r>
          </w:p>
        </w:tc>
        <w:tc>
          <w:tcPr>
            <w:tcW w:w="52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LASG</w:t>
            </w:r>
          </w:p>
        </w:tc>
        <w:tc>
          <w:tcPr>
            <w:tcW w:w="54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498"/>
              <w:spacing w:after="0"/>
              <w:rPr>
                <w:sz w:val="20"/>
                <w:szCs w:val="20"/>
                <w:color w:val="auto"/>
              </w:rPr>
            </w:pPr>
            <w:r>
              <w:rPr>
                <w:rFonts w:ascii="Arial" w:cs="Arial" w:eastAsia="Arial" w:hAnsi="Arial"/>
                <w:sz w:val="14"/>
                <w:szCs w:val="14"/>
                <w:b w:val="1"/>
                <w:bCs w:val="1"/>
                <w:color w:val="auto"/>
              </w:rPr>
              <w:t>Division</w:t>
            </w:r>
          </w:p>
        </w:tc>
        <w:tc>
          <w:tcPr>
            <w:tcW w:w="5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1,795</w:t>
            </w:r>
          </w:p>
        </w:tc>
        <w:tc>
          <w:tcPr>
            <w:tcW w:w="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150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471</w:t>
            </w:r>
          </w:p>
        </w:tc>
        <w:tc>
          <w:tcPr>
            <w:tcW w:w="52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2,553</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80" w:type="dxa"/>
            <w:vAlign w:val="bottom"/>
            <w:tcBorders>
              <w:bottom w:val="single" w:sz="8" w:color="CCEEFF"/>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3,722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w w:val="91"/>
              </w:rPr>
              <w:t>Non-Performing Assets at June 30, 2013</w:t>
            </w: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640" w:type="dxa"/>
            <w:vAlign w:val="bottom"/>
            <w:gridSpan w:val="2"/>
          </w:tcPr>
          <w:p>
            <w:pPr>
              <w:jc w:val="right"/>
              <w:ind w:right="91"/>
              <w:spacing w:after="0" w:line="119" w:lineRule="exact"/>
              <w:rPr>
                <w:sz w:val="20"/>
                <w:szCs w:val="20"/>
                <w:color w:val="auto"/>
              </w:rPr>
            </w:pPr>
            <w:r>
              <w:rPr>
                <w:rFonts w:ascii="Arial" w:cs="Arial" w:eastAsia="Arial" w:hAnsi="Arial"/>
                <w:sz w:val="13"/>
                <w:szCs w:val="13"/>
                <w:b w:val="1"/>
                <w:bCs w:val="1"/>
                <w:color w:val="auto"/>
              </w:rPr>
              <w:t>Community Banking</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Division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2,346</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2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80" w:type="dxa"/>
            <w:vAlign w:val="bottom"/>
            <w:tcBorders>
              <w:bottom w:val="single" w:sz="8" w:color="CCEEFF"/>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80" w:type="dxa"/>
            <w:vAlign w:val="bottom"/>
          </w:tcPr>
          <w:p>
            <w:pPr>
              <w:jc w:val="right"/>
              <w:ind w:right="644"/>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Company’s allowance for loan losses was $1.2 million as of September 30, 2013, which represents an increase of $81 thousand from $1.1 million as of June 30, 2013. During the three months ended September 30, 2013, the loan loss provision exceeded net charge-offs by $81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September 30, 2013</w:t>
            </w:r>
          </w:p>
        </w:tc>
        <w:tc>
          <w:tcPr>
            <w:tcW w:w="2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Borders>
              <w:bottom w:val="single" w:sz="8" w:color="CCEEFF"/>
            </w:tcBorders>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23.54%</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$117 thousand, or 0.8% to $14.5 million at September 30, 2013, compared to $14.4 million at June 30, 2013.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11.9% of the Company’s total risk-based capital at September 30, 2013.</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Intangible assets totaled $3.3 million and $3.5 million at September 30, 2013 and June 30, 2013, respectively. The $210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ectPr>
          <w:pgSz w:w="11900" w:h="16838" w:orient="portrait"/>
          <w:cols w:equalWidth="0" w:num="1">
            <w:col w:w="11460"/>
          </w:cols>
          <w:pgMar w:left="240" w:top="125" w:right="19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September 30, 2013, non-maturity accounts and certificates of deposit with balances less than $250 thousand represented 98.5% of total deposits.</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Total deposits increased $47.5 million to $532.1 million as of September 30, 2013 from $484.6 million as of June 30, 2013. The increase, which funded growth in the Company’s loan portfolio, was principally from term deposits raised through listing services, which has provided the Bank with longer term funding than can typically be attracted through retail channels. At September 30, 2013, the Bank had $89 million of such deposit funding, with a weighted-average original term of 3.2 years. The composition of total deposits at September 30, 2013 and June 30, 2013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September 30, 2013</w:t>
            </w:r>
          </w:p>
        </w:tc>
        <w:tc>
          <w:tcPr>
            <w:tcW w:w="240" w:type="dxa"/>
            <w:vAlign w:val="bottom"/>
          </w:tcPr>
          <w:p>
            <w:pPr>
              <w:spacing w:after="0"/>
              <w:rPr>
                <w:sz w:val="14"/>
                <w:szCs w:val="14"/>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b w:val="1"/>
                <w:bCs w:val="1"/>
                <w:color w:val="auto"/>
                <w:w w:val="94"/>
              </w:rPr>
              <w:t>June 30, 2013</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Percent of</w:t>
            </w: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Percent of</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6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2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6"/>
          </w:tcPr>
          <w:p>
            <w:pPr>
              <w:ind w:lef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50,392</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NOW accounts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58,202</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57,334</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33,128</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33,636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Money market deposits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85,855</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16.14%</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84,416</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227,577</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42.78%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221,841</w:t>
            </w: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Term certificates less than $250 thousand</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296,560</w:t>
            </w:r>
          </w:p>
        </w:tc>
        <w:tc>
          <w:tcPr>
            <w:tcW w:w="280" w:type="dxa"/>
            <w:vAlign w:val="bottom"/>
            <w:vMerge w:val="continue"/>
          </w:tcPr>
          <w:p>
            <w:pPr>
              <w:spacing w:after="0"/>
              <w:rPr>
                <w:sz w:val="18"/>
                <w:szCs w:val="18"/>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55.72%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254,384</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of $250 thousand or more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7,961</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8,428</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Total certificate accounts</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304,521</w:t>
            </w:r>
          </w:p>
        </w:tc>
        <w:tc>
          <w:tcPr>
            <w:tcW w:w="280" w:type="dxa"/>
            <w:vAlign w:val="bottom"/>
            <w:vMerge w:val="continue"/>
          </w:tcPr>
          <w:p>
            <w:pPr>
              <w:spacing w:after="0"/>
              <w:rPr>
                <w:sz w:val="18"/>
                <w:szCs w:val="18"/>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57.22%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262,812</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532,098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935"/>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Advances from the FHLB were $43.0 million and $28.0 million at September 30, 2013 and June 30, 2013, the increase due to $15.0 million of new advances during the quarter used to fund residential loan growth. In conjunction with the aforementioned FHLB advances, the Company entered into interest rate swaps with a weighted average pay rate and term of 3.13% and 15 years, respectively. At September 30, 2013, the Company had pledged investment securities with a fair value of $27.2 million, as well as certain residential real estate loans, commercial real estate loans, and FHLB deposits free of liens or pledges to secure outstanding advances and available additional borrowing capacity.</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Wholesale repurchase agreements were $15.3 million and $25.4 million at September 30, 2013 and June 30, 2013, respectively. During the three months ended September 30, 2013, the Company repaid at maturity wholesale repurchase agreements totaling $10.0 million. At September 30, 2013, the Company had pledged investment securities with a fair value of $15.7 million as collateral for outstanding wholesale repurchase agreements.</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$2.0 million and $625 thousand as of September 30, 2013 and June 30,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is a summary of the liquidity the Company had the ability to access as of September 30, 2013, in addition to traditional retail deposit products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181,239</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54,272</w:t>
            </w:r>
          </w:p>
        </w:tc>
        <w:tc>
          <w:tcPr>
            <w:tcW w:w="4440" w:type="dxa"/>
            <w:vAlign w:val="bottom"/>
          </w:tcPr>
          <w:p>
            <w:pPr>
              <w:ind w:left="120"/>
              <w:spacing w:after="0"/>
              <w:rPr>
                <w:sz w:val="20"/>
                <w:szCs w:val="20"/>
                <w:color w:val="auto"/>
              </w:rPr>
            </w:pPr>
            <w:r>
              <w:rPr>
                <w:rFonts w:ascii="Arial" w:cs="Arial" w:eastAsia="Arial" w:hAnsi="Arial"/>
                <w:sz w:val="18"/>
                <w:szCs w:val="18"/>
                <w:color w:val="auto"/>
              </w:rPr>
              <w:t>Subject to eligible and qualified collateral</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 Reserve Discount Window Borrower-in-Custody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Subject to the pledge of indirect auto loans</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75,338</w:t>
            </w:r>
          </w:p>
        </w:tc>
        <w:tc>
          <w:tcPr>
            <w:tcW w:w="4440" w:type="dxa"/>
            <w:vAlign w:val="bottom"/>
            <w:shd w:val="clear" w:color="auto" w:fill="CCEEFF"/>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310,899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At September 30, 2013, the Company had $310.9 million of immediately accessible liquidity, defined as additional cash that could be raised within seven days through collateralized borrowings, brokered deposits or security sales. This position represented 42.9% of total assets. The Company also had $77.4 million of cash and cash equivalents at September 30, 2013.</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$8.3 million and $16.5 million, respectively, as of September 30, 2013. This debt represents qualifying Tier 1 capital for the Company, up to a maximum of 25% of total Tier 1 capital. At September 30, 2013, the carrying amounts of the junior subordinated notes, net of the Company’s $496 thousand investment in the affiliated trusts, qualified as Tier 1 capital.</w:t>
      </w:r>
    </w:p>
    <w:p>
      <w:pPr>
        <w:sectPr>
          <w:pgSz w:w="11900" w:h="16838" w:orient="portrait"/>
          <w:cols w:equalWidth="0" w:num="1">
            <w:col w:w="11460"/>
          </w:cols>
          <w:pgMar w:left="240" w:top="125" w:right="199" w:bottom="0" w:gutter="0" w:footer="0" w:header="0"/>
        </w:sectPr>
      </w:pPr>
    </w:p>
    <w:bookmarkStart w:id="23" w:name="page24"/>
    <w:bookmarkEnd w:id="23"/>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September 30, 2013, stockholders’ equity was $113.8 million, unchanged from June 30, 2013. Book value per outstanding common share was $10.91 at September 30, 2013 and $10.89 at June 30, 2013. Tier 1 capital to total average assets of the Company was 17.23% as of September 30, 2013 and 17.78% at June 30, 2013.</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Federal Reserve’s capital adequacy standards also apply to state-chartered banks that are members of the Federal Reserve System, such as the Bank. Moreover, the Federal Reserve has promulgated corresponding regulations to implement the system of prompt corrective action established by Section 38 of the Federal Deposit Insurance Act.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 On July 2, 2013, the Federal Reserve, along with the other federal banking agencies, issued a final rule (the “Final Capital Rule”) implementing the Basel III capital standards and establishing the minimum capital requirements for 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 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equal to 2.5% of total risk weight assets. The Final Capital Rule revises certain capital definitions and generally makes the capital requirements more stringent. Further,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comply with the Final Capital Rule beginning on January 1, 2015.</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Bank and the Company are subject to capital commitments with the Federal Reserve and the Bureau that require higher minimum capital ratios. These commitments require that the Company and the Bank (i) maintain a Tier 1 leverage ratio of at least 10%; and (ii) maintain a total risk-based capital ratio of at least 15%. The Bank and the Company were in compliance with these commitments at September 30,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left="459"/>
              <w:spacing w:after="0"/>
              <w:rPr>
                <w:sz w:val="20"/>
                <w:szCs w:val="20"/>
                <w:color w:val="auto"/>
              </w:rPr>
            </w:pPr>
            <w:r>
              <w:rPr>
                <w:rFonts w:ascii="Arial" w:cs="Arial" w:eastAsia="Arial" w:hAnsi="Arial"/>
                <w:sz w:val="14"/>
                <w:szCs w:val="14"/>
                <w:b w:val="1"/>
                <w:bCs w:val="1"/>
                <w:color w:val="auto"/>
              </w:rPr>
              <w:t>Minimum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center"/>
              <w:ind w:left="438"/>
              <w:spacing w:after="0"/>
              <w:rPr>
                <w:sz w:val="20"/>
                <w:szCs w:val="20"/>
                <w:color w:val="auto"/>
              </w:rPr>
            </w:pPr>
            <w:r>
              <w:rPr>
                <w:rFonts w:ascii="Arial" w:cs="Arial" w:eastAsia="Arial" w:hAnsi="Arial"/>
                <w:sz w:val="14"/>
                <w:szCs w:val="14"/>
                <w:b w:val="1"/>
                <w:bCs w:val="1"/>
                <w:color w:val="auto"/>
              </w:rPr>
              <w:t>Minimum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2"/>
              </w:rPr>
              <w:t>To Be Well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left="438"/>
              <w:spacing w:after="0" w:line="149" w:lineRule="exact"/>
              <w:rPr>
                <w:sz w:val="20"/>
                <w:szCs w:val="20"/>
                <w:color w:val="auto"/>
              </w:rPr>
            </w:pPr>
            <w:r>
              <w:rPr>
                <w:rFonts w:ascii="Arial" w:cs="Arial" w:eastAsia="Arial" w:hAnsi="Arial"/>
                <w:sz w:val="14"/>
                <w:szCs w:val="14"/>
                <w:b w:val="1"/>
                <w:bCs w:val="1"/>
                <w:color w:val="auto"/>
                <w:w w:val="98"/>
              </w:rPr>
              <w:t>Capital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left="438"/>
              <w:spacing w:after="0"/>
              <w:rPr>
                <w:sz w:val="20"/>
                <w:szCs w:val="20"/>
                <w:color w:val="auto"/>
              </w:rPr>
            </w:pPr>
            <w:r>
              <w:rPr>
                <w:rFonts w:ascii="Arial" w:cs="Arial" w:eastAsia="Arial" w:hAnsi="Arial"/>
                <w:sz w:val="14"/>
                <w:szCs w:val="14"/>
                <w:b w:val="1"/>
                <w:bCs w:val="1"/>
                <w:color w:val="auto"/>
                <w:w w:val="92"/>
              </w:rPr>
              <w:t>Requirements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58"/>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8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19"/>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6"/>
          </w:tcPr>
          <w:p>
            <w:pPr>
              <w:jc w:val="center"/>
              <w:ind w:right="7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122,245</w:t>
            </w:r>
          </w:p>
        </w:tc>
        <w:tc>
          <w:tcPr>
            <w:tcW w:w="10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25.63%</w:t>
            </w:r>
          </w:p>
        </w:tc>
        <w:tc>
          <w:tcPr>
            <w:tcW w:w="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8"/>
              <w:spacing w:after="0" w:line="176" w:lineRule="exact"/>
              <w:rPr>
                <w:sz w:val="20"/>
                <w:szCs w:val="20"/>
                <w:color w:val="auto"/>
              </w:rPr>
            </w:pPr>
            <w:r>
              <w:rPr>
                <w:rFonts w:ascii="Arial" w:cs="Arial" w:eastAsia="Arial" w:hAnsi="Arial"/>
                <w:sz w:val="18"/>
                <w:szCs w:val="18"/>
                <w:color w:val="auto"/>
              </w:rPr>
              <w:t>38,162</w:t>
            </w:r>
          </w:p>
        </w:tc>
        <w:tc>
          <w:tcPr>
            <w:tcW w:w="38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40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100,216</w:t>
            </w: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20.93%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458"/>
              <w:spacing w:after="0" w:line="176" w:lineRule="exact"/>
              <w:rPr>
                <w:sz w:val="20"/>
                <w:szCs w:val="20"/>
                <w:color w:val="auto"/>
              </w:rPr>
            </w:pPr>
            <w:r>
              <w:rPr>
                <w:rFonts w:ascii="Arial" w:cs="Arial" w:eastAsia="Arial" w:hAnsi="Arial"/>
                <w:sz w:val="18"/>
                <w:szCs w:val="18"/>
                <w:color w:val="auto"/>
              </w:rPr>
              <w:t>38,299</w:t>
            </w:r>
          </w:p>
        </w:tc>
        <w:tc>
          <w:tcPr>
            <w:tcW w:w="380" w:type="dxa"/>
            <w:vAlign w:val="bottom"/>
          </w:tcPr>
          <w:p>
            <w:pPr>
              <w:spacing w:after="0"/>
              <w:rPr>
                <w:sz w:val="15"/>
                <w:szCs w:val="15"/>
                <w:color w:val="auto"/>
              </w:rPr>
            </w:pPr>
          </w:p>
        </w:tc>
        <w:tc>
          <w:tcPr>
            <w:tcW w:w="62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200" w:type="dxa"/>
            <w:vAlign w:val="bottom"/>
          </w:tcPr>
          <w:p>
            <w:pPr>
              <w:spacing w:after="0"/>
              <w:rPr>
                <w:sz w:val="15"/>
                <w:szCs w:val="15"/>
                <w:color w:val="auto"/>
              </w:rPr>
            </w:pPr>
          </w:p>
        </w:tc>
        <w:tc>
          <w:tcPr>
            <w:tcW w:w="140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47,873</w:t>
            </w:r>
          </w:p>
        </w:tc>
        <w:tc>
          <w:tcPr>
            <w:tcW w:w="9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121,021</w:t>
            </w:r>
          </w:p>
        </w:tc>
        <w:tc>
          <w:tcPr>
            <w:tcW w:w="10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58"/>
              <w:spacing w:after="0" w:line="176" w:lineRule="exact"/>
              <w:rPr>
                <w:sz w:val="20"/>
                <w:szCs w:val="20"/>
                <w:color w:val="auto"/>
              </w:rPr>
            </w:pPr>
            <w:r>
              <w:rPr>
                <w:rFonts w:ascii="Arial" w:cs="Arial" w:eastAsia="Arial" w:hAnsi="Arial"/>
                <w:sz w:val="18"/>
                <w:szCs w:val="18"/>
                <w:color w:val="auto"/>
              </w:rPr>
              <w:t>19,081</w:t>
            </w:r>
          </w:p>
        </w:tc>
        <w:tc>
          <w:tcPr>
            <w:tcW w:w="3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96,099</w:t>
            </w: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20.07%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458"/>
              <w:spacing w:after="0" w:line="176" w:lineRule="exact"/>
              <w:rPr>
                <w:sz w:val="20"/>
                <w:szCs w:val="20"/>
                <w:color w:val="auto"/>
              </w:rPr>
            </w:pPr>
            <w:r>
              <w:rPr>
                <w:rFonts w:ascii="Arial" w:cs="Arial" w:eastAsia="Arial" w:hAnsi="Arial"/>
                <w:sz w:val="18"/>
                <w:szCs w:val="18"/>
                <w:color w:val="auto"/>
              </w:rPr>
              <w:t>19,149</w:t>
            </w:r>
          </w:p>
        </w:tc>
        <w:tc>
          <w:tcPr>
            <w:tcW w:w="380" w:type="dxa"/>
            <w:vAlign w:val="bottom"/>
          </w:tcPr>
          <w:p>
            <w:pPr>
              <w:spacing w:after="0"/>
              <w:rPr>
                <w:sz w:val="15"/>
                <w:szCs w:val="15"/>
                <w:color w:val="auto"/>
              </w:rPr>
            </w:pPr>
          </w:p>
        </w:tc>
        <w:tc>
          <w:tcPr>
            <w:tcW w:w="62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40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28,724</w:t>
            </w:r>
          </w:p>
        </w:tc>
        <w:tc>
          <w:tcPr>
            <w:tcW w:w="9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34"/>
              <w:spacing w:after="0" w:line="176" w:lineRule="exact"/>
              <w:rPr>
                <w:sz w:val="20"/>
                <w:szCs w:val="20"/>
                <w:color w:val="auto"/>
              </w:rPr>
            </w:pPr>
            <w:r>
              <w:rPr>
                <w:rFonts w:ascii="Arial" w:cs="Arial" w:eastAsia="Arial" w:hAnsi="Arial"/>
                <w:sz w:val="18"/>
                <w:szCs w:val="18"/>
                <w:color w:val="auto"/>
              </w:rPr>
              <w:t>121,021</w:t>
            </w:r>
          </w:p>
        </w:tc>
        <w:tc>
          <w:tcPr>
            <w:tcW w:w="10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17.23%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58"/>
              <w:spacing w:after="0" w:line="176" w:lineRule="exact"/>
              <w:rPr>
                <w:sz w:val="20"/>
                <w:szCs w:val="20"/>
                <w:color w:val="auto"/>
              </w:rPr>
            </w:pPr>
            <w:r>
              <w:rPr>
                <w:rFonts w:ascii="Arial" w:cs="Arial" w:eastAsia="Arial" w:hAnsi="Arial"/>
                <w:sz w:val="18"/>
                <w:szCs w:val="18"/>
                <w:color w:val="auto"/>
              </w:rPr>
              <w:t>28,101</w:t>
            </w:r>
          </w:p>
        </w:tc>
        <w:tc>
          <w:tcPr>
            <w:tcW w:w="3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99"/>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96,099</w:t>
            </w: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13.72%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458"/>
              <w:spacing w:after="0" w:line="176" w:lineRule="exact"/>
              <w:rPr>
                <w:sz w:val="20"/>
                <w:szCs w:val="20"/>
                <w:color w:val="auto"/>
              </w:rPr>
            </w:pPr>
            <w:r>
              <w:rPr>
                <w:rFonts w:ascii="Arial" w:cs="Arial" w:eastAsia="Arial" w:hAnsi="Arial"/>
                <w:sz w:val="18"/>
                <w:szCs w:val="18"/>
                <w:color w:val="auto"/>
              </w:rPr>
              <w:t>28,026</w:t>
            </w:r>
          </w:p>
        </w:tc>
        <w:tc>
          <w:tcPr>
            <w:tcW w:w="380" w:type="dxa"/>
            <w:vAlign w:val="bottom"/>
          </w:tcPr>
          <w:p>
            <w:pPr>
              <w:spacing w:after="0"/>
              <w:rPr>
                <w:sz w:val="15"/>
                <w:szCs w:val="15"/>
                <w:color w:val="auto"/>
              </w:rPr>
            </w:pPr>
          </w:p>
        </w:tc>
        <w:tc>
          <w:tcPr>
            <w:tcW w:w="62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400" w:type="dxa"/>
            <w:vAlign w:val="bottom"/>
          </w:tcPr>
          <w:p>
            <w:pPr>
              <w:jc w:val="right"/>
              <w:ind w:right="399"/>
              <w:spacing w:after="0" w:line="176" w:lineRule="exact"/>
              <w:rPr>
                <w:sz w:val="20"/>
                <w:szCs w:val="20"/>
                <w:color w:val="auto"/>
              </w:rPr>
            </w:pPr>
            <w:r>
              <w:rPr>
                <w:rFonts w:ascii="Arial" w:cs="Arial" w:eastAsia="Arial" w:hAnsi="Arial"/>
                <w:sz w:val="18"/>
                <w:szCs w:val="18"/>
                <w:color w:val="auto"/>
              </w:rPr>
              <w:t>35,033</w:t>
            </w:r>
          </w:p>
        </w:tc>
        <w:tc>
          <w:tcPr>
            <w:tcW w:w="9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34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7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122,291</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27.54%</w:t>
            </w:r>
          </w:p>
        </w:tc>
        <w:tc>
          <w:tcPr>
            <w:tcW w:w="4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35,520</w:t>
            </w:r>
          </w:p>
        </w:tc>
        <w:tc>
          <w:tcPr>
            <w:tcW w:w="1440" w:type="dxa"/>
            <w:vAlign w:val="bottom"/>
            <w:gridSpan w:val="3"/>
          </w:tcPr>
          <w:p>
            <w:pPr>
              <w:ind w:left="460"/>
              <w:spacing w:after="0" w:line="176" w:lineRule="exact"/>
              <w:rPr>
                <w:sz w:val="20"/>
                <w:szCs w:val="20"/>
                <w:color w:val="auto"/>
              </w:rPr>
            </w:pPr>
            <w:r>
              <w:rPr>
                <w:rFonts w:ascii="Arial" w:cs="Arial" w:eastAsia="Arial" w:hAnsi="Arial"/>
                <w:sz w:val="18"/>
                <w:szCs w:val="18"/>
                <w:color w:val="auto"/>
              </w:rPr>
              <w:t>&gt;8.0%  $</w:t>
            </w:r>
          </w:p>
        </w:tc>
        <w:tc>
          <w:tcPr>
            <w:tcW w:w="158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99,527</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22.30%</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35,709</w:t>
            </w:r>
          </w:p>
        </w:tc>
        <w:tc>
          <w:tcPr>
            <w:tcW w:w="1440" w:type="dxa"/>
            <w:vAlign w:val="bottom"/>
            <w:gridSpan w:val="3"/>
            <w:shd w:val="clear" w:color="auto" w:fill="CCEEFF"/>
          </w:tcPr>
          <w:p>
            <w:pPr>
              <w:ind w:left="460"/>
              <w:spacing w:after="0" w:line="176" w:lineRule="exact"/>
              <w:rPr>
                <w:sz w:val="20"/>
                <w:szCs w:val="20"/>
                <w:color w:val="auto"/>
              </w:rPr>
            </w:pPr>
            <w:r>
              <w:rPr>
                <w:rFonts w:ascii="Arial" w:cs="Arial" w:eastAsia="Arial" w:hAnsi="Arial"/>
                <w:sz w:val="18"/>
                <w:szCs w:val="18"/>
                <w:color w:val="auto"/>
              </w:rPr>
              <w:t>&gt;8.0%</w:t>
            </w:r>
          </w:p>
        </w:tc>
        <w:tc>
          <w:tcPr>
            <w:tcW w:w="158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rPr>
              <w:t>44,637</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87"/>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760" w:type="dxa"/>
            <w:vAlign w:val="bottom"/>
          </w:tcPr>
          <w:p>
            <w:pPr>
              <w:spacing w:after="0"/>
              <w:rPr>
                <w:sz w:val="15"/>
                <w:szCs w:val="15"/>
                <w:color w:val="auto"/>
              </w:rPr>
            </w:pPr>
          </w:p>
        </w:tc>
        <w:tc>
          <w:tcPr>
            <w:tcW w:w="12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27.29%</w:t>
            </w:r>
          </w:p>
        </w:tc>
        <w:tc>
          <w:tcPr>
            <w:tcW w:w="420" w:type="dxa"/>
            <w:vAlign w:val="bottom"/>
          </w:tcPr>
          <w:p>
            <w:pPr>
              <w:spacing w:after="0"/>
              <w:rPr>
                <w:sz w:val="15"/>
                <w:szCs w:val="15"/>
                <w:color w:val="auto"/>
              </w:rPr>
            </w:pPr>
          </w:p>
        </w:tc>
        <w:tc>
          <w:tcPr>
            <w:tcW w:w="12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17,760</w:t>
            </w:r>
          </w:p>
        </w:tc>
        <w:tc>
          <w:tcPr>
            <w:tcW w:w="1440" w:type="dxa"/>
            <w:vAlign w:val="bottom"/>
            <w:gridSpan w:val="3"/>
          </w:tcPr>
          <w:p>
            <w:pPr>
              <w:ind w:left="460"/>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21.39%</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17,855</w:t>
            </w:r>
          </w:p>
        </w:tc>
        <w:tc>
          <w:tcPr>
            <w:tcW w:w="1440" w:type="dxa"/>
            <w:vAlign w:val="bottom"/>
            <w:gridSpan w:val="3"/>
            <w:shd w:val="clear" w:color="auto" w:fill="CCEEFF"/>
          </w:tcPr>
          <w:p>
            <w:pPr>
              <w:ind w:left="460"/>
              <w:spacing w:after="0" w:line="176" w:lineRule="exact"/>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rPr>
              <w:t>26,782</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760" w:type="dxa"/>
            <w:vAlign w:val="bottom"/>
          </w:tcPr>
          <w:p>
            <w:pPr>
              <w:spacing w:after="0"/>
              <w:rPr>
                <w:sz w:val="15"/>
                <w:szCs w:val="15"/>
                <w:color w:val="auto"/>
              </w:rPr>
            </w:pPr>
          </w:p>
        </w:tc>
        <w:tc>
          <w:tcPr>
            <w:tcW w:w="12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17.78%</w:t>
            </w:r>
          </w:p>
        </w:tc>
        <w:tc>
          <w:tcPr>
            <w:tcW w:w="420" w:type="dxa"/>
            <w:vAlign w:val="bottom"/>
          </w:tcPr>
          <w:p>
            <w:pPr>
              <w:spacing w:after="0"/>
              <w:rPr>
                <w:sz w:val="15"/>
                <w:szCs w:val="15"/>
                <w:color w:val="auto"/>
              </w:rPr>
            </w:pPr>
          </w:p>
        </w:tc>
        <w:tc>
          <w:tcPr>
            <w:tcW w:w="12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27,255</w:t>
            </w:r>
          </w:p>
        </w:tc>
        <w:tc>
          <w:tcPr>
            <w:tcW w:w="1440" w:type="dxa"/>
            <w:vAlign w:val="bottom"/>
            <w:gridSpan w:val="3"/>
          </w:tcPr>
          <w:p>
            <w:pPr>
              <w:ind w:left="460"/>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14.08%</w:t>
            </w: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27,121</w:t>
            </w:r>
          </w:p>
        </w:tc>
        <w:tc>
          <w:tcPr>
            <w:tcW w:w="1440" w:type="dxa"/>
            <w:vAlign w:val="bottom"/>
            <w:gridSpan w:val="3"/>
            <w:shd w:val="clear" w:color="auto" w:fill="CCEEFF"/>
          </w:tcPr>
          <w:p>
            <w:pPr>
              <w:ind w:left="460"/>
              <w:spacing w:after="0" w:line="176" w:lineRule="exact"/>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rPr>
              <w:t>33,902</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income decreased by $714 thousand to $320 thousand for the quarter ended September 30, 2013, compared to $936 thousand for the quarter ended September 30, 2012. Pre-tax income for the quarter ended September 30, 2013 included $554 thousand of expenses related to severance and an insurance recovery of $250 thousand related to a lawsuit settled in the previous quarter.</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$912 thousand for the quarter ended September 30, 2013, a decrease of $870 thousand from the quarter ended September 30, 2012 and a decrease of $1.7 million from average transactional income for the four prior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Income</w:t>
            </w:r>
          </w:p>
        </w:tc>
        <w:tc>
          <w:tcPr>
            <w:tcW w:w="10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Return (1)</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Income</w:t>
            </w:r>
          </w:p>
        </w:tc>
        <w:tc>
          <w:tcPr>
            <w:tcW w:w="10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6"/>
          </w:tcPr>
          <w:p>
            <w:pPr>
              <w:jc w:val="center"/>
              <w:ind w:right="4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Transactional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3520" w:type="dxa"/>
            <w:vAlign w:val="bottom"/>
          </w:tcPr>
          <w:p>
            <w:pPr>
              <w:ind w:left="5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77"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Net interest income for the three months ended September 30, 2013 and 2012 was $7.1 million and $6.1 million, respectively. The increase of $1.0 million was largely attributable to growth in the LASG loan portfolio, which earned a yield of 9.2% for the quarter ended September 30, 2013 on an average outstanding balance of $220.4 million. Lower transactional interest income in the purchased loan portfolio during the quarter ended September 30, 2013 resulted in a lower yield in comparison to the 2012 quarter; however, increased volume partially offset this unfavorable rate variance. The following table summarizes interest income and related yields recognized on the Company’s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Interest</w:t>
            </w:r>
          </w:p>
        </w:tc>
        <w:tc>
          <w:tcPr>
            <w:tcW w:w="1360" w:type="dxa"/>
            <w:vAlign w:val="bottom"/>
            <w:gridSpan w:val="2"/>
            <w:vMerge w:val="restart"/>
          </w:tcPr>
          <w:p>
            <w:pPr>
              <w:jc w:val="right"/>
              <w:ind w:right="57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0"/>
                <w:szCs w:val="10"/>
                <w:color w:val="auto"/>
              </w:rPr>
            </w:pPr>
          </w:p>
        </w:tc>
        <w:tc>
          <w:tcPr>
            <w:tcW w:w="10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Interest</w:t>
            </w:r>
          </w:p>
        </w:tc>
        <w:tc>
          <w:tcPr>
            <w:tcW w:w="12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Income</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242,700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270,758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3,936</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LASG: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34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4,435</w:t>
            </w:r>
          </w:p>
        </w:tc>
        <w:tc>
          <w:tcPr>
            <w:tcW w:w="22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83,475</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3,184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92,668</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0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3"/>
        </w:trPr>
        <w:tc>
          <w:tcPr>
            <w:tcW w:w="2340" w:type="dxa"/>
            <w:vAlign w:val="bottom"/>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8,457</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363,426</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quarter ended September 30, 2013, net interest income was negatively affected by a lower level of noncash accretion of fair value adjustments resulting from the merger than in the comparable 2012 quarter.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Effect 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Income</w:t>
            </w:r>
          </w:p>
        </w:tc>
        <w:tc>
          <w:tcPr>
            <w:tcW w:w="102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Effect 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(Expense)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Yield / Rate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(Expense)</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Yield / Rate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119,298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131,796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393,267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59,986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100,186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interest rate spread and net interest margin increased by 47 basis points and 44 basis points, respectively, for the quarter ended September 30, 2013 compared to the quarter ended September 30, 2012. These increases were principally the result of the aforementioned increase in purchased loan volume. The following sets forth the average balance sheets, interest income and interest expense, and average yields and costs for the three months ended September 30,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tcPr>
          <w:p>
            <w:pPr>
              <w:jc w:val="center"/>
              <w:ind w:left="55"/>
              <w:spacing w:after="0" w:line="119" w:lineRule="exact"/>
              <w:rPr>
                <w:sz w:val="20"/>
                <w:szCs w:val="20"/>
                <w:color w:val="auto"/>
              </w:rPr>
            </w:pPr>
            <w:r>
              <w:rPr>
                <w:rFonts w:ascii="Arial" w:cs="Arial" w:eastAsia="Arial" w:hAnsi="Arial"/>
                <w:sz w:val="13"/>
                <w:szCs w:val="13"/>
                <w:b w:val="1"/>
                <w:bCs w:val="1"/>
                <w:color w:val="auto"/>
                <w:w w:val="97"/>
              </w:rPr>
              <w:t>Average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Income/</w:t>
            </w: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Yield/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Income/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8,457</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363,426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7,341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702,551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59,124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56,595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33,926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257,976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59,986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368" w:right="199" w:bottom="0" w:gutter="0" w:footer="0" w:header="0"/>
        </w:sectPr>
      </w:pPr>
    </w:p>
    <w:p>
      <w:pPr>
        <w:spacing w:after="0" w:line="2" w:lineRule="exact"/>
        <w:rPr>
          <w:sz w:val="20"/>
          <w:szCs w:val="20"/>
          <w:color w:val="auto"/>
        </w:rPr>
      </w:pPr>
    </w:p>
    <w:p>
      <w:pPr>
        <w:ind w:left="60"/>
        <w:spacing w:after="0"/>
        <w:tabs>
          <w:tab w:leader="none" w:pos="5480" w:val="left"/>
          <w:tab w:leader="none" w:pos="6000" w:val="left"/>
          <w:tab w:leader="none" w:pos="9220" w:val="left"/>
          <w:tab w:leader="none" w:pos="9720" w:val="left"/>
        </w:tabs>
        <w:rPr>
          <w:sz w:val="20"/>
          <w:szCs w:val="20"/>
          <w:color w:val="auto"/>
        </w:rPr>
      </w:pPr>
      <w:r>
        <w:rPr>
          <w:rFonts w:ascii="Arial" w:cs="Arial" w:eastAsia="Arial" w:hAnsi="Arial"/>
          <w:sz w:val="18"/>
          <w:szCs w:val="18"/>
          <w:color w:val="auto"/>
        </w:rPr>
        <w:t>Net interest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488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3.99%</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Net interest margin (5)</w:t>
            </w:r>
          </w:p>
        </w:tc>
        <w:tc>
          <w:tcPr>
            <w:tcW w:w="4880" w:type="dxa"/>
            <w:vAlign w:val="bottom"/>
          </w:tcPr>
          <w:p>
            <w:pPr>
              <w:jc w:val="right"/>
              <w:ind w:right="1530"/>
              <w:spacing w:after="0"/>
              <w:rPr>
                <w:sz w:val="20"/>
                <w:szCs w:val="20"/>
                <w:color w:val="auto"/>
              </w:rPr>
            </w:pPr>
            <w:r>
              <w:rPr>
                <w:rFonts w:ascii="Arial" w:cs="Arial" w:eastAsia="Arial" w:hAnsi="Arial"/>
                <w:sz w:val="18"/>
                <w:szCs w:val="18"/>
                <w:color w:val="auto"/>
              </w:rPr>
              <w:t>4.24%</w:t>
            </w:r>
          </w:p>
        </w:tc>
        <w:tc>
          <w:tcPr>
            <w:tcW w:w="208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gridSpan w:val="6"/>
          </w:tcPr>
          <w:p>
            <w:pPr>
              <w:jc w:val="center"/>
              <w:ind w:left="914"/>
              <w:spacing w:after="0"/>
              <w:rPr>
                <w:sz w:val="20"/>
                <w:szCs w:val="20"/>
                <w:color w:val="auto"/>
              </w:rPr>
            </w:pPr>
            <w:r>
              <w:rPr>
                <w:rFonts w:ascii="Arial" w:cs="Arial" w:eastAsia="Arial" w:hAnsi="Arial"/>
                <w:sz w:val="14"/>
                <w:szCs w:val="14"/>
                <w:b w:val="1"/>
                <w:bCs w:val="1"/>
                <w:color w:val="auto"/>
                <w:w w:val="92"/>
              </w:rPr>
              <w:t>Three Months Ended September 30, 2013</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Compared to the Three Months Ended September 30, 2012</w:t>
            </w:r>
          </w:p>
        </w:tc>
      </w:tr>
      <w:tr>
        <w:trPr>
          <w:trHeight w:val="142"/>
        </w:trPr>
        <w:tc>
          <w:tcPr>
            <w:tcW w:w="4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Change Due to Volume</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9"/>
              </w:rPr>
              <w:t>Change Due to Rate</w:t>
            </w: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4"/>
              </w:rPr>
              <w:t>Total Change</w:t>
            </w: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4"/>
          </w:tcPr>
          <w:p>
            <w:pPr>
              <w:jc w:val="center"/>
              <w:ind w:right="7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Investments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0"/>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(decrease) in interest income</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tcPr>
          <w:p>
            <w:pPr>
              <w:spacing w:after="0"/>
              <w:rPr>
                <w:sz w:val="18"/>
                <w:szCs w:val="18"/>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1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(decrease) increase in interest expense</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r>
      <w:tr>
        <w:trPr>
          <w:trHeight w:val="223"/>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(decrease) in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adequate to provide for losses inherent in the Company’s loan portfolios, with the provision for loan losses determined by the net change in the allowance for loan losses. For loans acquired with deteriorated credit quality, a provision for loan losses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provision for loan losses for the three months ended September 30, 2013 and 2012 was $77 thousand and $228 thousand, respectively. The decrease in the Company’s loan loss provision resulted principally from a quarter over quarter reduction in net charge-offs of $388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Noninterest income decreased by $1.2 million for the current quarter, compared to the quarter ended September 30, 2012, principally due to the following:</w:t>
      </w:r>
    </w:p>
    <w:p>
      <w:pPr>
        <w:spacing w:after="0" w:line="46" w:lineRule="exact"/>
        <w:rPr>
          <w:sz w:val="20"/>
          <w:szCs w:val="20"/>
          <w:color w:val="auto"/>
        </w:rPr>
      </w:pPr>
    </w:p>
    <w:p>
      <w:pPr>
        <w:ind w:left="660" w:right="100" w:hanging="328"/>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$792 thousand in net securities gains. In the quarter ended September 30, 2012, the Company sold a substantial portion of its available-for-sale investment portfolio and reinvested the sales proceeds in similar securities at lower market yields. There were no security sales in the quarter ended September 30, 2013.</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$489 thousand in gains on real estate owned. In the quarter ended September 30, 2012, the Company recognized a gain of $473 thousand on the sale of real estate previously securing a purchased loan.</w:t>
      </w:r>
    </w:p>
    <w:p>
      <w:pPr>
        <w:ind w:left="660" w:right="540" w:hanging="328"/>
        <w:spacing w:after="0" w:line="261"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$217 thousand in gains of loans held for sale, reflecting an increase in mortgage loans held for portfolio in the current quarter as compared to the quarter ended September 30, 2012.</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aforementioned decreases in noninterest income were partially offset by the sale of one LASG loan for a gain of $216 thousand and increased fee income, principally from loan servicing, of $129 thousand.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ectPr>
          <w:pgSz w:w="11900" w:h="16838" w:orient="portrait"/>
          <w:cols w:equalWidth="0" w:num="1">
            <w:col w:w="11420"/>
          </w:cols>
          <w:pgMar w:left="240" w:top="356" w:right="239" w:bottom="0" w:gutter="0" w:footer="0" w:header="0"/>
        </w:sectPr>
      </w:pPr>
    </w:p>
    <w:bookmarkStart w:id="27" w:name="page28"/>
    <w:bookmarkEnd w:id="27"/>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Noninterest expense increased by $1.0 million for the current quarter, compared to the quarter ended September 30, 2012, principally due to the following:</w:t>
      </w:r>
    </w:p>
    <w:p>
      <w:pPr>
        <w:spacing w:after="0" w:line="46" w:lineRule="exact"/>
        <w:rPr>
          <w:sz w:val="20"/>
          <w:szCs w:val="20"/>
          <w:color w:val="auto"/>
        </w:rPr>
      </w:pPr>
    </w:p>
    <w:p>
      <w:pPr>
        <w:ind w:left="660" w:right="180" w:hanging="328"/>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$1.0 million in salaries and employee benefits, principally due to severance of $554 thousand and increased headcount in the LASG and mortgage lending divisions.</w:t>
      </w:r>
    </w:p>
    <w:p>
      <w:pPr>
        <w:ind w:left="660" w:right="180" w:hanging="328"/>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$277 thousand in occupancy and equipment expense, principally due to the relocation of the Company’s Boston office in the second quarter of fiscal 2013.</w:t>
      </w:r>
    </w:p>
    <w:p>
      <w:pPr>
        <w:ind w:left="620" w:hanging="288"/>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decrease of $143 thousand in marketing expense, principally due to a reduction in deposit marketing in the quarter ended September 30, 2013.</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$250 thousand insurance recovery recognized in the quarter ended 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income tax expense was $161 thousand, or an effective rate of 33.5%, for the quarter ended September 30, 2013, as compared to $484 thousand, or an effective rate of 31.9%, for the quarter ended September 30, 2012. The effective rate for each quarter differs from the Company’s statutory rate because of favorable book to tax differences, such as tax credits and tax exempt life insurance income.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 - 15(e) and 15d - 15(e)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September 30, 2013.</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 - 15(f) of the Exchange Act) that occurred during the quarter ended September 30, 2013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8" w:name="page29"/>
    <w:bookmarkEnd w:id="28"/>
    <w:tbl>
      <w:tblPr>
        <w:tblLayout w:type="fixed"/>
        <w:tblInd w:w="66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240" w:type="dxa"/>
            <w:vAlign w:val="bottom"/>
          </w:tcPr>
          <w:p>
            <w:pPr>
              <w:spacing w:after="0"/>
              <w:rPr>
                <w:sz w:val="14"/>
                <w:szCs w:val="14"/>
                <w:color w:val="auto"/>
              </w:rPr>
            </w:pPr>
          </w:p>
        </w:tc>
        <w:tc>
          <w:tcPr>
            <w:tcW w:w="936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9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Certification of the Chief Executive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31.2</w:t>
            </w: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w w:val="97"/>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32.1</w:t>
            </w: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w w:val="97"/>
              </w:rPr>
              <w:t>Certificate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32.2</w:t>
            </w: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w w:val="98"/>
              </w:rPr>
              <w:t>Certificate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0" w:type="dxa"/>
            <w:vAlign w:val="bottom"/>
          </w:tcPr>
          <w:p>
            <w:pPr>
              <w:spacing w:after="0"/>
              <w:rPr>
                <w:sz w:val="1"/>
                <w:szCs w:val="1"/>
                <w:color w:val="auto"/>
              </w:rPr>
            </w:pPr>
          </w:p>
        </w:tc>
      </w:tr>
    </w:tbl>
    <w:p>
      <w:pPr>
        <w:ind w:left="1940" w:right="320" w:hanging="899"/>
        <w:spacing w:after="0" w:line="290" w:lineRule="auto"/>
        <w:tabs>
          <w:tab w:leader="none" w:pos="1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September 30, 2013 formatted in XBRL: (i) Consolidated Balance Sheets at September 30, 2013 and June 30, 2013; (ii) Consolidated Statements of Income for the three months ended September 30, 2013 and 2012; (iii) Consolidated Statements of Comprehensive Income for the three months ended September 30, 2013 and 2012; (iv) Consolidated Statements of Changes in Shareholders’ Equity for the three months ended September 30 2013 and 2012; (v) Consolidated Statements of Cash Flows for the three months ended September 30, 2013 and 2012; and (v) Notes to Unaudited Consolidated Financial Statements. ***</w:t>
      </w:r>
    </w:p>
    <w:p>
      <w:pPr>
        <w:spacing w:after="0" w:line="39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gridSpan w:val="5"/>
          </w:tcPr>
          <w:p>
            <w:pPr>
              <w:spacing w:after="0"/>
              <w:rPr>
                <w:sz w:val="20"/>
                <w:szCs w:val="20"/>
                <w:color w:val="auto"/>
              </w:rPr>
            </w:pPr>
            <w:r>
              <w:rPr>
                <w:rFonts w:ascii="Arial" w:cs="Arial" w:eastAsia="Arial" w:hAnsi="Arial"/>
                <w:sz w:val="18"/>
                <w:szCs w:val="18"/>
                <w:color w:val="auto"/>
              </w:rPr>
              <w:t>Date: November 14, 2013</w:t>
            </w:r>
          </w:p>
        </w:tc>
        <w:tc>
          <w:tcPr>
            <w:tcW w:w="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40" w:type="dxa"/>
            <w:vAlign w:val="bottom"/>
          </w:tcPr>
          <w:p>
            <w:pPr>
              <w:ind w:left="43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3"/>
          </w:tcPr>
          <w:p>
            <w:pPr>
              <w:ind w:left="4340"/>
              <w:spacing w:after="0"/>
              <w:rPr>
                <w:sz w:val="20"/>
                <w:szCs w:val="20"/>
                <w:color w:val="auto"/>
              </w:rPr>
            </w:pPr>
            <w:r>
              <w:rPr>
                <w:rFonts w:ascii="Arial" w:cs="Arial" w:eastAsia="Arial" w:hAnsi="Arial"/>
                <w:sz w:val="18"/>
                <w:szCs w:val="18"/>
                <w:color w:val="auto"/>
              </w:rPr>
              <w:t>By:  /s/ Claire S. Bean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jc w:val="center"/>
              <w:ind w:left="3990"/>
              <w:spacing w:after="0"/>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3"/>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3"/>
          </w:tcPr>
          <w:p>
            <w:pPr>
              <w:jc w:val="center"/>
              <w:ind w:right="1290"/>
              <w:spacing w:after="0"/>
              <w:rPr>
                <w:sz w:val="20"/>
                <w:szCs w:val="20"/>
                <w:color w:val="auto"/>
              </w:rPr>
            </w:pPr>
            <w:r>
              <w:rPr>
                <w:rFonts w:ascii="Arial" w:cs="Arial" w:eastAsia="Arial" w:hAnsi="Arial"/>
                <w:sz w:val="18"/>
                <w:szCs w:val="18"/>
                <w:b w:val="1"/>
                <w:bCs w:val="1"/>
                <w:color w:val="auto"/>
                <w:w w:val="99"/>
              </w:rPr>
              <w:t>NORTHEAST BANCORP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40" w:type="dxa"/>
            <w:vAlign w:val="bottom"/>
            <w:gridSpan w:val="3"/>
          </w:tcPr>
          <w:p>
            <w:pPr>
              <w:jc w:val="center"/>
              <w:ind w:right="1270"/>
              <w:spacing w:after="0"/>
              <w:rPr>
                <w:sz w:val="20"/>
                <w:szCs w:val="20"/>
                <w:color w:val="auto"/>
              </w:rPr>
            </w:pPr>
            <w:r>
              <w:rPr>
                <w:rFonts w:ascii="Arial" w:cs="Arial" w:eastAsia="Arial" w:hAnsi="Arial"/>
                <w:sz w:val="18"/>
                <w:szCs w:val="18"/>
                <w:b w:val="1"/>
                <w:bCs w:val="1"/>
                <w:color w:val="auto"/>
                <w:w w:val="91"/>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40" w:type="dxa"/>
            <w:vAlign w:val="bottom"/>
          </w:tcPr>
          <w:p>
            <w:pPr>
              <w:jc w:val="right"/>
              <w:ind w:right="274"/>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4"/>
          </w:tcPr>
          <w:p>
            <w:pPr>
              <w:ind w:left="6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274"/>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4"/>
          </w:tcPr>
          <w:p>
            <w:pPr>
              <w:ind w:left="6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274"/>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4"/>
          </w:tcPr>
          <w:p>
            <w:pPr>
              <w:ind w:left="60"/>
              <w:spacing w:after="0"/>
              <w:rPr>
                <w:sz w:val="20"/>
                <w:szCs w:val="20"/>
                <w:color w:val="auto"/>
              </w:rPr>
            </w:pPr>
            <w:r>
              <w:rPr>
                <w:rFonts w:ascii="Arial" w:cs="Arial" w:eastAsia="Arial" w:hAnsi="Arial"/>
                <w:sz w:val="18"/>
                <w:szCs w:val="18"/>
                <w:color w:val="auto"/>
                <w:w w:val="92"/>
              </w:rPr>
              <w:t>Certificate of the Chief Executive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Act of 2002 (Rule 13a-14(b)). **</w:t>
            </w: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274"/>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4"/>
          </w:tcPr>
          <w:p>
            <w:pPr>
              <w:ind w:left="60"/>
              <w:spacing w:after="0"/>
              <w:rPr>
                <w:sz w:val="20"/>
                <w:szCs w:val="20"/>
                <w:color w:val="auto"/>
              </w:rPr>
            </w:pPr>
            <w:r>
              <w:rPr>
                <w:rFonts w:ascii="Arial" w:cs="Arial" w:eastAsia="Arial" w:hAnsi="Arial"/>
                <w:sz w:val="18"/>
                <w:szCs w:val="18"/>
                <w:color w:val="auto"/>
                <w:w w:val="92"/>
              </w:rPr>
              <w:t>Certificate of the Chief Financial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Act of 2002 (Rule 13a-14(b)). **</w:t>
            </w: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380" w:right="120" w:hanging="994"/>
        <w:spacing w:after="0" w:line="270" w:lineRule="auto"/>
        <w:tabs>
          <w:tab w:leader="none" w:pos="13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September 30, 2013 formatted in XBRL: (i) Consolidated Balance Sheets at September 30, 2013 and June 30, 2013; (ii) Consolidated Statements of Income for the three months ended September 30, 2013 and 2012; (iii) Consolidated Statements of Comprehensive Income for the three months ended September 30, 2013 and 2012; (iv) Consolidated Statements of Changes in Shareholders’ Equity for the three months ended September 30 2013 and 2012; (v) Consolidated Statements of Cash Flows for the three months ended September 30, 2013 and 2012;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20" w:right="199" w:bottom="653" w:gutter="0" w:footer="0" w:header="0"/>
        </w:sectPr>
      </w:pPr>
    </w:p>
    <w:bookmarkStart w:id="29" w:name="page30"/>
    <w:bookmarkEnd w:id="29"/>
    <w:p>
      <w:pPr>
        <w:ind w:left="6820"/>
        <w:spacing w:after="0"/>
        <w:tabs>
          <w:tab w:leader="none" w:pos="808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720" w:hanging="47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720" w:right="280" w:hanging="476"/>
        <w:spacing w:after="0" w:line="26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40" w:hanging="476"/>
        <w:spacing w:after="0" w:line="30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80" w:hanging="476"/>
        <w:spacing w:after="0" w:line="26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20" w:right="240" w:hanging="7"/>
        <w:spacing w:after="0" w:line="264" w:lineRule="auto"/>
        <w:tabs>
          <w:tab w:leader="none" w:pos="10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220" w:hanging="7"/>
        <w:spacing w:after="0" w:line="264" w:lineRule="auto"/>
        <w:tabs>
          <w:tab w:leader="none" w:pos="9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right="780" w:hanging="7"/>
        <w:spacing w:after="0" w:line="342" w:lineRule="auto"/>
        <w:tabs>
          <w:tab w:leader="none" w:pos="10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20" w:right="260" w:hanging="7"/>
        <w:spacing w:after="0" w:line="264"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80" w:hanging="476"/>
        <w:spacing w:after="0" w:line="30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160" w:hanging="7"/>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680" w:hanging="7"/>
        <w:spacing w:after="0" w:line="277" w:lineRule="auto"/>
        <w:tabs>
          <w:tab w:leader="none" w:pos="10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14,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2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ind w:right="40"/>
        <w:spacing w:after="0"/>
        <w:tabs>
          <w:tab w:leader="none" w:pos="330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720" w:hanging="47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720" w:right="280" w:hanging="476"/>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40" w:hanging="476"/>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80" w:hanging="476"/>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20" w:right="240" w:hanging="7"/>
        <w:spacing w:after="0" w:line="264" w:lineRule="auto"/>
        <w:tabs>
          <w:tab w:leader="none" w:pos="10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220" w:hanging="7"/>
        <w:spacing w:after="0" w:line="264" w:lineRule="auto"/>
        <w:tabs>
          <w:tab w:leader="none" w:pos="9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right="780" w:hanging="7"/>
        <w:spacing w:after="0" w:line="342" w:lineRule="auto"/>
        <w:tabs>
          <w:tab w:leader="none" w:pos="10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20" w:right="260" w:hanging="7"/>
        <w:spacing w:after="0" w:line="264"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80" w:hanging="476"/>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160" w:hanging="7"/>
        <w:spacing w:after="0" w:line="277"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680" w:hanging="7"/>
        <w:spacing w:after="0" w:line="277" w:lineRule="auto"/>
        <w:tabs>
          <w:tab w:leader="none" w:pos="10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14,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2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ind w:left="6940"/>
        <w:spacing w:after="0"/>
        <w:tabs>
          <w:tab w:leader="none" w:pos="824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20" w:right="3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September 30, 2013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700" w:hanging="291"/>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400" w:right="80" w:firstLine="9"/>
        <w:spacing w:after="0" w:line="277" w:lineRule="auto"/>
        <w:tabs>
          <w:tab w:leader="none" w:pos="6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14,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2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ind w:left="6960"/>
        <w:spacing w:after="0"/>
        <w:tabs>
          <w:tab w:leader="none" w:pos="82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20" w:right="3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September 30, 2013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80" w:hanging="298"/>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right="120" w:firstLine="2"/>
        <w:spacing w:after="0" w:line="277" w:lineRule="auto"/>
        <w:tabs>
          <w:tab w:leader="none" w:pos="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14,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2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2"/>
      <w:numFmt w:val="decimal"/>
      <w:start w:val="101"/>
    </w:lvl>
  </w:abstractNum>
  <w:abstractNum w:abstractNumId="17">
    <w:nsid w:val="721DA317"/>
    <w:multiLevelType w:val="hybridMultilevel"/>
    <w:lvl w:ilvl="0">
      <w:lvlJc w:val="left"/>
      <w:lvlText w:val="**"/>
      <w:numFmt w:val="bullet"/>
      <w:start w:val="1"/>
    </w:lvl>
    <w:lvl w:ilvl="1">
      <w:lvlJc w:val="left"/>
      <w:lvlText w:val="%2"/>
      <w:numFmt w:val="decimal"/>
      <w:start w:val="1"/>
    </w:lvl>
  </w:abstractNum>
  <w:abstractNum w:abstractNumId="18">
    <w:nsid w:val="2443A858"/>
    <w:multiLevelType w:val="hybridMultilevel"/>
    <w:lvl w:ilvl="0">
      <w:lvlJc w:val="left"/>
      <w:lvlText w:val="***"/>
      <w:numFmt w:val="bullet"/>
      <w:start w:val="1"/>
    </w:lvl>
    <w:lvl w:ilvl="1">
      <w:lvlJc w:val="left"/>
      <w:lvlText w:val="%2"/>
      <w:numFmt w:val="decimal"/>
      <w:start w:val="1"/>
    </w:lvl>
  </w:abstractNum>
  <w:abstractNum w:abstractNumId="19">
    <w:nsid w:val="2D1D5AE9"/>
    <w:multiLevelType w:val="hybridMultilevel"/>
    <w:lvl w:ilvl="0">
      <w:lvlJc w:val="left"/>
      <w:lvlText w:val="*"/>
      <w:numFmt w:val="bullet"/>
      <w:start w:val="1"/>
    </w:lvl>
    <w:lvl w:ilvl="1">
      <w:lvlJc w:val="left"/>
      <w:lvlText w:val="%2"/>
      <w:numFmt w:val="decimal"/>
      <w:start w:val="101"/>
    </w:lvl>
  </w:abstractNum>
  <w:abstractNum w:abstractNumId="20">
    <w:nsid w:val="6763845E"/>
    <w:multiLevelType w:val="hybridMultilevel"/>
    <w:lvl w:ilvl="0">
      <w:lvlJc w:val="left"/>
      <w:lvlText w:val="**"/>
      <w:numFmt w:val="bullet"/>
      <w:start w:val="1"/>
    </w:lvl>
    <w:lvl w:ilvl="1">
      <w:lvlJc w:val="left"/>
      <w:lvlText w:val="%2"/>
      <w:numFmt w:val="decimal"/>
      <w:start w:val="1"/>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2019-12-06T01:24:20Z</dcterms:created>
  <dcterms:modified xsi:type="dcterms:W3CDTF">2019-12-06T01:24:20Z</dcterms:modified>
</cp:coreProperties>
</file>