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pursuant to Section 13 or 15 (d)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1-14588</w:t>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Northeast Bancorp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60" w:type="dxa"/>
        <w:tblCellMar>
          <w:top w:w="0" w:type="dxa"/>
          <w:left w:w="0" w:type="dxa"/>
          <w:bottom w:w="0" w:type="dxa"/>
          <w:right w:w="0" w:type="dxa"/>
        </w:tblCellMar>
      </w:tblPr>
      <w:tr>
        <w:trPr>
          <w:trHeight w:val="234"/>
        </w:trPr>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93"/>
              </w:rPr>
              <w:t>Maine</w:t>
            </w:r>
          </w:p>
        </w:tc>
        <w:tc>
          <w:tcPr>
            <w:tcW w:w="3520" w:type="dxa"/>
            <w:vAlign w:val="bottom"/>
            <w:gridSpan w:val="2"/>
          </w:tcPr>
          <w:p>
            <w:pPr>
              <w:jc w:val="right"/>
              <w:ind w:right="1150"/>
              <w:spacing w:after="0"/>
              <w:rPr>
                <w:sz w:val="20"/>
                <w:szCs w:val="20"/>
                <w:color w:val="auto"/>
              </w:rPr>
            </w:pPr>
            <w:r>
              <w:rPr>
                <w:rFonts w:ascii="Arial" w:cs="Arial" w:eastAsia="Arial" w:hAnsi="Arial"/>
                <w:sz w:val="18"/>
                <w:szCs w:val="18"/>
                <w:b w:val="1"/>
                <w:bCs w:val="1"/>
                <w:color w:val="auto"/>
              </w:rPr>
              <w:t>01-0425066</w:t>
            </w:r>
          </w:p>
        </w:tc>
      </w:tr>
      <w:tr>
        <w:trPr>
          <w:trHeight w:val="228"/>
        </w:trPr>
        <w:tc>
          <w:tcPr>
            <w:tcW w:w="50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200" w:type="dxa"/>
            <w:vAlign w:val="bottom"/>
          </w:tcPr>
          <w:p>
            <w:pPr>
              <w:spacing w:after="0"/>
              <w:rPr>
                <w:sz w:val="19"/>
                <w:szCs w:val="19"/>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4"/>
        </w:trPr>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91"/>
              </w:rPr>
              <w:t>500 Canal Street, Lewiston, Maine</w:t>
            </w:r>
          </w:p>
        </w:tc>
        <w:tc>
          <w:tcPr>
            <w:tcW w:w="3520" w:type="dxa"/>
            <w:vAlign w:val="bottom"/>
            <w:gridSpan w:val="2"/>
          </w:tcPr>
          <w:p>
            <w:pPr>
              <w:jc w:val="right"/>
              <w:ind w:right="1350"/>
              <w:spacing w:after="0"/>
              <w:rPr>
                <w:sz w:val="20"/>
                <w:szCs w:val="20"/>
                <w:color w:val="auto"/>
              </w:rPr>
            </w:pPr>
            <w:r>
              <w:rPr>
                <w:rFonts w:ascii="Arial" w:cs="Arial" w:eastAsia="Arial" w:hAnsi="Arial"/>
                <w:sz w:val="18"/>
                <w:szCs w:val="18"/>
                <w:b w:val="1"/>
                <w:bCs w:val="1"/>
                <w:color w:val="auto"/>
              </w:rPr>
              <w:t>04240</w:t>
            </w:r>
          </w:p>
        </w:tc>
      </w:tr>
      <w:tr>
        <w:trPr>
          <w:trHeight w:val="228"/>
        </w:trPr>
        <w:tc>
          <w:tcPr>
            <w:tcW w:w="50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00" w:type="dxa"/>
            <w:vAlign w:val="bottom"/>
          </w:tcPr>
          <w:p>
            <w:pPr>
              <w:spacing w:after="0"/>
              <w:rPr>
                <w:sz w:val="19"/>
                <w:szCs w:val="19"/>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(Zip Code)</w:t>
            </w:r>
          </w:p>
        </w:tc>
      </w:tr>
    </w:tbl>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(207) 786-3245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both"/>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subjected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___</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___</w:t>
      </w:r>
    </w:p>
    <w:p>
      <w:pPr>
        <w:spacing w:after="0" w:line="184"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pacing w:after="0" w:line="9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__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__ Smaller Reporting Company __</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Yes_ No </w:t>
      </w:r>
      <w:r>
        <w:rPr>
          <w:rFonts w:ascii="MS PGothic" w:cs="MS PGothic" w:eastAsia="MS PGothic" w:hAnsi="MS PGothic"/>
          <w:sz w:val="18"/>
          <w:szCs w:val="18"/>
          <w:color w:val="auto"/>
        </w:rPr>
        <w:t>☑</w:t>
      </w:r>
    </w:p>
    <w:p>
      <w:pPr>
        <w:spacing w:after="0" w:line="258"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180"/>
        <w:spacing w:after="0" w:line="264"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May 3, 2018, the registrant had outstanding 8,025,605 shares of voting common stock, $1.00 par value per share and 908,730 shares of non-voting common stock, $1.00 par value per share.</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720" w:type="dxa"/>
            <w:vAlign w:val="bottom"/>
            <w:tcBorders>
              <w:bottom w:val="single" w:sz="8" w:color="0000EE"/>
            </w:tcBorders>
            <w:gridSpan w:val="3"/>
          </w:tcPr>
          <w:p>
            <w:pPr>
              <w:spacing w:after="0"/>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Financial Information</w:t>
              </w:r>
            </w:hyperlink>
          </w:p>
        </w:tc>
        <w:tc>
          <w:tcPr>
            <w:tcW w:w="8120" w:type="dxa"/>
            <w:vAlign w:val="bottom"/>
            <w:gridSpan w:val="19"/>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140" w:type="dxa"/>
            <w:vAlign w:val="bottom"/>
          </w:tcPr>
          <w:p>
            <w:pPr>
              <w:spacing w:after="0" w:line="196" w:lineRule="exact"/>
              <w:rPr>
                <w:sz w:val="20"/>
                <w:szCs w:val="20"/>
                <w:color w:val="auto"/>
              </w:rPr>
            </w:pPr>
            <w:r>
              <w:rPr>
                <w:rFonts w:ascii="Arial" w:cs="Arial" w:eastAsia="Arial" w:hAnsi="Arial"/>
                <w:sz w:val="18"/>
                <w:szCs w:val="18"/>
                <w:b w:val="1"/>
                <w:bCs w:val="1"/>
                <w:color w:val="auto"/>
              </w:rPr>
              <w:t>Item 1.</w:t>
            </w:r>
          </w:p>
        </w:tc>
        <w:tc>
          <w:tcPr>
            <w:tcW w:w="260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Financial Statements (Unaudited)</w:t>
              </w:r>
            </w:hyperlink>
          </w:p>
        </w:tc>
        <w:tc>
          <w:tcPr>
            <w:tcW w:w="6100" w:type="dxa"/>
            <w:vAlign w:val="bottom"/>
            <w:gridSpan w:val="1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700" w:type="dxa"/>
            <w:vAlign w:val="bottom"/>
            <w:gridSpan w:val="21"/>
          </w:tcPr>
          <w:p>
            <w:pPr>
              <w:spacing w:after="0" w:line="19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Consolidated Balance Sheets March 31, 2018 and June 30, 2017</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12"/>
        </w:trPr>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20" w:type="dxa"/>
            <w:vAlign w:val="bottom"/>
            <w:tcBorders>
              <w:bottom w:val="single" w:sz="8" w:color="0000EE"/>
            </w:tcBorders>
            <w:gridSpan w:val="18"/>
          </w:tcPr>
          <w:p>
            <w:pPr>
              <w:spacing w:after="0"/>
              <w:rPr>
                <w:rFonts w:ascii="Arial" w:cs="Arial" w:eastAsia="Arial" w:hAnsi="Arial"/>
                <w:sz w:val="18"/>
                <w:szCs w:val="18"/>
                <w:b w:val="1"/>
                <w:bCs w:val="1"/>
                <w:color w:val="0000EE"/>
                <w:w w:val="90"/>
              </w:rPr>
            </w:pPr>
            <w:hyperlink w:anchor="page5">
              <w:r>
                <w:rPr>
                  <w:rFonts w:ascii="Arial" w:cs="Arial" w:eastAsia="Arial" w:hAnsi="Arial"/>
                  <w:sz w:val="18"/>
                  <w:szCs w:val="18"/>
                  <w:b w:val="1"/>
                  <w:bCs w:val="1"/>
                  <w:color w:val="0000EE"/>
                  <w:w w:val="90"/>
                </w:rPr>
                <w:t>Consolidated Statements of Income Three and Nine Months Ended March 31, 2018 and 2017</w:t>
              </w:r>
            </w:hyperlink>
          </w:p>
        </w:tc>
        <w:tc>
          <w:tcPr>
            <w:tcW w:w="1580" w:type="dxa"/>
            <w:vAlign w:val="bottom"/>
            <w:gridSpan w:val="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360" w:type="dxa"/>
            <w:vAlign w:val="bottom"/>
            <w:tcBorders>
              <w:bottom w:val="single" w:sz="8" w:color="0000EE"/>
            </w:tcBorders>
            <w:gridSpan w:val="20"/>
          </w:tcPr>
          <w:p>
            <w:pPr>
              <w:spacing w:after="0"/>
              <w:rPr>
                <w:rFonts w:ascii="Arial" w:cs="Arial" w:eastAsia="Arial" w:hAnsi="Arial"/>
                <w:sz w:val="18"/>
                <w:szCs w:val="18"/>
                <w:b w:val="1"/>
                <w:bCs w:val="1"/>
                <w:color w:val="0000EE"/>
                <w:w w:val="90"/>
              </w:rPr>
            </w:pPr>
            <w:hyperlink w:anchor="page6">
              <w:r>
                <w:rPr>
                  <w:rFonts w:ascii="Arial" w:cs="Arial" w:eastAsia="Arial" w:hAnsi="Arial"/>
                  <w:sz w:val="18"/>
                  <w:szCs w:val="18"/>
                  <w:b w:val="1"/>
                  <w:bCs w:val="1"/>
                  <w:color w:val="0000EE"/>
                  <w:w w:val="90"/>
                </w:rPr>
                <w:t>Consolidated Statements of Comprehensive Income Three and Nine Months Ended March 31, 2018 and 2017</w:t>
              </w:r>
            </w:hyperlink>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700" w:type="dxa"/>
            <w:vAlign w:val="bottom"/>
            <w:gridSpan w:val="21"/>
          </w:tcPr>
          <w:p>
            <w:pPr>
              <w:spacing w:after="0"/>
              <w:rPr>
                <w:rFonts w:ascii="Arial" w:cs="Arial" w:eastAsia="Arial" w:hAnsi="Arial"/>
                <w:sz w:val="18"/>
                <w:szCs w:val="18"/>
                <w:b w:val="1"/>
                <w:bCs w:val="1"/>
                <w:color w:val="0000EE"/>
                <w:w w:val="95"/>
              </w:rPr>
            </w:pPr>
            <w:hyperlink w:anchor="page7">
              <w:r>
                <w:rPr>
                  <w:rFonts w:ascii="Arial" w:cs="Arial" w:eastAsia="Arial" w:hAnsi="Arial"/>
                  <w:sz w:val="18"/>
                  <w:szCs w:val="18"/>
                  <w:b w:val="1"/>
                  <w:bCs w:val="1"/>
                  <w:color w:val="0000EE"/>
                  <w:w w:val="95"/>
                </w:rPr>
                <w:t>Consolidated Statements of Changes in Shareholders' Equity Nine Months Ended March 31, 2018 and 2017</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Borders>
              <w:top w:val="single" w:sz="8" w:color="0000EE"/>
              <w:bottom w:val="single" w:sz="8" w:color="0000EE"/>
            </w:tcBorders>
            <w:gridSpan w:val="16"/>
          </w:tcPr>
          <w:p>
            <w:pPr>
              <w:spacing w:after="0"/>
              <w:rPr>
                <w:rFonts w:ascii="Arial" w:cs="Arial" w:eastAsia="Arial" w:hAnsi="Arial"/>
                <w:sz w:val="18"/>
                <w:szCs w:val="18"/>
                <w:b w:val="1"/>
                <w:bCs w:val="1"/>
                <w:color w:val="0000EE"/>
                <w:w w:val="89"/>
              </w:rPr>
            </w:pPr>
            <w:hyperlink w:anchor="page8">
              <w:r>
                <w:rPr>
                  <w:rFonts w:ascii="Arial" w:cs="Arial" w:eastAsia="Arial" w:hAnsi="Arial"/>
                  <w:sz w:val="18"/>
                  <w:szCs w:val="18"/>
                  <w:b w:val="1"/>
                  <w:bCs w:val="1"/>
                  <w:color w:val="0000EE"/>
                  <w:w w:val="89"/>
                </w:rPr>
                <w:t>Consolidated Statements of Cash Flows Nine Months Ended March 31, 2018 and 2017</w:t>
              </w:r>
            </w:hyperlink>
          </w:p>
        </w:tc>
        <w:tc>
          <w:tcPr>
            <w:tcW w:w="1640" w:type="dxa"/>
            <w:vAlign w:val="bottom"/>
            <w:tcBorders>
              <w:top w:val="single" w:sz="8" w:color="0000EE"/>
            </w:tcBorders>
            <w:gridSpan w:val="3"/>
          </w:tcPr>
          <w:p>
            <w:pPr>
              <w:spacing w:after="0"/>
              <w:rPr>
                <w:sz w:val="24"/>
                <w:szCs w:val="24"/>
                <w:color w:val="auto"/>
              </w:rPr>
            </w:pPr>
          </w:p>
        </w:tc>
        <w:tc>
          <w:tcPr>
            <w:tcW w:w="46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9">
              <w:r>
                <w:rPr>
                  <w:rFonts w:ascii="Arial" w:cs="Arial" w:eastAsia="Arial" w:hAnsi="Arial"/>
                  <w:sz w:val="18"/>
                  <w:szCs w:val="18"/>
                  <w:b w:val="1"/>
                  <w:bCs w:val="1"/>
                  <w:color w:val="0000EE"/>
                  <w:w w:val="89"/>
                </w:rPr>
                <w:t>Notes to Unaudited Consolidated Financial Statements</w:t>
              </w:r>
            </w:hyperlink>
          </w:p>
        </w:tc>
        <w:tc>
          <w:tcPr>
            <w:tcW w:w="4500" w:type="dxa"/>
            <w:vAlign w:val="bottom"/>
            <w:gridSpan w:val="9"/>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10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7"/>
          </w:tcPr>
          <w:p>
            <w:pPr>
              <w:spacing w:after="0"/>
              <w:rPr>
                <w:rFonts w:ascii="Arial" w:cs="Arial" w:eastAsia="Arial" w:hAnsi="Arial"/>
                <w:sz w:val="18"/>
                <w:szCs w:val="18"/>
                <w:b w:val="1"/>
                <w:bCs w:val="1"/>
                <w:color w:val="0000EE"/>
                <w:w w:val="89"/>
              </w:rPr>
            </w:pPr>
            <w:hyperlink w:anchor="page31">
              <w:r>
                <w:rPr>
                  <w:rFonts w:ascii="Arial" w:cs="Arial" w:eastAsia="Arial" w:hAnsi="Arial"/>
                  <w:sz w:val="18"/>
                  <w:szCs w:val="18"/>
                  <w:b w:val="1"/>
                  <w:bCs w:val="1"/>
                  <w:color w:val="0000EE"/>
                  <w:w w:val="89"/>
                </w:rPr>
                <w:t>Management's Discussion and Analysis of Financial Condition and Results of Operations</w:t>
              </w:r>
            </w:hyperlink>
          </w:p>
        </w:tc>
        <w:tc>
          <w:tcPr>
            <w:tcW w:w="186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10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tcBorders>
              <w:bottom w:val="single" w:sz="8" w:color="0000EE"/>
            </w:tcBorders>
            <w:gridSpan w:val="13"/>
          </w:tcPr>
          <w:p>
            <w:pPr>
              <w:spacing w:after="0"/>
              <w:rPr>
                <w:rFonts w:ascii="Arial" w:cs="Arial" w:eastAsia="Arial" w:hAnsi="Arial"/>
                <w:sz w:val="18"/>
                <w:szCs w:val="18"/>
                <w:b w:val="1"/>
                <w:bCs w:val="1"/>
                <w:color w:val="0000EE"/>
                <w:w w:val="91"/>
              </w:rPr>
            </w:pPr>
            <w:hyperlink w:anchor="page48">
              <w:r>
                <w:rPr>
                  <w:rFonts w:ascii="Arial" w:cs="Arial" w:eastAsia="Arial" w:hAnsi="Arial"/>
                  <w:sz w:val="18"/>
                  <w:szCs w:val="18"/>
                  <w:b w:val="1"/>
                  <w:bCs w:val="1"/>
                  <w:color w:val="0000EE"/>
                  <w:w w:val="91"/>
                </w:rPr>
                <w:t>Quantitative and Qualitative Disclosure about Market Risk</w:t>
              </w:r>
            </w:hyperlink>
          </w:p>
        </w:tc>
        <w:tc>
          <w:tcPr>
            <w:tcW w:w="4140" w:type="dxa"/>
            <w:vAlign w:val="bottom"/>
            <w:gridSpan w:val="8"/>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2"/>
        </w:trPr>
        <w:tc>
          <w:tcPr>
            <w:tcW w:w="10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920" w:type="dxa"/>
            <w:vAlign w:val="bottom"/>
            <w:tcBorders>
              <w:bottom w:val="single" w:sz="8" w:color="0000EE"/>
            </w:tcBorders>
            <w:gridSpan w:val="9"/>
          </w:tcPr>
          <w:p>
            <w:pPr>
              <w:spacing w:after="0"/>
              <w:rPr>
                <w:rFonts w:ascii="Arial" w:cs="Arial" w:eastAsia="Arial" w:hAnsi="Arial"/>
                <w:sz w:val="18"/>
                <w:szCs w:val="18"/>
                <w:b w:val="1"/>
                <w:bCs w:val="1"/>
                <w:color w:val="0000EE"/>
                <w:w w:val="88"/>
              </w:rPr>
            </w:pPr>
            <w:hyperlink w:anchor="page49">
              <w:r>
                <w:rPr>
                  <w:rFonts w:ascii="Arial" w:cs="Arial" w:eastAsia="Arial" w:hAnsi="Arial"/>
                  <w:sz w:val="18"/>
                  <w:szCs w:val="18"/>
                  <w:b w:val="1"/>
                  <w:bCs w:val="1"/>
                  <w:color w:val="0000EE"/>
                  <w:w w:val="88"/>
                </w:rPr>
                <w:t>Controls and Procedures</w:t>
              </w:r>
            </w:hyperlink>
          </w:p>
        </w:tc>
        <w:tc>
          <w:tcPr>
            <w:tcW w:w="6780" w:type="dxa"/>
            <w:vAlign w:val="bottom"/>
            <w:gridSpan w:val="1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2"/>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46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50">
              <w:r>
                <w:rPr>
                  <w:rFonts w:ascii="Arial" w:cs="Arial" w:eastAsia="Arial" w:hAnsi="Arial"/>
                  <w:sz w:val="18"/>
                  <w:szCs w:val="18"/>
                  <w:b w:val="1"/>
                  <w:bCs w:val="1"/>
                  <w:color w:val="0000EE"/>
                  <w:w w:val="94"/>
                </w:rPr>
                <w:t>Other Information</w:t>
              </w:r>
            </w:hyperlink>
          </w:p>
        </w:tc>
        <w:tc>
          <w:tcPr>
            <w:tcW w:w="8380" w:type="dxa"/>
            <w:vAlign w:val="bottom"/>
            <w:gridSpan w:val="20"/>
          </w:tcPr>
          <w:p>
            <w:pPr>
              <w:spacing w:after="0"/>
              <w:rPr>
                <w:sz w:val="24"/>
                <w:szCs w:val="24"/>
                <w:color w:val="auto"/>
              </w:rPr>
            </w:pPr>
          </w:p>
        </w:tc>
        <w:tc>
          <w:tcPr>
            <w:tcW w:w="540" w:type="dxa"/>
            <w:vAlign w:val="bottom"/>
          </w:tcPr>
          <w:p>
            <w:pPr>
              <w:spacing w:after="0"/>
              <w:rPr>
                <w:sz w:val="24"/>
                <w:szCs w:val="24"/>
                <w:color w:val="auto"/>
              </w:rPr>
            </w:pPr>
          </w:p>
        </w:tc>
      </w:tr>
      <w:tr>
        <w:trPr>
          <w:trHeight w:val="412"/>
        </w:trPr>
        <w:tc>
          <w:tcPr>
            <w:tcW w:w="10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700" w:type="dxa"/>
            <w:vAlign w:val="bottom"/>
            <w:gridSpan w:val="21"/>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Legal Proceedings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10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88"/>
              </w:rPr>
            </w:pPr>
            <w:hyperlink w:anchor="page50">
              <w:r>
                <w:rPr>
                  <w:rFonts w:ascii="Arial" w:cs="Arial" w:eastAsia="Arial" w:hAnsi="Arial"/>
                  <w:sz w:val="18"/>
                  <w:szCs w:val="18"/>
                  <w:b w:val="1"/>
                  <w:bCs w:val="1"/>
                  <w:color w:val="0000EE"/>
                  <w:w w:val="88"/>
                </w:rPr>
                <w:t>Risk Factors</w:t>
              </w:r>
            </w:hyperlink>
          </w:p>
        </w:tc>
        <w:tc>
          <w:tcPr>
            <w:tcW w:w="420" w:type="dxa"/>
            <w:vAlign w:val="bottom"/>
            <w:tcBorders>
              <w:top w:val="single" w:sz="8" w:color="0000EE"/>
            </w:tcBorders>
          </w:tcPr>
          <w:p>
            <w:pPr>
              <w:spacing w:after="0"/>
              <w:rPr>
                <w:sz w:val="24"/>
                <w:szCs w:val="24"/>
                <w:color w:val="auto"/>
              </w:rPr>
            </w:pPr>
          </w:p>
        </w:tc>
        <w:tc>
          <w:tcPr>
            <w:tcW w:w="7300" w:type="dxa"/>
            <w:vAlign w:val="bottom"/>
            <w:gridSpan w:val="1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10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580" w:type="dxa"/>
            <w:vAlign w:val="bottom"/>
            <w:tcBorders>
              <w:bottom w:val="single" w:sz="8" w:color="0000EE"/>
            </w:tcBorders>
            <w:gridSpan w:val="14"/>
          </w:tcPr>
          <w:p>
            <w:pPr>
              <w:spacing w:after="0"/>
              <w:rPr>
                <w:rFonts w:ascii="Arial" w:cs="Arial" w:eastAsia="Arial" w:hAnsi="Arial"/>
                <w:sz w:val="18"/>
                <w:szCs w:val="18"/>
                <w:b w:val="1"/>
                <w:bCs w:val="1"/>
                <w:color w:val="0000EE"/>
                <w:w w:val="87"/>
              </w:rPr>
            </w:pPr>
            <w:hyperlink w:anchor="page50">
              <w:r>
                <w:rPr>
                  <w:rFonts w:ascii="Arial" w:cs="Arial" w:eastAsia="Arial" w:hAnsi="Arial"/>
                  <w:sz w:val="18"/>
                  <w:szCs w:val="18"/>
                  <w:b w:val="1"/>
                  <w:bCs w:val="1"/>
                  <w:color w:val="0000EE"/>
                  <w:w w:val="87"/>
                </w:rPr>
                <w:t>Unregistered Sales of Equity Securities and Use of Proceeds</w:t>
              </w:r>
            </w:hyperlink>
          </w:p>
        </w:tc>
        <w:tc>
          <w:tcPr>
            <w:tcW w:w="4120" w:type="dxa"/>
            <w:vAlign w:val="bottom"/>
            <w:gridSpan w:val="7"/>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10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8700" w:type="dxa"/>
            <w:vAlign w:val="bottom"/>
            <w:gridSpan w:val="21"/>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Defaults Upon Senior Securities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10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4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87"/>
              </w:rPr>
            </w:pPr>
            <w:hyperlink w:anchor="page50">
              <w:r>
                <w:rPr>
                  <w:rFonts w:ascii="Arial" w:cs="Arial" w:eastAsia="Arial" w:hAnsi="Arial"/>
                  <w:sz w:val="18"/>
                  <w:szCs w:val="18"/>
                  <w:b w:val="1"/>
                  <w:bCs w:val="1"/>
                  <w:color w:val="0000EE"/>
                  <w:w w:val="87"/>
                </w:rPr>
                <w:t>Mine Safety Disclosures</w:t>
              </w:r>
            </w:hyperlink>
          </w:p>
        </w:tc>
        <w:tc>
          <w:tcPr>
            <w:tcW w:w="600" w:type="dxa"/>
            <w:vAlign w:val="bottom"/>
            <w:tcBorders>
              <w:top w:val="single" w:sz="8" w:color="0000EE"/>
            </w:tcBorders>
            <w:gridSpan w:val="2"/>
          </w:tcPr>
          <w:p>
            <w:pPr>
              <w:spacing w:after="0"/>
              <w:rPr>
                <w:sz w:val="24"/>
                <w:szCs w:val="24"/>
                <w:color w:val="auto"/>
              </w:rPr>
            </w:pPr>
          </w:p>
        </w:tc>
        <w:tc>
          <w:tcPr>
            <w:tcW w:w="6260" w:type="dxa"/>
            <w:vAlign w:val="bottom"/>
            <w:gridSpan w:val="11"/>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10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8700" w:type="dxa"/>
            <w:vAlign w:val="bottom"/>
            <w:gridSpan w:val="21"/>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Other Information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10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44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Exhibits</w:t>
              </w:r>
            </w:hyperlink>
          </w:p>
        </w:tc>
        <w:tc>
          <w:tcPr>
            <w:tcW w:w="7260" w:type="dxa"/>
            <w:vAlign w:val="bottom"/>
            <w:gridSpan w:val="1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80" w:type="dxa"/>
            <w:vAlign w:val="bottom"/>
            <w:gridSpan w:val="1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12"/>
        </w:trPr>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Borders>
              <w:bottom w:val="single" w:sz="8" w:color="0000EE"/>
            </w:tcBorders>
            <w:gridSpan w:val="4"/>
          </w:tcPr>
          <w:p>
            <w:pPr>
              <w:spacing w:after="0"/>
              <w:rPr>
                <w:rFonts w:ascii="Arial" w:cs="Arial" w:eastAsia="Arial" w:hAnsi="Arial"/>
                <w:sz w:val="18"/>
                <w:szCs w:val="18"/>
                <w:b w:val="1"/>
                <w:bCs w:val="1"/>
                <w:color w:val="0000EE"/>
                <w:w w:val="85"/>
              </w:rPr>
            </w:pPr>
            <w:hyperlink w:anchor="page51">
              <w:r>
                <w:rPr>
                  <w:rFonts w:ascii="Arial" w:cs="Arial" w:eastAsia="Arial" w:hAnsi="Arial"/>
                  <w:sz w:val="18"/>
                  <w:szCs w:val="18"/>
                  <w:b w:val="1"/>
                  <w:bCs w:val="1"/>
                  <w:color w:val="0000EE"/>
                  <w:w w:val="85"/>
                </w:rPr>
                <w:t>Signatures</w:t>
              </w:r>
            </w:hyperlink>
          </w:p>
        </w:tc>
        <w:tc>
          <w:tcPr>
            <w:tcW w:w="7880" w:type="dxa"/>
            <w:vAlign w:val="bottom"/>
            <w:gridSpan w:val="17"/>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53"/>
        </w:trPr>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0" w:type="dxa"/>
            <w:vAlign w:val="bottom"/>
            <w:gridSpan w:val="12"/>
          </w:tcPr>
          <w:p>
            <w:pPr>
              <w:ind w:left="34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15"/>
        </w:trPr>
        <w:tc>
          <w:tcPr>
            <w:tcW w:w="10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line="24"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1-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238" w:lineRule="exact"/>
        <w:rPr>
          <w:sz w:val="20"/>
          <w:szCs w:val="20"/>
          <w:color w:val="auto"/>
        </w:rPr>
      </w:pPr>
    </w:p>
    <w:p>
      <w:pPr>
        <w:jc w:val="right"/>
        <w:ind w:right="340"/>
        <w:spacing w:after="0"/>
        <w:tabs>
          <w:tab w:leader="none" w:pos="980" w:val="left"/>
        </w:tabs>
        <w:rPr>
          <w:sz w:val="20"/>
          <w:szCs w:val="20"/>
          <w:color w:val="auto"/>
        </w:rPr>
      </w:pPr>
      <w:r>
        <w:rPr>
          <w:rFonts w:ascii="Arial" w:cs="Arial" w:eastAsia="Arial" w:hAnsi="Arial"/>
          <w:sz w:val="18"/>
          <w:szCs w:val="18"/>
          <w:color w:val="auto"/>
        </w:rPr>
        <w:t>March 31, 2018</w:t>
      </w:r>
      <w:r>
        <w:rPr>
          <w:sz w:val="20"/>
          <w:szCs w:val="20"/>
          <w:color w:val="auto"/>
        </w:rPr>
        <w:tab/>
      </w:r>
      <w:r>
        <w:rPr>
          <w:rFonts w:ascii="Arial" w:cs="Arial" w:eastAsia="Arial" w:hAnsi="Arial"/>
          <w:sz w:val="15"/>
          <w:szCs w:val="15"/>
          <w:color w:val="auto"/>
        </w:rPr>
        <w:t>June 30, 2017</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62" w:orient="portrait"/>
          <w:cols w:equalWidth="0" w:num="1">
            <w:col w:w="11420"/>
          </w:cols>
          <w:pgMar w:left="240" w:top="118" w:right="239" w:bottom="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and due from banks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 cash and cash equivalents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3,621</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3,582</w:t>
            </w:r>
          </w:p>
        </w:tc>
      </w:tr>
      <w:tr>
        <w:trPr>
          <w:trHeight w:val="230"/>
        </w:trPr>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218,446</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159,701</w:t>
            </w:r>
          </w:p>
        </w:tc>
      </w:tr>
      <w:tr>
        <w:trPr>
          <w:trHeight w:val="210"/>
        </w:trPr>
        <w:tc>
          <w:tcPr>
            <w:tcW w:w="5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222,067</w:t>
            </w:r>
          </w:p>
        </w:tc>
        <w:tc>
          <w:tcPr>
            <w:tcW w:w="2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163,283</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-290830</wp:posOffset>
            </wp:positionV>
            <wp:extent cx="7246620"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62" w:orient="portrait"/>
          <w:cols w:equalWidth="0" w:num="2">
            <w:col w:w="7400" w:space="720"/>
            <w:col w:w="3300"/>
          </w:cols>
          <w:pgMar w:left="240" w:top="118" w:right="239" w:bottom="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Available-for-sale securities, at fair value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89,741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96,693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Residential real estate loans held for sale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2,686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SBA loans held for sale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Total loans held for sale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4,539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4,699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Loans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530,565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185,049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175,654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97,297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3,518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816,429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Less: Allowance for loan losses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4,691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net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811,738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775,530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6,762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Real estate owned and other repossessed collateral, net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947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Federal Home Loan Bank stock, at cost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975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 net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Bank-owned life insurance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16,510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1,166,143</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1,076,874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700"/>
              <w:spacing w:after="0"/>
              <w:rPr>
                <w:sz w:val="20"/>
                <w:szCs w:val="20"/>
                <w:color w:val="auto"/>
              </w:rPr>
            </w:pPr>
            <w:r>
              <w:rPr>
                <w:rFonts w:ascii="Arial" w:cs="Arial" w:eastAsia="Arial" w:hAnsi="Arial"/>
                <w:sz w:val="18"/>
                <w:szCs w:val="18"/>
                <w:color w:val="auto"/>
              </w:rPr>
              <w:t>Liabilities and Shareholders' Equity</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Demand</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66,054</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Savings and interest checking</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108,667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Money market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490,236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374,569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311,323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Total deposits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976,280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889,850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23,873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675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16,528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1,032,356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954,077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90"/>
              </w:rPr>
              <w:t>Preferred stock, $1.00 par value, 1,000,000 shares authorized; no shares issued and outstanding at March 31,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2018 and June 30, 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Voting common stock, $1.00 par value, 25,000,000 shares authorized; 8,016,669 and 7,840,460 shares issued</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outstanding at March 31, 2018 and June 30, 2017, respectively</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8,017</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90"/>
              </w:rPr>
              <w:t>Non-voting common stock, $1.00 par value, 3,000,000 shares authorized; 908,730 and 991,194 shares issued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and outstanding at March 31, 2018 and June 30, 2017, respectively</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908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76,926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49,981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Total shareholders' equity</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133,787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122,797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1,166,143</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62" w:orient="portrait"/>
          <w:cols w:equalWidth="0" w:num="1">
            <w:col w:w="11420"/>
          </w:cols>
          <w:pgMar w:left="240" w:top="118" w:right="239" w:bottom="0" w:gutter="0" w:footer="0" w:header="0"/>
          <w:type w:val="continuous"/>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62" w:orient="portrait"/>
          <w:cols w:equalWidth="0" w:num="1">
            <w:col w:w="11420"/>
          </w:cols>
          <w:pgMar w:left="240" w:top="118" w:right="239" w:bottom="0" w:gutter="0" w:footer="0" w:header="0"/>
          <w:type w:val="continuous"/>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spacing w:after="0"/>
              <w:rPr>
                <w:sz w:val="20"/>
                <w:szCs w:val="20"/>
                <w:color w:val="auto"/>
              </w:rPr>
            </w:pPr>
            <w:r>
              <w:rPr>
                <w:rFonts w:ascii="Arial" w:cs="Arial" w:eastAsia="Arial" w:hAnsi="Arial"/>
                <w:sz w:val="18"/>
                <w:szCs w:val="18"/>
                <w:color w:val="auto"/>
              </w:rPr>
              <w:t>Three Months Ended March 31,</w:t>
            </w:r>
          </w:p>
        </w:tc>
        <w:tc>
          <w:tcPr>
            <w:tcW w:w="120" w:type="dxa"/>
            <w:vAlign w:val="bottom"/>
          </w:tcPr>
          <w:p>
            <w:pPr>
              <w:spacing w:after="0"/>
              <w:rPr>
                <w:sz w:val="20"/>
                <w:szCs w:val="20"/>
                <w:color w:val="auto"/>
              </w:rPr>
            </w:pPr>
          </w:p>
        </w:tc>
        <w:tc>
          <w:tcPr>
            <w:tcW w:w="2480" w:type="dxa"/>
            <w:vAlign w:val="bottom"/>
            <w:gridSpan w:val="6"/>
          </w:tcPr>
          <w:p>
            <w:pPr>
              <w:ind w:left="20"/>
              <w:spacing w:after="0"/>
              <w:rPr>
                <w:sz w:val="20"/>
                <w:szCs w:val="20"/>
                <w:color w:val="auto"/>
              </w:rPr>
            </w:pPr>
            <w:r>
              <w:rPr>
                <w:rFonts w:ascii="Arial" w:cs="Arial" w:eastAsia="Arial" w:hAnsi="Arial"/>
                <w:sz w:val="18"/>
                <w:szCs w:val="18"/>
                <w:color w:val="auto"/>
              </w:rPr>
              <w:t>Nine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Interest and fees on loans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15,408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14,417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45,292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on available-for-sale securities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Other interest and dividend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interest and dividend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Deposits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2,696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1,855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Subordinated debt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 under capital lease agreements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Pr>
          <w:p>
            <w:pPr>
              <w:ind w:left="320"/>
              <w:spacing w:after="0"/>
              <w:rPr>
                <w:sz w:val="20"/>
                <w:szCs w:val="20"/>
                <w:color w:val="auto"/>
              </w:rPr>
            </w:pPr>
            <w:r>
              <w:rPr>
                <w:rFonts w:ascii="Arial" w:cs="Arial" w:eastAsia="Arial" w:hAnsi="Arial"/>
                <w:sz w:val="18"/>
                <w:szCs w:val="18"/>
                <w:color w:val="auto"/>
              </w:rPr>
              <w:t>Total interest expense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interest and dividend income before provision for loan losses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interest and dividend income after provision for loan losses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37,747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Fees for other services to customers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residential loans held for sale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Gain on sales of SBA loans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other loans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tcPr>
          <w:p>
            <w:pPr>
              <w:ind w:left="160"/>
              <w:spacing w:after="0" w:line="201" w:lineRule="exact"/>
              <w:rPr>
                <w:sz w:val="20"/>
                <w:szCs w:val="20"/>
                <w:color w:val="auto"/>
              </w:rPr>
            </w:pPr>
            <w:r>
              <w:rPr>
                <w:rFonts w:ascii="Arial" w:cs="Arial" w:eastAsia="Arial" w:hAnsi="Arial"/>
                <w:sz w:val="18"/>
                <w:szCs w:val="18"/>
                <w:color w:val="auto"/>
                <w:w w:val="93"/>
              </w:rPr>
              <w:t>Gain on real estate owned, other repossessed collateral and premises and</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320"/>
              <w:spacing w:after="0"/>
              <w:rPr>
                <w:sz w:val="20"/>
                <w:szCs w:val="20"/>
                <w:color w:val="auto"/>
              </w:rPr>
            </w:pPr>
            <w:r>
              <w:rPr>
                <w:rFonts w:ascii="Arial" w:cs="Arial" w:eastAsia="Arial" w:hAnsi="Arial"/>
                <w:sz w:val="18"/>
                <w:szCs w:val="18"/>
                <w:color w:val="auto"/>
              </w:rPr>
              <w:t>equipment, net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Bank-owned life insurance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Other noninterest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noninterest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Salaries and employee benefits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5,329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5,203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15,756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 and equipment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Data processing fees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Marketing expense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acquisition and collection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FDIC insurance premiums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 amortization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Other noninterest expense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noninterest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16,563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3,932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3,461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11,822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8,927,544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8,830,442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8,897,633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9,143,177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8,893,534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9,133,515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8,963,483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color w:val="auto"/>
                <w:w w:val="90"/>
              </w:rPr>
              <w:t>Three Months Ended March 31,</w:t>
            </w:r>
          </w:p>
        </w:tc>
        <w:tc>
          <w:tcPr>
            <w:tcW w:w="120" w:type="dxa"/>
            <w:vAlign w:val="bottom"/>
          </w:tcPr>
          <w:p>
            <w:pPr>
              <w:spacing w:after="0"/>
              <w:rPr>
                <w:sz w:val="20"/>
                <w:szCs w:val="20"/>
                <w:color w:val="auto"/>
              </w:rPr>
            </w:pPr>
          </w:p>
        </w:tc>
        <w:tc>
          <w:tcPr>
            <w:tcW w:w="2480" w:type="dxa"/>
            <w:vAlign w:val="bottom"/>
            <w:gridSpan w:val="6"/>
          </w:tcPr>
          <w:p>
            <w:pPr>
              <w:jc w:val="right"/>
              <w:ind w:right="240"/>
              <w:spacing w:after="0"/>
              <w:rPr>
                <w:sz w:val="20"/>
                <w:szCs w:val="20"/>
                <w:color w:val="auto"/>
              </w:rPr>
            </w:pPr>
            <w:r>
              <w:rPr>
                <w:rFonts w:ascii="Arial" w:cs="Arial" w:eastAsia="Arial" w:hAnsi="Arial"/>
                <w:sz w:val="18"/>
                <w:szCs w:val="18"/>
                <w:color w:val="auto"/>
                <w:w w:val="91"/>
              </w:rPr>
              <w:t>Nine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11,822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before tax:</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Available-for-sale securities: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net unrealized loss on available-for-sale securities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Derivatives and hedging activities: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accumulated gain on effective cash flow hedges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20"/>
              <w:spacing w:after="0"/>
              <w:rPr>
                <w:sz w:val="20"/>
                <w:szCs w:val="20"/>
                <w:color w:val="auto"/>
              </w:rPr>
            </w:pPr>
            <w:r>
              <w:rPr>
                <w:rFonts w:ascii="Arial" w:cs="Arial" w:eastAsia="Arial" w:hAnsi="Arial"/>
                <w:sz w:val="18"/>
                <w:szCs w:val="18"/>
                <w:color w:val="auto"/>
              </w:rPr>
              <w:t>Reclassification adjustments included in interest expense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derivatives and hedging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Total other comprehensive (loss) income, before tax</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tax benefit (expense) related to other comprehensive (loss)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11,692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NORTHEAST BANCORP AND SUBSIDIARY</w:t>
      </w:r>
    </w:p>
    <w:p>
      <w:pPr>
        <w:spacing w:after="0" w:line="23" w:lineRule="exact"/>
        <w:rPr>
          <w:sz w:val="20"/>
          <w:szCs w:val="20"/>
          <w:color w:val="auto"/>
        </w:rPr>
      </w:pPr>
    </w:p>
    <w:p>
      <w:pPr>
        <w:ind w:right="5480"/>
        <w:spacing w:after="0" w:line="250" w:lineRule="auto"/>
        <w:rPr>
          <w:sz w:val="20"/>
          <w:szCs w:val="20"/>
          <w:color w:val="auto"/>
        </w:rPr>
      </w:pPr>
      <w:r>
        <w:rPr>
          <w:rFonts w:ascii="Arial" w:cs="Arial" w:eastAsia="Arial" w:hAnsi="Arial"/>
          <w:sz w:val="18"/>
          <w:szCs w:val="18"/>
          <w:i w:val="1"/>
          <w:iCs w:val="1"/>
          <w:color w:val="auto"/>
        </w:rPr>
        <w:t>CONSOLIDATED STATEMENTS OF CHANGES IN SHAREHOLDERS’ EQUITY (Unaudited)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6"/>
              </w:rPr>
              <w:t>Accumulated</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60" w:type="dxa"/>
            <w:vAlign w:val="bottom"/>
            <w:gridSpan w:val="3"/>
            <w:vMerge w:val="restart"/>
          </w:tcPr>
          <w:p>
            <w:pPr>
              <w:jc w:val="right"/>
              <w:ind w:right="308"/>
              <w:spacing w:after="0"/>
              <w:rPr>
                <w:sz w:val="20"/>
                <w:szCs w:val="20"/>
                <w:color w:val="auto"/>
              </w:rPr>
            </w:pPr>
            <w:r>
              <w:rPr>
                <w:rFonts w:ascii="Arial" w:cs="Arial" w:eastAsia="Arial" w:hAnsi="Arial"/>
                <w:sz w:val="14"/>
                <w:szCs w:val="14"/>
                <w:color w:val="auto"/>
              </w:rPr>
              <w:t>Preferred Stock</w:t>
            </w:r>
          </w:p>
        </w:tc>
        <w:tc>
          <w:tcPr>
            <w:tcW w:w="320" w:type="dxa"/>
            <w:vAlign w:val="bottom"/>
          </w:tcPr>
          <w:p>
            <w:pPr>
              <w:spacing w:after="0"/>
              <w:rPr>
                <w:sz w:val="14"/>
                <w:szCs w:val="14"/>
                <w:color w:val="auto"/>
              </w:rPr>
            </w:pPr>
          </w:p>
        </w:tc>
        <w:tc>
          <w:tcPr>
            <w:tcW w:w="1960" w:type="dxa"/>
            <w:vAlign w:val="bottom"/>
            <w:gridSpan w:val="3"/>
            <w:vMerge w:val="restart"/>
          </w:tcPr>
          <w:p>
            <w:pPr>
              <w:jc w:val="right"/>
              <w:ind w:right="328"/>
              <w:spacing w:after="0"/>
              <w:rPr>
                <w:sz w:val="20"/>
                <w:szCs w:val="20"/>
                <w:color w:val="auto"/>
              </w:rPr>
            </w:pPr>
            <w:r>
              <w:rPr>
                <w:rFonts w:ascii="Arial" w:cs="Arial" w:eastAsia="Arial" w:hAnsi="Arial"/>
                <w:sz w:val="14"/>
                <w:szCs w:val="14"/>
                <w:color w:val="auto"/>
              </w:rPr>
              <w:t>Voting Common Stock</w:t>
            </w:r>
          </w:p>
        </w:tc>
        <w:tc>
          <w:tcPr>
            <w:tcW w:w="1960" w:type="dxa"/>
            <w:vAlign w:val="bottom"/>
            <w:gridSpan w:val="4"/>
            <w:vMerge w:val="restart"/>
          </w:tcPr>
          <w:p>
            <w:pPr>
              <w:jc w:val="right"/>
              <w:ind w:right="220"/>
              <w:spacing w:after="0"/>
              <w:rPr>
                <w:sz w:val="20"/>
                <w:szCs w:val="20"/>
                <w:color w:val="auto"/>
              </w:rPr>
            </w:pPr>
            <w:r>
              <w:rPr>
                <w:rFonts w:ascii="Arial" w:cs="Arial" w:eastAsia="Arial" w:hAnsi="Arial"/>
                <w:sz w:val="14"/>
                <w:szCs w:val="14"/>
                <w:color w:val="auto"/>
              </w:rPr>
              <w:t>Non-voting Common Stock</w:t>
            </w:r>
          </w:p>
        </w:tc>
        <w:tc>
          <w:tcPr>
            <w:tcW w:w="1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w w:val="97"/>
              </w:rPr>
              <w:t>Additional</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center"/>
              <w:ind w:right="228"/>
              <w:spacing w:after="0"/>
              <w:rPr>
                <w:sz w:val="20"/>
                <w:szCs w:val="20"/>
                <w:color w:val="auto"/>
              </w:rPr>
            </w:pPr>
            <w:r>
              <w:rPr>
                <w:rFonts w:ascii="Arial" w:cs="Arial" w:eastAsia="Arial" w:hAnsi="Arial"/>
                <w:sz w:val="14"/>
                <w:szCs w:val="14"/>
                <w:color w:val="auto"/>
                <w:w w:val="96"/>
              </w:rPr>
              <w:t>Other</w:t>
            </w:r>
          </w:p>
        </w:tc>
        <w:tc>
          <w:tcPr>
            <w:tcW w:w="22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960" w:type="dxa"/>
            <w:vAlign w:val="bottom"/>
            <w:gridSpan w:val="3"/>
            <w:vMerge w:val="continue"/>
          </w:tcPr>
          <w:p>
            <w:pPr>
              <w:spacing w:after="0"/>
              <w:rPr>
                <w:sz w:val="13"/>
                <w:szCs w:val="13"/>
                <w:color w:val="auto"/>
              </w:rPr>
            </w:pPr>
          </w:p>
        </w:tc>
        <w:tc>
          <w:tcPr>
            <w:tcW w:w="196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248"/>
              <w:spacing w:after="0" w:line="154" w:lineRule="exact"/>
              <w:rPr>
                <w:sz w:val="20"/>
                <w:szCs w:val="20"/>
                <w:color w:val="auto"/>
              </w:rPr>
            </w:pPr>
            <w:r>
              <w:rPr>
                <w:rFonts w:ascii="Arial" w:cs="Arial" w:eastAsia="Arial" w:hAnsi="Arial"/>
                <w:sz w:val="14"/>
                <w:szCs w:val="14"/>
                <w:color w:val="auto"/>
              </w:rPr>
              <w:t>Paid-in</w:t>
            </w:r>
          </w:p>
        </w:tc>
        <w:tc>
          <w:tcPr>
            <w:tcW w:w="180" w:type="dxa"/>
            <w:vAlign w:val="bottom"/>
          </w:tcPr>
          <w:p>
            <w:pPr>
              <w:spacing w:after="0"/>
              <w:rPr>
                <w:sz w:val="13"/>
                <w:szCs w:val="13"/>
                <w:color w:val="auto"/>
              </w:rPr>
            </w:pPr>
          </w:p>
        </w:tc>
        <w:tc>
          <w:tcPr>
            <w:tcW w:w="820" w:type="dxa"/>
            <w:vAlign w:val="bottom"/>
          </w:tcPr>
          <w:p>
            <w:pPr>
              <w:jc w:val="right"/>
              <w:ind w:right="208"/>
              <w:spacing w:after="0" w:line="154" w:lineRule="exact"/>
              <w:rPr>
                <w:sz w:val="20"/>
                <w:szCs w:val="20"/>
                <w:color w:val="auto"/>
              </w:rPr>
            </w:pPr>
            <w:r>
              <w:rPr>
                <w:rFonts w:ascii="Arial" w:cs="Arial" w:eastAsia="Arial" w:hAnsi="Arial"/>
                <w:sz w:val="14"/>
                <w:szCs w:val="14"/>
                <w:color w:val="auto"/>
                <w:w w:val="92"/>
              </w:rPr>
              <w:t>Retained</w:t>
            </w:r>
          </w:p>
        </w:tc>
        <w:tc>
          <w:tcPr>
            <w:tcW w:w="1100" w:type="dxa"/>
            <w:vAlign w:val="bottom"/>
            <w:gridSpan w:val="2"/>
          </w:tcPr>
          <w:p>
            <w:pPr>
              <w:ind w:left="80"/>
              <w:spacing w:after="0" w:line="154" w:lineRule="exact"/>
              <w:rPr>
                <w:sz w:val="20"/>
                <w:szCs w:val="20"/>
                <w:color w:val="auto"/>
              </w:rPr>
            </w:pPr>
            <w:r>
              <w:rPr>
                <w:rFonts w:ascii="Arial" w:cs="Arial" w:eastAsia="Arial" w:hAnsi="Arial"/>
                <w:sz w:val="14"/>
                <w:szCs w:val="14"/>
                <w:color w:val="auto"/>
              </w:rPr>
              <w:t>Comprehensive</w:t>
            </w:r>
          </w:p>
        </w:tc>
        <w:tc>
          <w:tcPr>
            <w:tcW w:w="980" w:type="dxa"/>
            <w:vAlign w:val="bottom"/>
            <w:gridSpan w:val="3"/>
          </w:tcPr>
          <w:p>
            <w:pPr>
              <w:ind w:left="100"/>
              <w:spacing w:after="0" w:line="154"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color w:val="auto"/>
                <w:w w:val="99"/>
              </w:rPr>
              <w:t>Shares</w:t>
            </w: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Amount</w:t>
            </w: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68"/>
              <w:spacing w:after="0" w:line="142" w:lineRule="exact"/>
              <w:rPr>
                <w:sz w:val="20"/>
                <w:szCs w:val="20"/>
                <w:color w:val="auto"/>
              </w:rPr>
            </w:pPr>
            <w:r>
              <w:rPr>
                <w:rFonts w:ascii="Arial" w:cs="Arial" w:eastAsia="Arial" w:hAnsi="Arial"/>
                <w:sz w:val="14"/>
                <w:szCs w:val="14"/>
                <w:color w:val="auto"/>
              </w:rPr>
              <w:t>Shares</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Amount</w:t>
            </w:r>
          </w:p>
        </w:tc>
        <w:tc>
          <w:tcPr>
            <w:tcW w:w="960" w:type="dxa"/>
            <w:vAlign w:val="bottom"/>
            <w:tcBorders>
              <w:top w:val="single" w:sz="8" w:color="auto"/>
            </w:tcBorders>
          </w:tcPr>
          <w:p>
            <w:pPr>
              <w:jc w:val="right"/>
              <w:ind w:right="268"/>
              <w:spacing w:after="0" w:line="142" w:lineRule="exact"/>
              <w:rPr>
                <w:sz w:val="20"/>
                <w:szCs w:val="20"/>
                <w:color w:val="auto"/>
              </w:rPr>
            </w:pPr>
            <w:r>
              <w:rPr>
                <w:rFonts w:ascii="Arial" w:cs="Arial" w:eastAsia="Arial" w:hAnsi="Arial"/>
                <w:sz w:val="14"/>
                <w:szCs w:val="14"/>
                <w:color w:val="auto"/>
              </w:rPr>
              <w:t>Shares</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248"/>
              <w:spacing w:after="0" w:line="142" w:lineRule="exact"/>
              <w:rPr>
                <w:sz w:val="20"/>
                <w:szCs w:val="20"/>
                <w:color w:val="auto"/>
              </w:rPr>
            </w:pPr>
            <w:r>
              <w:rPr>
                <w:rFonts w:ascii="Arial" w:cs="Arial" w:eastAsia="Arial" w:hAnsi="Arial"/>
                <w:sz w:val="14"/>
                <w:szCs w:val="14"/>
                <w:color w:val="auto"/>
              </w:rPr>
              <w:t>Capital</w:t>
            </w:r>
          </w:p>
        </w:tc>
        <w:tc>
          <w:tcPr>
            <w:tcW w:w="180" w:type="dxa"/>
            <w:vAlign w:val="bottom"/>
          </w:tcPr>
          <w:p>
            <w:pPr>
              <w:spacing w:after="0"/>
              <w:rPr>
                <w:sz w:val="12"/>
                <w:szCs w:val="12"/>
                <w:color w:val="auto"/>
              </w:rPr>
            </w:pPr>
          </w:p>
        </w:tc>
        <w:tc>
          <w:tcPr>
            <w:tcW w:w="820" w:type="dxa"/>
            <w:vAlign w:val="bottom"/>
          </w:tcPr>
          <w:p>
            <w:pPr>
              <w:jc w:val="right"/>
              <w:ind w:right="208"/>
              <w:spacing w:after="0" w:line="142" w:lineRule="exact"/>
              <w:rPr>
                <w:sz w:val="20"/>
                <w:szCs w:val="20"/>
                <w:color w:val="auto"/>
              </w:rPr>
            </w:pPr>
            <w:r>
              <w:rPr>
                <w:rFonts w:ascii="Arial" w:cs="Arial" w:eastAsia="Arial" w:hAnsi="Arial"/>
                <w:sz w:val="14"/>
                <w:szCs w:val="14"/>
                <w:color w:val="auto"/>
                <w:w w:val="94"/>
              </w:rPr>
              <w:t>Earnings</w:t>
            </w:r>
          </w:p>
        </w:tc>
        <w:tc>
          <w:tcPr>
            <w:tcW w:w="260" w:type="dxa"/>
            <w:vAlign w:val="bottom"/>
          </w:tcPr>
          <w:p>
            <w:pPr>
              <w:spacing w:after="0"/>
              <w:rPr>
                <w:sz w:val="12"/>
                <w:szCs w:val="12"/>
                <w:color w:val="auto"/>
              </w:rPr>
            </w:pPr>
          </w:p>
        </w:tc>
        <w:tc>
          <w:tcPr>
            <w:tcW w:w="840" w:type="dxa"/>
            <w:vAlign w:val="bottom"/>
          </w:tcPr>
          <w:p>
            <w:pPr>
              <w:jc w:val="center"/>
              <w:ind w:right="228"/>
              <w:spacing w:after="0" w:line="142" w:lineRule="exact"/>
              <w:rPr>
                <w:sz w:val="20"/>
                <w:szCs w:val="20"/>
                <w:color w:val="auto"/>
              </w:rPr>
            </w:pPr>
            <w:r>
              <w:rPr>
                <w:rFonts w:ascii="Arial" w:cs="Arial" w:eastAsia="Arial" w:hAnsi="Arial"/>
                <w:sz w:val="14"/>
                <w:szCs w:val="14"/>
                <w:color w:val="auto"/>
                <w:w w:val="87"/>
              </w:rPr>
              <w:t>Loss</w:t>
            </w:r>
          </w:p>
        </w:tc>
        <w:tc>
          <w:tcPr>
            <w:tcW w:w="220" w:type="dxa"/>
            <w:vAlign w:val="bottom"/>
          </w:tcPr>
          <w:p>
            <w:pPr>
              <w:spacing w:after="0"/>
              <w:rPr>
                <w:sz w:val="12"/>
                <w:szCs w:val="12"/>
                <w:color w:val="auto"/>
              </w:rPr>
            </w:pPr>
          </w:p>
        </w:tc>
        <w:tc>
          <w:tcPr>
            <w:tcW w:w="76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Balance at June 30,</w:t>
            </w: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2016</w:t>
            </w: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8,089,790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8,089</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1,227,683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1,228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26,160</w:t>
            </w:r>
          </w:p>
        </w:tc>
        <w:tc>
          <w:tcPr>
            <w:tcW w:w="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(1,906)</w:t>
            </w:r>
          </w:p>
        </w:tc>
        <w:tc>
          <w:tcPr>
            <w:tcW w:w="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116,591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Net income</w:t>
            </w:r>
          </w:p>
        </w:tc>
        <w:tc>
          <w:tcPr>
            <w:tcW w:w="2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spacing w:after="0"/>
              <w:rPr>
                <w:sz w:val="12"/>
                <w:szCs w:val="12"/>
                <w:color w:val="auto"/>
              </w:rPr>
            </w:pPr>
          </w:p>
        </w:tc>
        <w:tc>
          <w:tcPr>
            <w:tcW w:w="3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8,312</w:t>
            </w:r>
          </w:p>
        </w:tc>
        <w:tc>
          <w:tcPr>
            <w:tcW w:w="26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Other</w:t>
            </w: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comprehensive</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net of</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tax</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Common stock</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gridSpan w:val="2"/>
          </w:tcPr>
          <w:p>
            <w:pPr>
              <w:ind w:left="320"/>
              <w:spacing w:after="0"/>
              <w:rPr>
                <w:sz w:val="20"/>
                <w:szCs w:val="20"/>
                <w:color w:val="auto"/>
              </w:rPr>
            </w:pPr>
            <w:r>
              <w:rPr>
                <w:rFonts w:ascii="Arial" w:cs="Arial" w:eastAsia="Arial" w:hAnsi="Arial"/>
                <w:sz w:val="14"/>
                <w:szCs w:val="14"/>
                <w:color w:val="auto"/>
              </w:rPr>
              <w:t>repurchased</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(645,238)</w:t>
            </w:r>
          </w:p>
        </w:tc>
        <w:tc>
          <w:tcPr>
            <w:tcW w:w="20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(645)</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(6,298)</w:t>
            </w:r>
          </w:p>
        </w:tc>
        <w:tc>
          <w:tcPr>
            <w:tcW w:w="1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(6,943)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Conversions</w:t>
            </w: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between voting</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common stock</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and non-</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voting</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common stock,</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net</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236,489</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237</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(236,489)</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(237)</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Dividends on</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common stock</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at $0.03 per</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gridSpan w:val="2"/>
          </w:tcPr>
          <w:p>
            <w:pPr>
              <w:ind w:left="320"/>
              <w:spacing w:after="0"/>
              <w:rPr>
                <w:sz w:val="20"/>
                <w:szCs w:val="20"/>
                <w:color w:val="auto"/>
              </w:rPr>
            </w:pPr>
            <w:r>
              <w:rPr>
                <w:rFonts w:ascii="Arial" w:cs="Arial" w:eastAsia="Arial" w:hAnsi="Arial"/>
                <w:sz w:val="14"/>
                <w:szCs w:val="14"/>
                <w:color w:val="auto"/>
              </w:rPr>
              <w:t>share</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(268)</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Stock-based</w:t>
            </w: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compensation</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689</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Issuance of</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restricted</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gridSpan w:val="2"/>
          </w:tcPr>
          <w:p>
            <w:pPr>
              <w:ind w:left="320"/>
              <w:spacing w:after="0"/>
              <w:rPr>
                <w:sz w:val="20"/>
                <w:szCs w:val="20"/>
                <w:color w:val="auto"/>
              </w:rPr>
            </w:pPr>
            <w:r>
              <w:rPr>
                <w:rFonts w:ascii="Arial" w:cs="Arial" w:eastAsia="Arial" w:hAnsi="Arial"/>
                <w:sz w:val="14"/>
                <w:szCs w:val="14"/>
                <w:color w:val="auto"/>
              </w:rPr>
              <w:t>common stock</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160,000</w:t>
            </w:r>
          </w:p>
        </w:tc>
        <w:tc>
          <w:tcPr>
            <w:tcW w:w="20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160</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(160)</w:t>
            </w:r>
          </w:p>
        </w:tc>
        <w:tc>
          <w:tcPr>
            <w:tcW w:w="1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Cancellation and</w:t>
            </w: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forfeiture of</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restricted</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common stock</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(16,956)</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Other tax-related</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APIC</w:t>
            </w:r>
          </w:p>
        </w:tc>
        <w:tc>
          <w:tcPr>
            <w:tcW w:w="2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2"/>
                <w:szCs w:val="12"/>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320" w:type="dxa"/>
            <w:vAlign w:val="bottom"/>
          </w:tcPr>
          <w:p>
            <w:pPr>
              <w:ind w:left="320"/>
              <w:spacing w:after="0" w:line="154" w:lineRule="exact"/>
              <w:rPr>
                <w:sz w:val="20"/>
                <w:szCs w:val="20"/>
                <w:color w:val="auto"/>
              </w:rPr>
            </w:pPr>
            <w:r>
              <w:rPr>
                <w:rFonts w:ascii="Arial" w:cs="Arial" w:eastAsia="Arial" w:hAnsi="Arial"/>
                <w:sz w:val="14"/>
                <w:szCs w:val="14"/>
                <w:color w:val="auto"/>
              </w:rPr>
              <w:t>adjustment</w:t>
            </w:r>
          </w:p>
        </w:tc>
        <w:tc>
          <w:tcPr>
            <w:tcW w:w="68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32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Balance at March</w:t>
            </w:r>
          </w:p>
        </w:tc>
        <w:tc>
          <w:tcPr>
            <w:tcW w:w="6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7,824,085</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7,824</w:t>
            </w:r>
          </w:p>
        </w:tc>
        <w:tc>
          <w:tcPr>
            <w:tcW w:w="96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991,194</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991</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77,249</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34,204</w:t>
            </w:r>
          </w:p>
        </w:tc>
        <w:tc>
          <w:tcPr>
            <w:tcW w:w="260" w:type="dxa"/>
            <w:vAlign w:val="bottom"/>
            <w:tcBorders>
              <w:top w:val="single" w:sz="8" w:color="auto"/>
            </w:tcBorders>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(1,593)</w:t>
            </w:r>
          </w:p>
        </w:tc>
        <w:tc>
          <w:tcPr>
            <w:tcW w:w="220" w:type="dxa"/>
            <w:vAlign w:val="bottom"/>
            <w:tcBorders>
              <w:top w:val="single" w:sz="8" w:color="auto"/>
            </w:tcBorders>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118,675</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tcBorders>
              <w:bottom w:val="single" w:sz="8" w:color="CCEEFF"/>
            </w:tcBorders>
            <w:shd w:val="clear" w:color="auto" w:fill="CCEEFF"/>
          </w:tcPr>
          <w:p>
            <w:pPr>
              <w:ind w:left="160"/>
              <w:spacing w:after="0" w:line="121" w:lineRule="exact"/>
              <w:rPr>
                <w:sz w:val="20"/>
                <w:szCs w:val="20"/>
                <w:color w:val="auto"/>
              </w:rPr>
            </w:pPr>
            <w:r>
              <w:rPr>
                <w:rFonts w:ascii="Arial" w:cs="Arial" w:eastAsia="Arial" w:hAnsi="Arial"/>
                <w:sz w:val="13"/>
                <w:szCs w:val="13"/>
                <w:color w:val="auto"/>
              </w:rPr>
              <w:t>31, 2017</w:t>
            </w:r>
          </w:p>
        </w:tc>
        <w:tc>
          <w:tcPr>
            <w:tcW w:w="68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320" w:type="dxa"/>
            <w:vAlign w:val="bottom"/>
            <w:tcBorders>
              <w:bottom w:val="single" w:sz="8" w:color="auto"/>
            </w:tcBorders>
            <w:vMerge w:val="continue"/>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gridSpan w:val="2"/>
            <w:vMerge w:val="continue"/>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26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Balance at June 30,</w:t>
            </w: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2017</w:t>
            </w: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7,840,460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7,841</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991,194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991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77,455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38,142</w:t>
            </w:r>
          </w:p>
        </w:tc>
        <w:tc>
          <w:tcPr>
            <w:tcW w:w="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(1,632)</w:t>
            </w:r>
          </w:p>
        </w:tc>
        <w:tc>
          <w:tcPr>
            <w:tcW w:w="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122,797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Net income</w:t>
            </w:r>
          </w:p>
        </w:tc>
        <w:tc>
          <w:tcPr>
            <w:tcW w:w="2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spacing w:after="0"/>
              <w:rPr>
                <w:sz w:val="12"/>
                <w:szCs w:val="12"/>
                <w:color w:val="auto"/>
              </w:rPr>
            </w:pPr>
          </w:p>
        </w:tc>
        <w:tc>
          <w:tcPr>
            <w:tcW w:w="3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11,822</w:t>
            </w:r>
          </w:p>
        </w:tc>
        <w:tc>
          <w:tcPr>
            <w:tcW w:w="26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11,822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Other</w:t>
            </w: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comprehensive</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loss, net of tax</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Conversions</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between voting</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common stock</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and non-</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voting</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common stock,</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gridSpan w:val="2"/>
          </w:tcPr>
          <w:p>
            <w:pPr>
              <w:ind w:left="320"/>
              <w:spacing w:after="0"/>
              <w:rPr>
                <w:sz w:val="20"/>
                <w:szCs w:val="20"/>
                <w:color w:val="auto"/>
              </w:rPr>
            </w:pPr>
            <w:r>
              <w:rPr>
                <w:rFonts w:ascii="Arial" w:cs="Arial" w:eastAsia="Arial" w:hAnsi="Arial"/>
                <w:sz w:val="14"/>
                <w:szCs w:val="14"/>
                <w:color w:val="auto"/>
              </w:rPr>
              <w:t>net</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82,464</w:t>
            </w:r>
          </w:p>
        </w:tc>
        <w:tc>
          <w:tcPr>
            <w:tcW w:w="20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83</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(82,464)</w:t>
            </w:r>
          </w:p>
        </w:tc>
        <w:tc>
          <w:tcPr>
            <w:tcW w:w="2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(83)</w:t>
            </w:r>
          </w:p>
        </w:tc>
        <w:tc>
          <w:tcPr>
            <w:tcW w:w="16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Dividends on</w:t>
            </w: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common stock</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at $0.03 per</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share</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(266)</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Stock-based</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gridSpan w:val="2"/>
          </w:tcPr>
          <w:p>
            <w:pPr>
              <w:ind w:left="320"/>
              <w:spacing w:after="0"/>
              <w:rPr>
                <w:sz w:val="20"/>
                <w:szCs w:val="20"/>
                <w:color w:val="auto"/>
              </w:rPr>
            </w:pPr>
            <w:r>
              <w:rPr>
                <w:rFonts w:ascii="Arial" w:cs="Arial" w:eastAsia="Arial" w:hAnsi="Arial"/>
                <w:sz w:val="14"/>
                <w:szCs w:val="14"/>
                <w:color w:val="auto"/>
              </w:rPr>
              <w:t>compensation</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635</w:t>
            </w:r>
          </w:p>
        </w:tc>
        <w:tc>
          <w:tcPr>
            <w:tcW w:w="1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Issuance of</w:t>
            </w: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restricted</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common stock</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22,000</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Cancellation and</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forfeiture of</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restricted</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gridSpan w:val="2"/>
          </w:tcPr>
          <w:p>
            <w:pPr>
              <w:ind w:left="320"/>
              <w:spacing w:after="0"/>
              <w:rPr>
                <w:sz w:val="20"/>
                <w:szCs w:val="20"/>
                <w:color w:val="auto"/>
              </w:rPr>
            </w:pPr>
            <w:r>
              <w:rPr>
                <w:rFonts w:ascii="Arial" w:cs="Arial" w:eastAsia="Arial" w:hAnsi="Arial"/>
                <w:sz w:val="14"/>
                <w:szCs w:val="14"/>
                <w:color w:val="auto"/>
              </w:rPr>
              <w:t>common stock</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(39,630)</w:t>
            </w:r>
          </w:p>
        </w:tc>
        <w:tc>
          <w:tcPr>
            <w:tcW w:w="20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1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Stock options</w:t>
            </w: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exercised, net</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111,375</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111</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(1,084)</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(973)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0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Adjustment for</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adoption of</w:t>
            </w:r>
          </w:p>
        </w:tc>
        <w:tc>
          <w:tcPr>
            <w:tcW w:w="2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2"/>
                <w:szCs w:val="12"/>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283</w:t>
            </w:r>
          </w:p>
        </w:tc>
        <w:tc>
          <w:tcPr>
            <w:tcW w:w="26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(283)</w:t>
            </w: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320" w:type="dxa"/>
            <w:vAlign w:val="bottom"/>
          </w:tcPr>
          <w:p>
            <w:pPr>
              <w:ind w:left="320"/>
              <w:spacing w:after="0" w:line="154" w:lineRule="exact"/>
              <w:rPr>
                <w:sz w:val="20"/>
                <w:szCs w:val="20"/>
                <w:color w:val="auto"/>
              </w:rPr>
            </w:pPr>
            <w:r>
              <w:rPr>
                <w:rFonts w:ascii="Arial" w:cs="Arial" w:eastAsia="Arial" w:hAnsi="Arial"/>
                <w:sz w:val="14"/>
                <w:szCs w:val="14"/>
                <w:color w:val="auto"/>
              </w:rPr>
              <w:t>ASU 2018-02</w:t>
            </w:r>
          </w:p>
        </w:tc>
        <w:tc>
          <w:tcPr>
            <w:tcW w:w="6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Balance at March</w:t>
            </w:r>
          </w:p>
        </w:tc>
        <w:tc>
          <w:tcPr>
            <w:tcW w:w="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8,016,669</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8,017</w:t>
            </w:r>
          </w:p>
        </w:tc>
        <w:tc>
          <w:tcPr>
            <w:tcW w:w="9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908,730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908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76,926</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49,981</w:t>
            </w:r>
          </w:p>
        </w:tc>
        <w:tc>
          <w:tcPr>
            <w:tcW w:w="2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(2,045)</w:t>
            </w:r>
          </w:p>
        </w:tc>
        <w:tc>
          <w:tcPr>
            <w:tcW w:w="22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133,787</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tcBorders>
              <w:bottom w:val="single" w:sz="8" w:color="CCEEFF"/>
            </w:tcBorders>
            <w:shd w:val="clear" w:color="auto" w:fill="CCEEFF"/>
          </w:tcPr>
          <w:p>
            <w:pPr>
              <w:ind w:left="160"/>
              <w:spacing w:after="0" w:line="121" w:lineRule="exact"/>
              <w:rPr>
                <w:sz w:val="20"/>
                <w:szCs w:val="20"/>
                <w:color w:val="auto"/>
              </w:rPr>
            </w:pPr>
            <w:r>
              <w:rPr>
                <w:rFonts w:ascii="Arial" w:cs="Arial" w:eastAsia="Arial" w:hAnsi="Arial"/>
                <w:sz w:val="13"/>
                <w:szCs w:val="13"/>
                <w:color w:val="auto"/>
              </w:rPr>
              <w:t>31, 2018</w:t>
            </w:r>
          </w:p>
        </w:tc>
        <w:tc>
          <w:tcPr>
            <w:tcW w:w="68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320" w:type="dxa"/>
            <w:vAlign w:val="bottom"/>
            <w:tcBorders>
              <w:bottom w:val="single" w:sz="8" w:color="auto"/>
            </w:tcBorders>
            <w:vMerge w:val="continue"/>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gridSpan w:val="2"/>
            <w:vMerge w:val="continue"/>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26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6"/>
          </w:tcPr>
          <w:p>
            <w:pPr>
              <w:jc w:val="right"/>
              <w:ind w:right="580"/>
              <w:spacing w:after="0"/>
              <w:rPr>
                <w:sz w:val="20"/>
                <w:szCs w:val="20"/>
                <w:color w:val="auto"/>
              </w:rPr>
            </w:pPr>
            <w:r>
              <w:rPr>
                <w:rFonts w:ascii="Arial" w:cs="Arial" w:eastAsia="Arial" w:hAnsi="Arial"/>
                <w:sz w:val="18"/>
                <w:szCs w:val="18"/>
                <w:color w:val="auto"/>
                <w:w w:val="99"/>
              </w:rPr>
              <w:t>Nine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11,822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Provision for loan losses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1,156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sale and impairment of real estate owned and other repossessed collateral, net</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Loss on sale and disposal of premises and equipment, net</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Accretion of fair value adjustments on loans, net</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Accretion of fair value adjustments on deposits, net</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Accretion of fair value adjustments on borrowings, net</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Amortization of subordinated debt issuance costs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Originations of loans held for sale</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(68,622)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Net proceeds from sales of loans held for sale</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75,146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116,651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sales of residential loans held for sale</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Gain on sales of SBA and other loans held for sale</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(2,458)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decrease in loan servicing rights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Amortization of intangible assets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Bank-owned life insurance income, net</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Depreciation of premises and equipment</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Deferred income tax expense</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premiums on available-for-sale securities, net</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Changes in other assets and liabilities: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80"/>
              <w:spacing w:after="0"/>
              <w:rPr>
                <w:sz w:val="20"/>
                <w:szCs w:val="20"/>
                <w:color w:val="auto"/>
              </w:rPr>
            </w:pPr>
            <w:r>
              <w:rPr>
                <w:rFonts w:ascii="Arial" w:cs="Arial" w:eastAsia="Arial" w:hAnsi="Arial"/>
                <w:sz w:val="18"/>
                <w:szCs w:val="18"/>
                <w:color w:val="auto"/>
              </w:rPr>
              <w:t>Other liabilities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(2,759)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Investing activities:</w:t>
            </w:r>
          </w:p>
        </w:tc>
        <w:tc>
          <w:tcPr>
            <w:tcW w:w="7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available-for-sale securities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Proceeds from maturities and principal payments on available-for-sale securities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20,913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purchases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Loan originations, principal collections, and purchased loan paydowns, net</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36,397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and disposals of premises and equipment, net</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Redemption of Federal Home Loan Bank stock</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real estate owned and other repossessed collateral</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(28,749)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(43,413)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7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Net increase in deposits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86,430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Taxes paid for retirement of common stock and other tax-related APIC adjustment</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common stock</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Repayment of Federal Home Loan Bank advances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capital lease obligation</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Repurchases for tax withholdings on restricted common stock</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options exercised, net</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79,895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31,632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163,283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151,157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7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222,067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147,442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activities: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Transfers from loans to real estate owned and other repossessed collateral, net</w:t>
            </w: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1,338</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200" w:lineRule="exact"/>
        <w:rPr>
          <w:sz w:val="20"/>
          <w:szCs w:val="20"/>
          <w:color w:val="auto"/>
        </w:rPr>
      </w:pPr>
    </w:p>
    <w:p>
      <w:pPr>
        <w:spacing w:after="0" w:line="250"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accompanying unaudited interim consolidated financial statements include the accounts of Northeast Bancorp (“Northeast” or the “Company”) and its wholly-owned subsidiary, Northeast Bank (the “Bank”).</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These unaudited consolidated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notes required by GAAP for complete financial statements. In the opinion of management, the accompanying consolidated financial statements contain all adjustments (consisting principally of normal recurring accruals) considered necessary for a fair presentation of the Company's financial position, results of operations, and cash flows for the interim periods presented. These accompanying unaudited financial statements and notes should be read in conjunction with the audited consolidated financial statements and notes thereto for the fiscal year ended June 30, 2017 (“Fiscal 2017”) included in the Company's Annual Report on Form 10-K filed with the Securities and Exchange Commission.</w:t>
      </w:r>
    </w:p>
    <w:p>
      <w:pPr>
        <w:spacing w:after="0" w:line="200" w:lineRule="exact"/>
        <w:rPr>
          <w:sz w:val="20"/>
          <w:szCs w:val="20"/>
          <w:color w:val="auto"/>
        </w:rPr>
      </w:pPr>
    </w:p>
    <w:p>
      <w:pPr>
        <w:spacing w:after="0" w:line="206"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(“ASU 2014-09”). ASU 2014-09 implements a common revenue standard that clarifies the principles for recognizing revenue.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core principle of ASU 2014-09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ASU 2015-14,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2015-14”) was issued in August 2015 which defers adoption to annual reporting periods beginning after December 15, 2017. The timing of the Company’s revenue recognition is not expected to materially change. The Company’s largest portions of revenue, interest and fees on loans, interest and dividend income on securities and short-term investments, bank-owned life insurance income, and gain on sales of loans, are specifically excluded from the scope of the guidance. Additionally, fees for other services to customers includes loan servicing fee income which is accounted for under ASC Topic 860, </w:t>
      </w:r>
      <w:r>
        <w:rPr>
          <w:rFonts w:ascii="Arial" w:cs="Arial" w:eastAsia="Arial" w:hAnsi="Arial"/>
          <w:sz w:val="16"/>
          <w:szCs w:val="16"/>
          <w:i w:val="1"/>
          <w:iCs w:val="1"/>
          <w:color w:val="auto"/>
        </w:rPr>
        <w:t>Transfers and Servicing</w:t>
      </w:r>
      <w:r>
        <w:rPr>
          <w:rFonts w:ascii="Arial" w:cs="Arial" w:eastAsia="Arial" w:hAnsi="Arial"/>
          <w:sz w:val="16"/>
          <w:szCs w:val="16"/>
          <w:color w:val="auto"/>
        </w:rPr>
        <w:t>, (“Topic 860”), and is not subject to Topic 606. The other component of fees for other services to customers is deposit fees. The majority of the Company’s deposit fees are specifically related to a customer accessing its funds, in which case the revenue is currently recognized in a consistent manner with Topic 606. Revenue that is not specifically related to a customer accessing its funds (i.e. account maintenance fees), can be waived; however, the amount of waived fees is not considered material, and thus the revenue is consistently recognized with Topic 606. All other revenue is also recognized in a manner consistent with Topic 606. Because of the above, management believes that revenue recognized under the new guidance approximates revenue recognized under current GAAP.</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Liabilities </w:t>
      </w:r>
      <w:r>
        <w:rPr>
          <w:rFonts w:ascii="Arial" w:cs="Arial" w:eastAsia="Arial" w:hAnsi="Arial"/>
          <w:sz w:val="16"/>
          <w:szCs w:val="16"/>
          <w:color w:val="auto"/>
        </w:rPr>
        <w:t>(“ASU 2016-01”). This guidance changes how entities account for equity investments that do not result in consolidation and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under the equity method of accounting. Entities will be required to measure these investments at fair value at the end of each reporting period and recognize changes in fair value in net income. A practicability exception will be available for equity investments that do not have readily determinable fair values; however, the exception requires the Company to adjust the carrying amount for impairment and observable price changes in orderly transactions for the identical or a similar investment of the same issuer. This guidance also changes certain disclosure requirements and other aspects of current GAAP. This guidance is effective for fiscal years beginning after December 15, 2017, including interim periods within the fiscal year. Early adoption is permitted for only one of the six amendments. The impact of the change in equity investments will depend on market conditions, but if applied in fiscal 2018, would have resulted in a loss related to changes in fair value of equity investments of $112 thousand (pre-tax) being recognized in net income versus other comprehensive income. The disclosure of the fair value of “Loans, net” in “Notes to Unaudited Consolidated Financial Statements – Note 12: Fair Value Measurements” is subject to change at adoption of the guidance based on an exit pricing strategy versus an entry pricing strategy when determining the fair value. The Company is currently evaluating the amount of expected change in the disclosure, but the adoption does not impact the operations of the Company.</w:t>
      </w:r>
    </w:p>
    <w:p>
      <w:pPr>
        <w:spacing w:after="0" w:line="16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The new guidance establishes the principles to report transparent and economically neutral information about the assets and liabilities that arise from leases. Entities will be required to recognize the lease assets and lease liabilities that arise from leases in the statement of financial position and to disclose qualitative and quantitative information about lease transactions, such as information about variable lease payments and options to renew and terminate leases. This guidance is effective for fiscal years beginning after December 15, 2018, including interim periods within the fiscal year. The Company is currently evaluating the impact of the adoption of ASU 2016-02 to determine the potential impact it will have on its consolidated financial statements. The Company’s assets and liabilities will increase based on the present value of the remaining lease payments for leases in place at the adoption date; however, this is not expected to be material to the Company’s results of operations.</w:t>
      </w:r>
    </w:p>
    <w:p>
      <w:pPr>
        <w:sectPr>
          <w:pgSz w:w="11900" w:h="16838" w:orient="portrait"/>
          <w:cols w:equalWidth="0" w:num="1">
            <w:col w:w="11400"/>
          </w:cols>
          <w:pgMar w:left="240" w:top="118" w:right="259"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2016-09”). The new guidance simplified several aspects of the accounting for share-based payment transactions, including the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classification of awards as either equity or liabilities, and classification on the statement of cash flows. Entities are required to recognize the income tax effects of awards in the income statement when the awards vest or are settled. This guidance became effective for the Company for the fiscal year beginning July 1, 2017. For interim reporting purposes the excess tax benefits or deficiencies shall be recorded as discrete items in the period in which they occur. In addition to the excess tax benefit treatment, the amendment removed the assumed proceeds related to the excess tax benefit from the calculation of diluted shares.</w:t>
      </w:r>
    </w:p>
    <w:p>
      <w:pPr>
        <w:spacing w:after="0" w:line="18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Upon adoption, the most significant impact of this amendment resulted from the prospective application of current excess tax benefits and deficiencies being recognized in income tax expense, which would previously have been recognized in additional paid-in capital. In the nine months ended March 31, 2018, this item reduced income tax expense and increased net income by approximately $1.2 million, representing an income tax benefit arising from individuals who exercised non-qualified stock options and restricted stock awards that vested during the period. For the year ended June 30, 2017, the Company recognized $27 thousand in additional paid-in-capital related to the excess tax benefit, which, if under the new ASU, would have been recognized as an income tax benefit in the income statement. These amounts, treated as discrete items in the period in which they occur, will vary from year to year as a function of the volume of share-based payments vested or exercised and the then fair market value of the Company's stock in comparison to the compensation cost recognized in the financial statements. In addition to the excess tax benefit treatment, the amendment removed the assumed proceeds related to the excess tax benefit from the calculation of diluted shares which increased diluted weighted average common shares outstanding by 40,966 shares to 9,089,936. This amendment is applied on a prospective basis, and no prior periods were adjusted. Additionally upon adoption, the Company made a policy election to record forfeitures as they occur rather than make use of an estimate. The other provisions did not have a material impact on the Company's consolidated financial statements upon adoption.</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(“ASU 2016-13”). This guidance is intended to provide financial statement users with more decision-useful information about the expected credit losses on financial instruments and other commitments to extend credit held by a reporting entity at each reporting date. To achieve this objective, the amendments in this guidance replace the incurred loss impairment methodology in current GAAP with a methodology that reflects expected credit losses and requires consideration of a broader range of reasonable and supportable information to inform credit loss estimates. This ASU will be effective for fiscal years beginning after December 15, 2019. Early adoption is available as of the fiscal year beginning after December 15, 2018. The Company is evaluating the provisions of the guidance, and will closely monitor developments and additional guidance to determine the potential impact on the Company’s consolidated financial statements. Management is in the process of identifying the methodologies and the additional data requirements necessary to implement the guidance and plans to engage an existing third-party service provider to assist in implementation.</w:t>
      </w:r>
    </w:p>
    <w:p>
      <w:pPr>
        <w:spacing w:after="0" w:line="19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 – Stock Compensation (Topic 718): Scope of Modification Accounting</w:t>
      </w:r>
      <w:r>
        <w:rPr>
          <w:rFonts w:ascii="Arial" w:cs="Arial" w:eastAsia="Arial" w:hAnsi="Arial"/>
          <w:sz w:val="16"/>
          <w:szCs w:val="16"/>
          <w:color w:val="auto"/>
        </w:rPr>
        <w:t xml:space="preserve"> (“ASU 2017-09”) which amends the scope of modification accounting for share-based payment arrangements. This update provides guidance on the types of changes to the terms or conditions of share-based payment awards to which an entity would be required to apply modification accounting. Specifically, an entity would not apply modification accounting if the fair value, vesting conditions, and classification of the awards are the same immediately before and after the modification. This update is effective for public business entities for annual periods being after December 15, 2017, including interim periods within those annual periods. Early adoption is permitted including adopting in any interim period. This update should be applied prospectively to awards modified on or after the effective date. The adoption of this guidance is not expected to have an impact on the Company’s consolidated financial statements.</w:t>
      </w:r>
    </w:p>
    <w:p>
      <w:pPr>
        <w:spacing w:after="0" w:line="16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 815)</w:t>
      </w:r>
      <w:r>
        <w:rPr>
          <w:rFonts w:ascii="Arial" w:cs="Arial" w:eastAsia="Arial" w:hAnsi="Arial"/>
          <w:sz w:val="16"/>
          <w:szCs w:val="16"/>
          <w:color w:val="auto"/>
        </w:rPr>
        <w:t xml:space="preserve"> (“ASU 2017-12”). This guidance permits hedge accounting for risk components in hedging relationships involving nonfinancial risk and interest rate risk, and improves the financial reporting of hedging relationships to better portray the economic results of an entity’s risk management activities in its financial statements. The amendments in this guidance are effective for public business entities for fiscal years beginning after December 15, 2018, and interim periods within those fiscal years. Early adoption is permitted, including adoption in an interim period. The adoption of this guidance is not expected to have a significant impact on the Company’s consolidated financial statements.</w:t>
      </w:r>
    </w:p>
    <w:p>
      <w:pPr>
        <w:spacing w:after="0" w:line="15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 Reporting Comprehensive Income (Topic 220)</w:t>
      </w:r>
      <w:r>
        <w:rPr>
          <w:rFonts w:ascii="Arial" w:cs="Arial" w:eastAsia="Arial" w:hAnsi="Arial"/>
          <w:sz w:val="17"/>
          <w:szCs w:val="17"/>
          <w:color w:val="auto"/>
        </w:rPr>
        <w:t xml:space="preserve"> (“ASU 2018-02”). This guidance allows a reclassification from accumulated other comprehensive income to retained earnings for stranded tax effects resulting from the “Tax Cuts and Jobs Act,” which was signed into law in December 2017. The amendments in this guidance are effective for all entities for fiscal years beginning after December 15, 2018, and interim periods within those fiscal years. Early adoption is permitted, including adoption in an interim period. The Company adopted this guidance during the three months ended March 31, 2018. This adoption resulted in a reclassification of $283 thousand to accumulated other comprehensive income from retained earnings in the consolidated financial statements, with no net effect on shareholders' equity.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Available-for-Sale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a summary of the amortized cost, gross unrealized holding gains and losses, and fair value of available-for-sale securities.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8"/>
                <w:szCs w:val="18"/>
                <w:color w:val="auto"/>
                <w:w w:val="91"/>
              </w:rPr>
              <w:t>March 31, 2018</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left="30"/>
              <w:spacing w:after="0" w:line="195"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93"/>
              </w:rPr>
              <w:t>Amortized</w:t>
            </w:r>
          </w:p>
        </w:tc>
        <w:tc>
          <w:tcPr>
            <w:tcW w:w="220" w:type="dxa"/>
            <w:vAlign w:val="bottom"/>
          </w:tcPr>
          <w:p>
            <w:pPr>
              <w:spacing w:after="0"/>
              <w:rPr>
                <w:sz w:val="18"/>
                <w:szCs w:val="18"/>
                <w:color w:val="auto"/>
              </w:rPr>
            </w:pPr>
          </w:p>
        </w:tc>
        <w:tc>
          <w:tcPr>
            <w:tcW w:w="1060" w:type="dxa"/>
            <w:vAlign w:val="bottom"/>
          </w:tcPr>
          <w:p>
            <w:pPr>
              <w:jc w:val="center"/>
              <w:ind w:left="3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r>
      <w:tr>
        <w:trPr>
          <w:trHeight w:val="230"/>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Cost</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Gains</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6"/>
          </w:tcPr>
          <w:p>
            <w:pPr>
              <w:jc w:val="center"/>
              <w:ind w:right="20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57,244</w:t>
            </w:r>
          </w:p>
        </w:tc>
        <w:tc>
          <w:tcPr>
            <w:tcW w:w="128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56,949</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27,223</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(1,051)</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26,172</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 measured at net asset value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6,620</w:t>
            </w:r>
          </w:p>
        </w:tc>
      </w:tr>
      <w:tr>
        <w:trPr>
          <w:trHeight w:val="20"/>
        </w:trPr>
        <w:tc>
          <w:tcPr>
            <w:tcW w:w="5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91,294</w:t>
            </w:r>
          </w:p>
        </w:tc>
        <w:tc>
          <w:tcPr>
            <w:tcW w:w="128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(1,553)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89,741</w:t>
            </w:r>
          </w:p>
        </w:tc>
      </w:tr>
      <w:tr>
        <w:trPr>
          <w:trHeight w:val="20"/>
        </w:trPr>
        <w:tc>
          <w:tcPr>
            <w:tcW w:w="5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8"/>
                <w:szCs w:val="18"/>
                <w:color w:val="auto"/>
                <w:w w:val="89"/>
              </w:rPr>
              <w:t>June 30, 2017</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left="30"/>
              <w:spacing w:after="0" w:line="195"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93"/>
              </w:rPr>
              <w:t>Amortized</w:t>
            </w:r>
          </w:p>
        </w:tc>
        <w:tc>
          <w:tcPr>
            <w:tcW w:w="220" w:type="dxa"/>
            <w:vAlign w:val="bottom"/>
          </w:tcPr>
          <w:p>
            <w:pPr>
              <w:spacing w:after="0"/>
              <w:rPr>
                <w:sz w:val="18"/>
                <w:szCs w:val="18"/>
                <w:color w:val="auto"/>
              </w:rPr>
            </w:pPr>
          </w:p>
        </w:tc>
        <w:tc>
          <w:tcPr>
            <w:tcW w:w="1060" w:type="dxa"/>
            <w:vAlign w:val="bottom"/>
          </w:tcPr>
          <w:p>
            <w:pPr>
              <w:jc w:val="center"/>
              <w:ind w:left="3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r>
      <w:tr>
        <w:trPr>
          <w:trHeight w:val="230"/>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Cost</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Gains</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6"/>
          </w:tcPr>
          <w:p>
            <w:pPr>
              <w:jc w:val="center"/>
              <w:ind w:right="20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57,401</w:t>
            </w:r>
          </w:p>
        </w:tc>
        <w:tc>
          <w:tcPr>
            <w:tcW w:w="128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57,168</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33,523</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(620)</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32,903</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 measured at net asset value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6,622</w:t>
            </w:r>
          </w:p>
        </w:tc>
      </w:tr>
      <w:tr>
        <w:trPr>
          <w:trHeight w:val="20"/>
        </w:trPr>
        <w:tc>
          <w:tcPr>
            <w:tcW w:w="5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97,641</w:t>
            </w:r>
          </w:p>
        </w:tc>
        <w:tc>
          <w:tcPr>
            <w:tcW w:w="128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(948)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96,693</w:t>
            </w:r>
          </w:p>
        </w:tc>
      </w:tr>
      <w:tr>
        <w:trPr>
          <w:trHeight w:val="20"/>
        </w:trPr>
        <w:tc>
          <w:tcPr>
            <w:tcW w:w="5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When securities are sold, the adjusted cost of the specific security sold is used to compute the gain or loss on sale. There were no securities sold during the three and nine months ended March 31, 2018 or 2017. At March 31, 2018, no investment securities were pledged as collateral to secure outstanding borrowings.</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summarizes the Company’s gross unrealized losses and fair values aggregated by investment category and length of time that individual securities have been in a continuous unrealized loss position.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8"/>
                <w:szCs w:val="18"/>
                <w:color w:val="auto"/>
                <w:w w:val="92"/>
              </w:rPr>
              <w:t>March 31, 2018</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76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color w:val="auto"/>
              </w:rPr>
              <w:t>More than 12 Months</w:t>
            </w:r>
          </w:p>
        </w:tc>
        <w:tc>
          <w:tcPr>
            <w:tcW w:w="24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6"/>
              </w:rPr>
              <w:t>Fair</w:t>
            </w: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5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15,082</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41,867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56,949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24,761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26,172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investments measured at net asset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5,087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5,087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16,493</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71,715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(1,434)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88,208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8"/>
                <w:szCs w:val="18"/>
                <w:color w:val="auto"/>
                <w:w w:val="87"/>
              </w:rPr>
              <w:t>June 30, 2017</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76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color w:val="auto"/>
              </w:rPr>
              <w:t>More than 12 Months</w:t>
            </w:r>
          </w:p>
        </w:tc>
        <w:tc>
          <w:tcPr>
            <w:tcW w:w="24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6"/>
              </w:rPr>
              <w:t>Fair</w:t>
            </w: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5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57,168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19,571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32,903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investments measured at net asset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5,115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81,854</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13,332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95,186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impairment losses on securities during the three and nine months ended March 31, 2018 or 2017.</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At March 31, 2018, the Company had 40 securities in an unrealized loss position. At March 31, 2018, all of the Company’s available-for-sale securities were issued or guaranteed by either government agencies or government-sponsored enterprises. The decline in fair value of the Company’s available-for-sale securities at March 31, 2018 is attributable to changes in interest rates.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to considering current trends and economic conditions that may affect the quality of individual securities within the Company’s investment portfolio, management of the Company also considers the Company’s ability and intent to hold such securities to maturity or recovery of cost. At March 31, 2018, the Company does not intend to sell and it is not more likely than not that the Company will be required to sell the investment securities before recovery of its amortized cost. As such, management does not believe any of the Company’s available-for-sale securities are other-than-temporarily impaired at March 31, 2018.</w:t>
      </w:r>
    </w:p>
    <w:p>
      <w:pPr>
        <w:spacing w:after="0" w:line="18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investments measured at net asset value include a fund that seeks to invest in securities either issued or guaranteed by the U.S. government or its agencies, as well as a fund that primarily invests in the federally guaranteed portion of SBA 7(a) loans that adjust quarterly or monthly and are indexed to the Prime Rate. The underlying composition of these funds is primarily government agencies, other investment-grade investments, or the guaranteed portion of</w:t>
      </w:r>
    </w:p>
    <w:p>
      <w:pPr>
        <w:sectPr>
          <w:pgSz w:w="11900" w:h="16838" w:orient="portrait"/>
          <w:cols w:equalWidth="0" w:num="1">
            <w:col w:w="11420"/>
          </w:cols>
          <w:pgMar w:left="240" w:top="118" w:right="239" w:bottom="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SBA 7(a) loans, as applicable. As of March 31, 2018, the effective duration of the fund that seeks to invest in securities either issued or guaranteed by the U.S. government or its agencies is 4.74 years.</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25" w:right="59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amortized cost and fair values of available-for-sale debt securities by contractual maturity are shown below as of March 31, 2018. Actual maturities may differ from contractual maturities because borrowers may have the right to prepay obligations with or without prepayment penalties.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Amortized Cost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Fair Value</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gridSpan w:val="6"/>
          </w:tcPr>
          <w:p>
            <w:pPr>
              <w:ind w:left="70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39,082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38,898</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18,162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18,050</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Due after ten years</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5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U.S. Government agency securities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56,948</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27,223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26,172</w:t>
            </w:r>
          </w:p>
        </w:tc>
      </w:tr>
      <w:tr>
        <w:trPr>
          <w:trHeight w:val="20"/>
        </w:trPr>
        <w:tc>
          <w:tcPr>
            <w:tcW w:w="5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debt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84,467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83,120</w:t>
            </w: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Allowance for Loan Losses and Credit Quality</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Loans are carried at the principal amounts outstanding, or amortized acquired fair value in the case of acquired loans, adjusted by partial charge-offs and net of deferred loan costs or fees. Loan fees and certain direct origination costs are deferred and amortized into interest income over the expected term of the loan using the level-yield method. When a loan is paid off, the unamortized portion is recognized in interest income. Interest income is accrued based upon the daily principal amount outstanding, except for loans on nonaccrual status.</w:t>
      </w:r>
    </w:p>
    <w:p>
      <w:pPr>
        <w:spacing w:after="0" w:line="18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Loans purchased by the Company are accounted for under ASC 310-30, </w:t>
      </w:r>
      <w:r>
        <w:rPr>
          <w:rFonts w:ascii="Arial" w:cs="Arial" w:eastAsia="Arial" w:hAnsi="Arial"/>
          <w:sz w:val="16"/>
          <w:szCs w:val="16"/>
          <w:i w:val="1"/>
          <w:iCs w:val="1"/>
          <w:color w:val="auto"/>
        </w:rPr>
        <w:t>Receivables—Loans and Debt Securities Acquired with Deteriorated Credit Quality</w:t>
      </w:r>
      <w:r>
        <w:rPr>
          <w:rFonts w:ascii="Arial" w:cs="Arial" w:eastAsia="Arial" w:hAnsi="Arial"/>
          <w:sz w:val="16"/>
          <w:szCs w:val="16"/>
          <w:color w:val="auto"/>
        </w:rPr>
        <w:t xml:space="preserve"> ("ASC 310-30"). At acquisition, the effective interest rate is determined based on the discount rate that equates the present value of the Company's estimate of cash flows with the purchase price of the loan. Prepayments are not assumed in determining a purchased loan's effective interest rate and income accretion. The application of ASC 310-30 limits the yield that may be accreted on the purchased loan, or the "accretable yield," to the excess of the Company's estimate, at acquisition, of the expected undiscounted principal, interest, and other cash flows over the Company's initial investment in the loan. The excess of contractually required payments receivable over the cash flows expected to be collected on the loan represents the purchased loan's "nonaccretable difference." Subsequent improvements in expected cash flows of loans with nonaccretable differences result in a prospective increase to the loan's effective yield through a reclassification of some, or all, of the nonaccretable difference to accretable yield. The effect of subsequent credit-related declines in expected cash flows of purchased loans are recorded through a specific allocation in the allowance for loan losses.</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Loans are generally placed on nonaccrual status when they are past due 90 days as to either principal or interest, or when in management's judgment the collectability of interest or principal of the loan has been significantly impaired. Loans accounted for under ASC 310-30 are placed on nonaccrual when it is not possible to reach a reasonable expectation of the timing and amount of cash flows to be collected on the loan. When a loan has been placed on nonaccrual status, previously accrued and uncollected interest is reversed against interest on loans. Interest on nonaccrual loans is accounted for on a cash-basis or using the cost-recovery method when collectability is doubtful. A loan is returned to accrual status when collectability of principal and interest is reasonably assured and the loan has performed for a reasonable period of time.</w:t>
      </w:r>
    </w:p>
    <w:p>
      <w:pPr>
        <w:spacing w:after="0" w:line="193"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In cases where a borrower experiences financial difficulties and the Company makes certain concessionary modifications to contractual terms, the loan is classified as a troubled debt restructuring ("TDR"), and therefore by definition is an impaired loan. Concessionary modifications may include adjustments to interest rates, extensions of maturity, and other actions intended to minimize economic loss and avoid foreclosure or repossession of collateral. For loans accounted for under ASC 310-30, the Company evaluates whether it has granted a concession by comparing the restructured debt terms to the expected cash flows at acquisition plus any additional cash flows expected to be collected arising from changes in estimate after acquisition. As a result, if an ASC 310-30 loan is modified to be consistent with, or better than, the Company's expectations at acquisition, the modified loan would not qualify as a TDR.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Company’s loan portfolio is as follows on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March 31, 2018</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87"/>
              </w:rPr>
              <w:t>June 30, 2017</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6"/>
              </w:rPr>
              <w:t>Originated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0"/>
              </w:rPr>
              <w:t>Purchased</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Originated</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ind w:left="160"/>
              <w:spacing w:after="0"/>
              <w:rPr>
                <w:sz w:val="20"/>
                <w:szCs w:val="20"/>
                <w:color w:val="auto"/>
              </w:rPr>
            </w:pPr>
            <w:r>
              <w:rPr>
                <w:rFonts w:ascii="Arial" w:cs="Arial" w:eastAsia="Arial" w:hAnsi="Arial"/>
                <w:sz w:val="18"/>
                <w:szCs w:val="18"/>
                <w:color w:val="auto"/>
              </w:rPr>
              <w:t>(Dollars in thousands)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77,265</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85,862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83,759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87,136</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Home equity</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13,931</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14,032</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244,970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530,565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256,280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241,724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498,004</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184,009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1,040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185,049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174,468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175,654</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4,369</w:t>
            </w: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561,729</w:t>
            </w:r>
          </w:p>
        </w:tc>
        <w:tc>
          <w:tcPr>
            <w:tcW w:w="10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254,700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816,429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532,807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246,388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779,195</w:t>
            </w: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Total loans include net deferred loan origination costs of $300 thousand and $507 thousand as of March 31, 2018 and June 30, 2017,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Past Due and Nonaccrual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past due and nonaccrual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8"/>
                <w:szCs w:val="18"/>
                <w:color w:val="auto"/>
              </w:rPr>
              <w:t>March 31, 2018</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86"/>
              </w:rPr>
              <w:t>Past Due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Past Due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Past Due</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90 Days 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90 Days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1"/>
              </w:rPr>
              <w:t>30-59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1"/>
              </w:rPr>
              <w:t>60-89</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More-Still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More-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Total Past</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Days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Days</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Accruing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Current</w:t>
            </w: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(Dollars in</w:t>
            </w:r>
          </w:p>
        </w:tc>
        <w:tc>
          <w:tcPr>
            <w:tcW w:w="220" w:type="dxa"/>
            <w:vAlign w:val="bottom"/>
            <w:gridSpan w:val="2"/>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357</w:t>
            </w:r>
          </w:p>
        </w:tc>
        <w:tc>
          <w:tcPr>
            <w:tcW w:w="860" w:type="dxa"/>
            <w:vAlign w:val="bottom"/>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1,227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74,804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77,265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10,992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503</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285,092</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285,595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183,948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3,382</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558,218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561,729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Purchased portfolio:</w:t>
            </w: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Residential real estate and</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8,471</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5,294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7,392</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237,578</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244,970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5,513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7,713</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246,987</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254,700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805,205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816,429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color w:val="auto"/>
              </w:rPr>
              <w:t>June 30, 2017</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86"/>
              </w:rPr>
              <w:t>Past Due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Past Due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Past Due</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90 Days 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90 Days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1"/>
              </w:rPr>
              <w:t>30-59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1"/>
              </w:rPr>
              <w:t>60-89</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More-Still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More-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Total Past</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Days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Days</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Accruing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Current</w:t>
            </w: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(Dollars in</w:t>
            </w:r>
          </w:p>
        </w:tc>
        <w:tc>
          <w:tcPr>
            <w:tcW w:w="220" w:type="dxa"/>
            <w:vAlign w:val="bottom"/>
            <w:gridSpan w:val="2"/>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574</w:t>
            </w:r>
          </w:p>
        </w:tc>
        <w:tc>
          <w:tcPr>
            <w:tcW w:w="860" w:type="dxa"/>
            <w:vAlign w:val="bottom"/>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1,398</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81,646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83,759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13,824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2,266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2,390</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253,890</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256,280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172,035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174,468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4,218</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525,613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532,807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Purchased portfolio:</w:t>
            </w: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Residential real estate and</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1,082</w:t>
            </w: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2,380</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1,997</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5,092</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236,632</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241,724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3,079</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6,190</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240,198</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246,388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6,983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765,811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779,195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 and Impaired Loans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the point at which a loan is 180 days past due if the loan balance exceeds the fair value of the collateral, less estimated costs to sell. For commercial loans, a charge-off is recorded on a case-by-case basis when all or a portion of the loan is deemed to be uncollectible. Subsequent recoveries, if any, are credited to the allowance.</w:t>
      </w:r>
    </w:p>
    <w:p>
      <w:pPr>
        <w:sectPr>
          <w:pgSz w:w="11900" w:h="16838" w:orient="portrait"/>
          <w:cols w:equalWidth="0" w:num="1">
            <w:col w:w="11420"/>
          </w:cols>
          <w:pgMar w:left="240" w:top="118" w:right="239" w:bottom="244"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244" w:gutter="0" w:footer="0" w:header="0"/>
          <w:type w:val="continuous"/>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appropriateness of the allowance for loan losses on a quarterly basis. The calculation of the allowance for loan losses is segregated by portfolio segments, which include: residential real estate, commercial real estate, commercial and industrial, consumer, and purchased loans. Risk characteristics relevant to each portfolio segment are as follows:</w:t>
      </w:r>
    </w:p>
    <w:p>
      <w:pPr>
        <w:spacing w:after="0" w:line="188" w:lineRule="exact"/>
        <w:rPr>
          <w:sz w:val="20"/>
          <w:szCs w:val="20"/>
          <w:color w:val="auto"/>
        </w:rPr>
      </w:pPr>
    </w:p>
    <w:p>
      <w:pPr>
        <w:ind w:left="480" w:right="60"/>
        <w:spacing w:after="0" w:line="259"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loan-to-value ratio and income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87" w:lineRule="exact"/>
        <w:rPr>
          <w:sz w:val="20"/>
          <w:szCs w:val="20"/>
          <w:color w:val="auto"/>
        </w:rPr>
      </w:pPr>
    </w:p>
    <w:p>
      <w:pPr>
        <w:ind w:left="480" w:right="120"/>
        <w:spacing w:after="0" w:line="255" w:lineRule="auto"/>
        <w:rPr>
          <w:sz w:val="20"/>
          <w:szCs w:val="20"/>
          <w:color w:val="auto"/>
        </w:rPr>
      </w:pPr>
      <w:r>
        <w:rPr>
          <w:rFonts w:ascii="Arial" w:cs="Arial" w:eastAsia="Arial" w:hAnsi="Arial"/>
          <w:sz w:val="18"/>
          <w:szCs w:val="18"/>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and operating statements, with which it monitors the cash flows of these loans. Adverse developments in either of these areas will have an adverse effect on the credit quality of this segment. For purposes of the allowance for loan losses, this segment also includes construction loans.</w:t>
      </w:r>
    </w:p>
    <w:p>
      <w:pPr>
        <w:spacing w:after="0" w:line="193" w:lineRule="exact"/>
        <w:rPr>
          <w:sz w:val="20"/>
          <w:szCs w:val="20"/>
          <w:color w:val="auto"/>
        </w:rPr>
      </w:pPr>
    </w:p>
    <w:p>
      <w:pPr>
        <w:ind w:left="480" w:right="460"/>
        <w:spacing w:after="0" w:line="302" w:lineRule="auto"/>
        <w:rPr>
          <w:sz w:val="20"/>
          <w:szCs w:val="20"/>
          <w:color w:val="auto"/>
        </w:rPr>
      </w:pPr>
      <w:r>
        <w:rPr>
          <w:rFonts w:ascii="Arial" w:cs="Arial" w:eastAsia="Arial" w:hAnsi="Arial"/>
          <w:sz w:val="16"/>
          <w:szCs w:val="16"/>
          <w:color w:val="auto"/>
        </w:rPr>
        <w:t>Commercial and industrial: Loans in this segment are made to businesses and are generally secured by the assets of the business. Repayment is expected from the cash flows of the business. This segment also includes loans to non-bank lenders, which are generally secured by a collateral assignment of the notes and mortgages on loans originated by the non-bank lenders. Weakness in national or regional economic conditions, and a corresponding weakness in consumer or business spending, will have an adverse effect on the credit quality of this segment.</w:t>
      </w:r>
    </w:p>
    <w:p>
      <w:pPr>
        <w:spacing w:after="0" w:line="154" w:lineRule="exact"/>
        <w:rPr>
          <w:sz w:val="20"/>
          <w:szCs w:val="20"/>
          <w:color w:val="auto"/>
        </w:rPr>
      </w:pPr>
    </w:p>
    <w:p>
      <w:pPr>
        <w:ind w:left="480" w:right="300"/>
        <w:spacing w:after="0" w:line="34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24" w:lineRule="exact"/>
        <w:rPr>
          <w:sz w:val="20"/>
          <w:szCs w:val="20"/>
          <w:color w:val="auto"/>
        </w:rPr>
      </w:pPr>
    </w:p>
    <w:p>
      <w:pPr>
        <w:ind w:left="480"/>
        <w:spacing w:after="0" w:line="291" w:lineRule="auto"/>
        <w:rPr>
          <w:sz w:val="20"/>
          <w:szCs w:val="20"/>
          <w:color w:val="auto"/>
        </w:rPr>
      </w:pPr>
      <w:r>
        <w:rPr>
          <w:rFonts w:ascii="Arial" w:cs="Arial" w:eastAsia="Arial" w:hAnsi="Arial"/>
          <w:sz w:val="16"/>
          <w:szCs w:val="16"/>
          <w:color w:val="auto"/>
        </w:rPr>
        <w:t>Purchased: Loans in this segment are typically secured by commercial real estate, multi-family residential real estate, or business assets and have been acquired by the Bank’s Loan Acquisition and Servicing Group (“LASG”). Loans acquired by the LASG are, with limited exceptions, performing loans at the date of purchase.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 Loans in this segment are evaluated for impairment under ASC 310-30. The Company reviews expected cash flows from purchased loans on a quarterly basis. The effect of a decline in expected cash flows subsequent to the acquisition of the loan is recognized through a specific allocation in the allowance for loan losses.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general component of the allowance for loan losses for originated loans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8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Levels and trends in delinquencies;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25" w:lineRule="exact"/>
        <w:rPr>
          <w:rFonts w:ascii="Arial" w:cs="Arial" w:eastAsia="Arial" w:hAnsi="Arial"/>
          <w:sz w:val="18"/>
          <w:szCs w:val="18"/>
          <w:color w:val="auto"/>
        </w:rPr>
      </w:pPr>
    </w:p>
    <w:p>
      <w:pPr>
        <w:ind w:left="660" w:right="8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allocated component of the allowance for loan losses relates to loans that are classified as impaired. Impairment is measured on a loan-by-loan basis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the loan.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expected at acquisition. For loans accounted for under ASC 310-30 for which cash flows can reasonably be estimated,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collecting the scheduled principal and interest payments when due.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activity in the Company’s allowance for loan losses.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9"/>
          </w:tcPr>
          <w:p>
            <w:pPr>
              <w:jc w:val="center"/>
              <w:ind w:right="400"/>
              <w:spacing w:after="0"/>
              <w:rPr>
                <w:sz w:val="20"/>
                <w:szCs w:val="20"/>
                <w:color w:val="auto"/>
              </w:rPr>
            </w:pPr>
            <w:r>
              <w:rPr>
                <w:rFonts w:ascii="Arial" w:cs="Arial" w:eastAsia="Arial" w:hAnsi="Arial"/>
                <w:sz w:val="18"/>
                <w:szCs w:val="18"/>
                <w:color w:val="auto"/>
                <w:w w:val="91"/>
              </w:rPr>
              <w:t>Three Months Ended March 31, 2018</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89"/>
              </w:rPr>
              <w:t>Residential</w:t>
            </w:r>
          </w:p>
        </w:tc>
        <w:tc>
          <w:tcPr>
            <w:tcW w:w="128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93"/>
              </w:rPr>
              <w:t>Commercial</w:t>
            </w:r>
          </w:p>
        </w:tc>
        <w:tc>
          <w:tcPr>
            <w:tcW w:w="1200" w:type="dxa"/>
            <w:vAlign w:val="bottom"/>
            <w:gridSpan w:val="3"/>
          </w:tcPr>
          <w:p>
            <w:pPr>
              <w:jc w:val="right"/>
              <w:ind w:right="130"/>
              <w:spacing w:after="0" w:line="195" w:lineRule="exact"/>
              <w:rPr>
                <w:sz w:val="20"/>
                <w:szCs w:val="20"/>
                <w:color w:val="auto"/>
              </w:rPr>
            </w:pPr>
            <w:r>
              <w:rPr>
                <w:rFonts w:ascii="Arial" w:cs="Arial" w:eastAsia="Arial" w:hAnsi="Arial"/>
                <w:sz w:val="18"/>
                <w:szCs w:val="18"/>
                <w:color w:val="auto"/>
                <w:w w:val="99"/>
              </w:rPr>
              <w:t>Commercial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0"/>
              </w:rPr>
              <w:t>and Industrial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Unallocated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color w:val="auto"/>
                <w:w w:val="84"/>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690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4,355</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Provision (credit)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0"/>
        </w:trPr>
        <w:tc>
          <w:tcPr>
            <w:tcW w:w="2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636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4,691</w:t>
            </w:r>
          </w:p>
        </w:tc>
      </w:tr>
      <w:tr>
        <w:trPr>
          <w:trHeight w:val="20"/>
        </w:trPr>
        <w:tc>
          <w:tcPr>
            <w:tcW w:w="2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656"/>
        </w:trPr>
        <w:tc>
          <w:tcPr>
            <w:tcW w:w="2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9"/>
          </w:tcPr>
          <w:p>
            <w:pPr>
              <w:jc w:val="center"/>
              <w:ind w:right="400"/>
              <w:spacing w:after="0"/>
              <w:rPr>
                <w:sz w:val="20"/>
                <w:szCs w:val="20"/>
                <w:color w:val="auto"/>
              </w:rPr>
            </w:pPr>
            <w:r>
              <w:rPr>
                <w:rFonts w:ascii="Arial" w:cs="Arial" w:eastAsia="Arial" w:hAnsi="Arial"/>
                <w:sz w:val="18"/>
                <w:szCs w:val="18"/>
                <w:color w:val="auto"/>
                <w:w w:val="91"/>
              </w:rPr>
              <w:t>Three Months Ended March 31, 2017</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89"/>
              </w:rPr>
              <w:t>Residential</w:t>
            </w:r>
          </w:p>
        </w:tc>
        <w:tc>
          <w:tcPr>
            <w:tcW w:w="128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93"/>
              </w:rPr>
              <w:t>Commercial</w:t>
            </w:r>
          </w:p>
        </w:tc>
        <w:tc>
          <w:tcPr>
            <w:tcW w:w="1200" w:type="dxa"/>
            <w:vAlign w:val="bottom"/>
            <w:gridSpan w:val="3"/>
          </w:tcPr>
          <w:p>
            <w:pPr>
              <w:jc w:val="right"/>
              <w:ind w:right="130"/>
              <w:spacing w:after="0" w:line="195" w:lineRule="exact"/>
              <w:rPr>
                <w:sz w:val="20"/>
                <w:szCs w:val="20"/>
                <w:color w:val="auto"/>
              </w:rPr>
            </w:pPr>
            <w:r>
              <w:rPr>
                <w:rFonts w:ascii="Arial" w:cs="Arial" w:eastAsia="Arial" w:hAnsi="Arial"/>
                <w:sz w:val="18"/>
                <w:szCs w:val="18"/>
                <w:color w:val="auto"/>
                <w:w w:val="99"/>
              </w:rPr>
              <w:t>Commercial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0"/>
              </w:rPr>
              <w:t>and Industrial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Unallocated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color w:val="auto"/>
                <w:w w:val="84"/>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531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3,107</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Provision (credit)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r>
      <w:tr>
        <w:trPr>
          <w:trHeight w:val="20"/>
        </w:trPr>
        <w:tc>
          <w:tcPr>
            <w:tcW w:w="2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553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w:t>
            </w:r>
          </w:p>
        </w:tc>
      </w:tr>
      <w:tr>
        <w:trPr>
          <w:trHeight w:val="20"/>
        </w:trPr>
        <w:tc>
          <w:tcPr>
            <w:tcW w:w="2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2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9"/>
          </w:tcPr>
          <w:p>
            <w:pPr>
              <w:jc w:val="center"/>
              <w:ind w:right="400"/>
              <w:spacing w:after="0"/>
              <w:rPr>
                <w:sz w:val="20"/>
                <w:szCs w:val="20"/>
                <w:color w:val="auto"/>
              </w:rPr>
            </w:pPr>
            <w:r>
              <w:rPr>
                <w:rFonts w:ascii="Arial" w:cs="Arial" w:eastAsia="Arial" w:hAnsi="Arial"/>
                <w:sz w:val="18"/>
                <w:szCs w:val="18"/>
                <w:color w:val="auto"/>
                <w:w w:val="91"/>
              </w:rPr>
              <w:t>Nine Months Ended March 31, 2018</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89"/>
              </w:rPr>
              <w:t>Residential</w:t>
            </w:r>
          </w:p>
        </w:tc>
        <w:tc>
          <w:tcPr>
            <w:tcW w:w="128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93"/>
              </w:rPr>
              <w:t>Commercial</w:t>
            </w:r>
          </w:p>
        </w:tc>
        <w:tc>
          <w:tcPr>
            <w:tcW w:w="1200" w:type="dxa"/>
            <w:vAlign w:val="bottom"/>
            <w:gridSpan w:val="3"/>
          </w:tcPr>
          <w:p>
            <w:pPr>
              <w:jc w:val="right"/>
              <w:ind w:right="130"/>
              <w:spacing w:after="0" w:line="195" w:lineRule="exact"/>
              <w:rPr>
                <w:sz w:val="20"/>
                <w:szCs w:val="20"/>
                <w:color w:val="auto"/>
              </w:rPr>
            </w:pPr>
            <w:r>
              <w:rPr>
                <w:rFonts w:ascii="Arial" w:cs="Arial" w:eastAsia="Arial" w:hAnsi="Arial"/>
                <w:sz w:val="18"/>
                <w:szCs w:val="18"/>
                <w:color w:val="auto"/>
                <w:w w:val="99"/>
              </w:rPr>
              <w:t>Commercial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0"/>
              </w:rPr>
              <w:t>and Industrial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Unallocated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color w:val="auto"/>
                <w:w w:val="84"/>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520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3,665</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Provision</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1,156</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r>
      <w:tr>
        <w:trPr>
          <w:trHeight w:val="20"/>
        </w:trPr>
        <w:tc>
          <w:tcPr>
            <w:tcW w:w="2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636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4,691</w:t>
            </w:r>
          </w:p>
        </w:tc>
      </w:tr>
      <w:tr>
        <w:trPr>
          <w:trHeight w:val="20"/>
        </w:trPr>
        <w:tc>
          <w:tcPr>
            <w:tcW w:w="2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40"/>
        </w:trPr>
        <w:tc>
          <w:tcPr>
            <w:tcW w:w="2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9"/>
          </w:tcPr>
          <w:p>
            <w:pPr>
              <w:jc w:val="center"/>
              <w:ind w:right="400"/>
              <w:spacing w:after="0"/>
              <w:rPr>
                <w:sz w:val="20"/>
                <w:szCs w:val="20"/>
                <w:color w:val="auto"/>
              </w:rPr>
            </w:pPr>
            <w:r>
              <w:rPr>
                <w:rFonts w:ascii="Arial" w:cs="Arial" w:eastAsia="Arial" w:hAnsi="Arial"/>
                <w:sz w:val="18"/>
                <w:szCs w:val="18"/>
                <w:color w:val="auto"/>
                <w:w w:val="91"/>
              </w:rPr>
              <w:t>Nine Months Ended March 31, 2017</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89"/>
              </w:rPr>
              <w:t>Residential</w:t>
            </w:r>
          </w:p>
        </w:tc>
        <w:tc>
          <w:tcPr>
            <w:tcW w:w="128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93"/>
              </w:rPr>
              <w:t>Commercial</w:t>
            </w:r>
          </w:p>
        </w:tc>
        <w:tc>
          <w:tcPr>
            <w:tcW w:w="1200" w:type="dxa"/>
            <w:vAlign w:val="bottom"/>
            <w:gridSpan w:val="3"/>
          </w:tcPr>
          <w:p>
            <w:pPr>
              <w:jc w:val="right"/>
              <w:ind w:right="130"/>
              <w:spacing w:after="0" w:line="195" w:lineRule="exact"/>
              <w:rPr>
                <w:sz w:val="20"/>
                <w:szCs w:val="20"/>
                <w:color w:val="auto"/>
              </w:rPr>
            </w:pPr>
            <w:r>
              <w:rPr>
                <w:rFonts w:ascii="Arial" w:cs="Arial" w:eastAsia="Arial" w:hAnsi="Arial"/>
                <w:sz w:val="18"/>
                <w:szCs w:val="18"/>
                <w:color w:val="auto"/>
                <w:w w:val="99"/>
              </w:rPr>
              <w:t>Commercial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0"/>
              </w:rPr>
              <w:t>and Industrial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Unallocated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color w:val="auto"/>
                <w:w w:val="84"/>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297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Provision (credit)</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1,205</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(282)</w:t>
            </w:r>
          </w:p>
        </w:tc>
      </w:tr>
      <w:tr>
        <w:trPr>
          <w:trHeight w:val="20"/>
        </w:trPr>
        <w:tc>
          <w:tcPr>
            <w:tcW w:w="2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553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w:t>
            </w:r>
          </w:p>
        </w:tc>
      </w:tr>
      <w:tr>
        <w:trPr>
          <w:trHeight w:val="413"/>
        </w:trPr>
        <w:tc>
          <w:tcPr>
            <w:tcW w:w="27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2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allowance for loan losses by portfolio segment and impairment methodology.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color w:val="auto"/>
                <w:w w:val="99"/>
              </w:rPr>
              <w:t>March 31, 2018</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89"/>
              </w:rPr>
              <w:t>Residential</w:t>
            </w:r>
          </w:p>
        </w:tc>
        <w:tc>
          <w:tcPr>
            <w:tcW w:w="128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93"/>
              </w:rPr>
              <w:t>Commercial</w:t>
            </w:r>
          </w:p>
        </w:tc>
        <w:tc>
          <w:tcPr>
            <w:tcW w:w="1040" w:type="dxa"/>
            <w:vAlign w:val="bottom"/>
            <w:gridSpan w:val="2"/>
          </w:tcPr>
          <w:p>
            <w:pPr>
              <w:ind w:left="80"/>
              <w:spacing w:after="0" w:line="195" w:lineRule="exact"/>
              <w:rPr>
                <w:sz w:val="20"/>
                <w:szCs w:val="20"/>
                <w:color w:val="auto"/>
              </w:rPr>
            </w:pPr>
            <w:r>
              <w:rPr>
                <w:rFonts w:ascii="Arial" w:cs="Arial" w:eastAsia="Arial" w:hAnsi="Arial"/>
                <w:sz w:val="18"/>
                <w:szCs w:val="18"/>
                <w:color w:val="auto"/>
                <w:w w:val="95"/>
              </w:rPr>
              <w:t>Commercial</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88"/>
              </w:rPr>
              <w:t>and Industrial</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Unallocated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color w:val="auto"/>
                <w:w w:val="84"/>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ASC 310-30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36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5,934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4,840</w:t>
            </w: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2,298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82,673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280,755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181,711</w:t>
            </w:r>
          </w:p>
        </w:tc>
        <w:tc>
          <w:tcPr>
            <w:tcW w:w="2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ASC 310-30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254,700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254,700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88,607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285,595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184,009</w:t>
            </w:r>
          </w:p>
        </w:tc>
        <w:tc>
          <w:tcPr>
            <w:tcW w:w="36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254,700</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color w:val="auto"/>
              </w:rPr>
              <w:t>June 30, 2017</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89"/>
              </w:rPr>
              <w:t>Residential</w:t>
            </w:r>
          </w:p>
        </w:tc>
        <w:tc>
          <w:tcPr>
            <w:tcW w:w="128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93"/>
              </w:rPr>
              <w:t>Commercial</w:t>
            </w:r>
          </w:p>
        </w:tc>
        <w:tc>
          <w:tcPr>
            <w:tcW w:w="1040" w:type="dxa"/>
            <w:vAlign w:val="bottom"/>
            <w:gridSpan w:val="2"/>
          </w:tcPr>
          <w:p>
            <w:pPr>
              <w:ind w:left="80"/>
              <w:spacing w:after="0" w:line="195" w:lineRule="exact"/>
              <w:rPr>
                <w:sz w:val="20"/>
                <w:szCs w:val="20"/>
                <w:color w:val="auto"/>
              </w:rPr>
            </w:pPr>
            <w:r>
              <w:rPr>
                <w:rFonts w:ascii="Arial" w:cs="Arial" w:eastAsia="Arial" w:hAnsi="Arial"/>
                <w:sz w:val="18"/>
                <w:szCs w:val="18"/>
                <w:color w:val="auto"/>
                <w:w w:val="95"/>
              </w:rPr>
              <w:t>Commercial</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88"/>
              </w:rPr>
              <w:t>and Industrial</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Unallocated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color w:val="auto"/>
                <w:w w:val="84"/>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149</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ASC 310-30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36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5,676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1,759</w:t>
            </w: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2,694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92,014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254,521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171,774</w:t>
            </w:r>
          </w:p>
        </w:tc>
        <w:tc>
          <w:tcPr>
            <w:tcW w:w="2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ASC 310-30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246,388</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246,388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97,690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256,280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174,468</w:t>
            </w:r>
          </w:p>
        </w:tc>
        <w:tc>
          <w:tcPr>
            <w:tcW w:w="36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246,388</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following table sets forth information regarding impaired loans. Loans accounted for under ASC 310-30 that have performed based on cash flow and accretable yield expectations determined at date of acquisition are not considered impaired assets and have been excluded from the tables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92"/>
              </w:rPr>
              <w:t>March 31, 2018</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7"/>
              </w:rPr>
              <w:t>June 30, 2017</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91"/>
              </w:rPr>
              <w:t>Unpaid</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300"/>
              <w:spacing w:after="0" w:line="195" w:lineRule="exact"/>
              <w:rPr>
                <w:sz w:val="20"/>
                <w:szCs w:val="20"/>
                <w:color w:val="auto"/>
              </w:rPr>
            </w:pPr>
            <w:r>
              <w:rPr>
                <w:rFonts w:ascii="Arial" w:cs="Arial" w:eastAsia="Arial" w:hAnsi="Arial"/>
                <w:sz w:val="18"/>
                <w:szCs w:val="18"/>
                <w:color w:val="auto"/>
                <w:w w:val="94"/>
              </w:rPr>
              <w:t>Unpaid</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18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Principal</w:t>
            </w:r>
          </w:p>
        </w:tc>
        <w:tc>
          <w:tcPr>
            <w:tcW w:w="16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Related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Recorded</w:t>
            </w: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Principal</w:t>
            </w:r>
          </w:p>
        </w:tc>
        <w:tc>
          <w:tcPr>
            <w:tcW w:w="16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Related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Investment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Balance</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Allowance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Investment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7"/>
              </w:rPr>
              <w:t>Allowance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6"/>
          </w:tcPr>
          <w:p>
            <w:pPr>
              <w:jc w:val="right"/>
              <w:ind w:right="720"/>
              <w:spacing w:after="0"/>
              <w:rPr>
                <w:sz w:val="20"/>
                <w:szCs w:val="20"/>
                <w:color w:val="auto"/>
              </w:rPr>
            </w:pPr>
            <w:r>
              <w:rPr>
                <w:rFonts w:ascii="Arial" w:cs="Arial" w:eastAsia="Arial" w:hAnsi="Arial"/>
                <w:sz w:val="18"/>
                <w:szCs w:val="18"/>
                <w:color w:val="auto"/>
              </w:rPr>
              <w:t>(Dollars in thousands)</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Impaired loans without a</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Originated:</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1,870</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1,870</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1,056</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1,099</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8,696</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16,315</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Impaired loans with a valuation</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allowance:</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Originated:</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1,624</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636</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824</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824</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3,528</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7,516</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Total impaired loans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27,647</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30,802</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23,831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27,110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77"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77" w:gutter="0" w:footer="0" w:header="0"/>
          <w:type w:val="continuous"/>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gridSpan w:val="8"/>
          </w:tcPr>
          <w:p>
            <w:pPr>
              <w:spacing w:after="0"/>
              <w:rPr>
                <w:sz w:val="20"/>
                <w:szCs w:val="20"/>
                <w:color w:val="auto"/>
              </w:rPr>
            </w:pPr>
            <w:r>
              <w:rPr>
                <w:rFonts w:ascii="Arial" w:cs="Arial" w:eastAsia="Arial" w:hAnsi="Arial"/>
                <w:sz w:val="18"/>
                <w:szCs w:val="18"/>
                <w:color w:val="auto"/>
              </w:rPr>
              <w:t>The following tables set forth information regarding interest income recognized on impaired loans.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8"/>
                <w:szCs w:val="18"/>
                <w:color w:val="auto"/>
                <w:w w:val="90"/>
              </w:rPr>
              <w:t>Three Months Ended March 31,</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6"/>
                <w:szCs w:val="16"/>
                <w:color w:val="auto"/>
              </w:rPr>
            </w:pPr>
          </w:p>
        </w:tc>
        <w:tc>
          <w:tcPr>
            <w:tcW w:w="106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Recorded</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Recognized</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5"/>
          </w:tcPr>
          <w:p>
            <w:pPr>
              <w:jc w:val="center"/>
              <w:ind w:right="320"/>
              <w:spacing w:after="0"/>
              <w:rPr>
                <w:sz w:val="20"/>
                <w:szCs w:val="20"/>
                <w:color w:val="auto"/>
              </w:rPr>
            </w:pPr>
            <w:r>
              <w:rPr>
                <w:rFonts w:ascii="Arial" w:cs="Arial" w:eastAsia="Arial" w:hAnsi="Arial"/>
                <w:sz w:val="18"/>
                <w:szCs w:val="18"/>
                <w:color w:val="auto"/>
                <w:w w:val="91"/>
              </w:rPr>
              <w:t>(Dollars in thousands)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1,873</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1,070</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14,459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916</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Total impaired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28,175</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287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19,448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8"/>
                <w:szCs w:val="18"/>
                <w:color w:val="auto"/>
                <w:w w:val="91"/>
              </w:rPr>
              <w:t>Nine Months Ended March 31,</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6"/>
                <w:szCs w:val="16"/>
                <w:color w:val="auto"/>
              </w:rPr>
            </w:pPr>
          </w:p>
        </w:tc>
        <w:tc>
          <w:tcPr>
            <w:tcW w:w="106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Recorded</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Recognized</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5"/>
          </w:tcPr>
          <w:p>
            <w:pPr>
              <w:jc w:val="center"/>
              <w:ind w:right="320"/>
              <w:spacing w:after="0"/>
              <w:rPr>
                <w:sz w:val="20"/>
                <w:szCs w:val="20"/>
                <w:color w:val="auto"/>
              </w:rPr>
            </w:pPr>
            <w:r>
              <w:rPr>
                <w:rFonts w:ascii="Arial" w:cs="Arial" w:eastAsia="Arial" w:hAnsi="Arial"/>
                <w:sz w:val="18"/>
                <w:szCs w:val="18"/>
                <w:color w:val="auto"/>
                <w:w w:val="91"/>
              </w:rPr>
              <w:t>(Dollars in thousands)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1,026</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1,093</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12,466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1,842</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1,174</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4,744</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Total impaired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26,633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878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17,210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240" w:top="118" w:right="819" w:bottom="1440" w:gutter="0" w:footer="0" w:header="0"/>
        </w:sectPr>
      </w:pPr>
    </w:p>
    <w:p>
      <w:pPr>
        <w:spacing w:after="0" w:line="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240" w:top="118" w:right="819" w:bottom="1440" w:gutter="0" w:footer="0" w:header="0"/>
          <w:type w:val="continuous"/>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utilizes a ten-point internal loan rating system for commercial real estate, construction, commercial and industrial, and certain residential loans as follows: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Loans rated 1 – 6: Loans in these categories are considered “pass” rated loans. Loans in categories 1-5 are considered to have low to average risk. Loans rated 6 are considered marginally acceptable business credits and have more than average risk.</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Loans rated 7: Loans in this category are considered “special mention.” These loans show signs of potential weakness and are being closely monitored by management.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Loans rated 8: Loans in this category are considered “substandard.” Loans classified as substandard are inadequately protected by the current sound worth and paying capacity of the obligor or of the collateral pledged, if any. Assets so classified have a well-defined weakness or weaknesses that jeopardize the orderly repayment of the debt.</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Loans rated 9: Loans in this category are considered “doubtful.” Loans classified as doubtful have all the weaknesses inherent in one graded 8 with the added characteristic that the weaknesses make collection or liquidation in full, on the basis of currently existing facts, conditions and values, highly questionable and improbable.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Loans rated 10: Loans in this category are considered “loss” and of such little value that their continuance as loans is not warranted.</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an annual basis, or more often if needed, the Company formally reviews the ratings of all loans subject to risk ratings. Annually, the Company engages an independent third-party to review a significant portion of loans within these segments. Management uses the results of these reviews as part of its annual review process. Risk ratings on purchased loans, with and without evidence of credit deterioration at acquisition, are determined relative to the Company’s recorded investment in that loan, which may be significantly lower than the loan’s unpaid principal balance.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loans by risk rating.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March 31, 2018</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4"/>
              </w:rPr>
              <w:t>Originated Portfolio</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3"/>
              </w:rPr>
              <w:t>Commercial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30"/>
              <w:spacing w:after="0"/>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9"/>
                <w:szCs w:val="19"/>
                <w:color w:val="auto"/>
              </w:rPr>
            </w:pPr>
          </w:p>
        </w:tc>
        <w:tc>
          <w:tcPr>
            <w:tcW w:w="1120" w:type="dxa"/>
            <w:vAlign w:val="bottom"/>
            <w:vMerge w:val="restart"/>
          </w:tcPr>
          <w:p>
            <w:pPr>
              <w:ind w:left="20"/>
              <w:spacing w:after="0"/>
              <w:rPr>
                <w:sz w:val="20"/>
                <w:szCs w:val="20"/>
                <w:color w:val="auto"/>
              </w:rPr>
            </w:pPr>
            <w:r>
              <w:rPr>
                <w:rFonts w:ascii="Arial" w:cs="Arial" w:eastAsia="Arial" w:hAnsi="Arial"/>
                <w:sz w:val="18"/>
                <w:szCs w:val="18"/>
                <w:color w:val="auto"/>
                <w:w w:val="95"/>
              </w:rPr>
              <w:t>Residential</w:t>
            </w:r>
            <w:r>
              <w:rPr>
                <w:rFonts w:ascii="Arial" w:cs="Arial" w:eastAsia="Arial" w:hAnsi="Arial"/>
                <w:sz w:val="30"/>
                <w:szCs w:val="30"/>
                <w:color w:val="auto"/>
                <w:w w:val="95"/>
                <w:vertAlign w:val="superscript"/>
              </w:rPr>
              <w:t>(1)</w:t>
            </w:r>
          </w:p>
        </w:tc>
        <w:tc>
          <w:tcPr>
            <w:tcW w:w="200" w:type="dxa"/>
            <w:vAlign w:val="bottom"/>
            <w:vMerge w:val="restart"/>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Real Estate</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and Industrial</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Portfolio</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82"/>
              </w:rPr>
              <w:t>(Dollars 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180,879</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12,885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242,069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716,334</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Loans rated 7</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3,383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9,207</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Loans rated 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285,595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184,009</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13,788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254,700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738,092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color w:val="auto"/>
                <w:w w:val="92"/>
              </w:rPr>
              <w:t>June 30, 2017</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4"/>
              </w:rPr>
              <w:t>Originated Portfolio</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3"/>
              </w:rPr>
              <w:t>Commercial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30"/>
              <w:spacing w:after="0"/>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9"/>
                <w:szCs w:val="19"/>
                <w:color w:val="auto"/>
              </w:rPr>
            </w:pPr>
          </w:p>
        </w:tc>
        <w:tc>
          <w:tcPr>
            <w:tcW w:w="1120" w:type="dxa"/>
            <w:vAlign w:val="bottom"/>
            <w:vMerge w:val="restart"/>
          </w:tcPr>
          <w:p>
            <w:pPr>
              <w:ind w:left="20"/>
              <w:spacing w:after="0"/>
              <w:rPr>
                <w:sz w:val="20"/>
                <w:szCs w:val="20"/>
                <w:color w:val="auto"/>
              </w:rPr>
            </w:pPr>
            <w:r>
              <w:rPr>
                <w:rFonts w:ascii="Arial" w:cs="Arial" w:eastAsia="Arial" w:hAnsi="Arial"/>
                <w:sz w:val="18"/>
                <w:szCs w:val="18"/>
                <w:color w:val="auto"/>
                <w:w w:val="95"/>
              </w:rPr>
              <w:t>Residential</w:t>
            </w:r>
            <w:r>
              <w:rPr>
                <w:rFonts w:ascii="Arial" w:cs="Arial" w:eastAsia="Arial" w:hAnsi="Arial"/>
                <w:sz w:val="30"/>
                <w:szCs w:val="30"/>
                <w:color w:val="auto"/>
                <w:w w:val="95"/>
                <w:vertAlign w:val="superscript"/>
              </w:rPr>
              <w:t>(1)</w:t>
            </w:r>
          </w:p>
        </w:tc>
        <w:tc>
          <w:tcPr>
            <w:tcW w:w="200" w:type="dxa"/>
            <w:vAlign w:val="bottom"/>
            <w:vMerge w:val="restart"/>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Real Estate</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and Industrial</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Portfolio</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82"/>
              </w:rPr>
              <w:t>(Dollars 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171,160</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10,039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229,980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664,220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Loans rated 7</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9,622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14,862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8,968</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Loans rated 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256,281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174,468</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10,932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246,388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688,069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620" w:right="300" w:hanging="315"/>
        <w:spacing w:after="0" w:line="277"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of the Company’s loans made for commercial purposes, but secured by residential collateral, are rated under the Company’s risk-rating system.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Troubled Debt Restructurings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post-modification balance of TDRs by type of modification.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ind w:left="120"/>
              <w:spacing w:after="0"/>
              <w:rPr>
                <w:sz w:val="20"/>
                <w:szCs w:val="20"/>
                <w:color w:val="auto"/>
              </w:rPr>
            </w:pPr>
            <w:r>
              <w:rPr>
                <w:rFonts w:ascii="Arial" w:cs="Arial" w:eastAsia="Arial" w:hAnsi="Arial"/>
                <w:sz w:val="18"/>
                <w:szCs w:val="18"/>
                <w:color w:val="auto"/>
                <w:w w:val="95"/>
              </w:rPr>
              <w:t>Three Months Ended March 31,</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w w:val="94"/>
              </w:rPr>
              <w:t>Nine Months Ended March 31,</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420" w:type="dxa"/>
            <w:vAlign w:val="bottom"/>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8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color w:val="auto"/>
                <w:w w:val="94"/>
              </w:rPr>
              <w:t>2017</w:t>
            </w: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8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2420" w:type="dxa"/>
            <w:vAlign w:val="bottom"/>
          </w:tcPr>
          <w:p>
            <w:pPr>
              <w:spacing w:after="0"/>
              <w:rPr>
                <w:sz w:val="16"/>
                <w:szCs w:val="16"/>
                <w:color w:val="auto"/>
              </w:rPr>
            </w:pP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w w:val="99"/>
              </w:rPr>
              <w:t>Number of</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30"/>
              <w:spacing w:after="0" w:line="195" w:lineRule="exact"/>
              <w:rPr>
                <w:sz w:val="20"/>
                <w:szCs w:val="20"/>
                <w:color w:val="auto"/>
              </w:rPr>
            </w:pPr>
            <w:r>
              <w:rPr>
                <w:rFonts w:ascii="Arial" w:cs="Arial" w:eastAsia="Arial" w:hAnsi="Arial"/>
                <w:sz w:val="18"/>
                <w:szCs w:val="18"/>
                <w:color w:val="auto"/>
                <w:w w:val="89"/>
              </w:rPr>
              <w:t>Recorded</w:t>
            </w:r>
          </w:p>
        </w:tc>
        <w:tc>
          <w:tcPr>
            <w:tcW w:w="240" w:type="dxa"/>
            <w:vAlign w:val="bottom"/>
          </w:tcPr>
          <w:p>
            <w:pPr>
              <w:spacing w:after="0"/>
              <w:rPr>
                <w:sz w:val="16"/>
                <w:szCs w:val="16"/>
                <w:color w:val="auto"/>
              </w:rPr>
            </w:pPr>
          </w:p>
        </w:tc>
        <w:tc>
          <w:tcPr>
            <w:tcW w:w="114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6"/>
                <w:szCs w:val="16"/>
                <w:color w:val="auto"/>
              </w:rPr>
            </w:pPr>
          </w:p>
        </w:tc>
        <w:tc>
          <w:tcPr>
            <w:tcW w:w="960" w:type="dxa"/>
            <w:vAlign w:val="bottom"/>
          </w:tcPr>
          <w:p>
            <w:pPr>
              <w:jc w:val="right"/>
              <w:ind w:right="30"/>
              <w:spacing w:after="0" w:line="195" w:lineRule="exact"/>
              <w:rPr>
                <w:sz w:val="20"/>
                <w:szCs w:val="20"/>
                <w:color w:val="auto"/>
              </w:rPr>
            </w:pPr>
            <w:r>
              <w:rPr>
                <w:rFonts w:ascii="Arial" w:cs="Arial" w:eastAsia="Arial" w:hAnsi="Arial"/>
                <w:sz w:val="18"/>
                <w:szCs w:val="18"/>
                <w:color w:val="auto"/>
                <w:w w:val="97"/>
              </w:rPr>
              <w:t>Number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87"/>
              </w:rPr>
              <w:t>Recorded</w:t>
            </w:r>
          </w:p>
        </w:tc>
        <w:tc>
          <w:tcPr>
            <w:tcW w:w="200" w:type="dxa"/>
            <w:vAlign w:val="bottom"/>
          </w:tcPr>
          <w:p>
            <w:pPr>
              <w:spacing w:after="0"/>
              <w:rPr>
                <w:sz w:val="16"/>
                <w:szCs w:val="16"/>
                <w:color w:val="auto"/>
              </w:rPr>
            </w:pPr>
          </w:p>
        </w:tc>
        <w:tc>
          <w:tcPr>
            <w:tcW w:w="112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95"/>
              </w:rPr>
              <w:t>Number of</w:t>
            </w:r>
          </w:p>
        </w:tc>
        <w:tc>
          <w:tcPr>
            <w:tcW w:w="100" w:type="dxa"/>
            <w:vAlign w:val="bottom"/>
          </w:tcPr>
          <w:p>
            <w:pPr>
              <w:spacing w:after="0"/>
              <w:rPr>
                <w:sz w:val="16"/>
                <w:szCs w:val="16"/>
                <w:color w:val="auto"/>
              </w:rPr>
            </w:pPr>
          </w:p>
        </w:tc>
        <w:tc>
          <w:tcPr>
            <w:tcW w:w="8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r>
      <w:tr>
        <w:trPr>
          <w:trHeight w:val="230"/>
        </w:trPr>
        <w:tc>
          <w:tcPr>
            <w:tcW w:w="24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Contracts</w:t>
            </w:r>
          </w:p>
        </w:tc>
        <w:tc>
          <w:tcPr>
            <w:tcW w:w="240" w:type="dxa"/>
            <w:vAlign w:val="bottom"/>
          </w:tcPr>
          <w:p>
            <w:pPr>
              <w:spacing w:after="0"/>
              <w:rPr>
                <w:sz w:val="20"/>
                <w:szCs w:val="20"/>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color w:val="auto"/>
              </w:rPr>
              <w:t>Investment</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Contracts</w:t>
            </w: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Investment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Contracts</w:t>
            </w:r>
          </w:p>
        </w:tc>
        <w:tc>
          <w:tcPr>
            <w:tcW w:w="160" w:type="dxa"/>
            <w:vAlign w:val="bottom"/>
          </w:tcPr>
          <w:p>
            <w:pPr>
              <w:spacing w:after="0"/>
              <w:rPr>
                <w:sz w:val="20"/>
                <w:szCs w:val="20"/>
                <w:color w:val="auto"/>
              </w:rPr>
            </w:pPr>
          </w:p>
        </w:tc>
        <w:tc>
          <w:tcPr>
            <w:tcW w:w="1120" w:type="dxa"/>
            <w:vAlign w:val="bottom"/>
            <w:gridSpan w:val="3"/>
          </w:tcPr>
          <w:p>
            <w:pPr>
              <w:ind w:left="60"/>
              <w:spacing w:after="0"/>
              <w:rPr>
                <w:sz w:val="20"/>
                <w:szCs w:val="20"/>
                <w:color w:val="auto"/>
              </w:rPr>
            </w:pPr>
            <w:r>
              <w:rPr>
                <w:rFonts w:ascii="Arial" w:cs="Arial" w:eastAsia="Arial" w:hAnsi="Arial"/>
                <w:sz w:val="18"/>
                <w:szCs w:val="18"/>
                <w:color w:val="auto"/>
              </w:rPr>
              <w:t>Investment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Contracts</w:t>
            </w:r>
          </w:p>
        </w:tc>
        <w:tc>
          <w:tcPr>
            <w:tcW w:w="1020" w:type="dxa"/>
            <w:vAlign w:val="bottom"/>
            <w:gridSpan w:val="3"/>
          </w:tcPr>
          <w:p>
            <w:pPr>
              <w:ind w:left="60"/>
              <w:spacing w:after="0"/>
              <w:rPr>
                <w:sz w:val="20"/>
                <w:szCs w:val="20"/>
                <w:color w:val="auto"/>
              </w:rPr>
            </w:pPr>
            <w:r>
              <w:rPr>
                <w:rFonts w:ascii="Arial" w:cs="Arial" w:eastAsia="Arial" w:hAnsi="Arial"/>
                <w:sz w:val="18"/>
                <w:szCs w:val="18"/>
                <w:color w:val="auto"/>
              </w:rPr>
              <w:t>Investment</w:t>
            </w:r>
          </w:p>
        </w:tc>
      </w:tr>
      <w:tr>
        <w:trPr>
          <w:trHeight w:val="210"/>
        </w:trPr>
        <w:tc>
          <w:tcPr>
            <w:tcW w:w="24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(Dollars in</w:t>
            </w:r>
          </w:p>
        </w:tc>
        <w:tc>
          <w:tcPr>
            <w:tcW w:w="220" w:type="dxa"/>
            <w:vAlign w:val="bottom"/>
          </w:tcPr>
          <w:p>
            <w:pPr>
              <w:spacing w:after="0"/>
              <w:rPr>
                <w:sz w:val="18"/>
                <w:szCs w:val="18"/>
                <w:color w:val="auto"/>
              </w:rPr>
            </w:pPr>
          </w:p>
        </w:tc>
        <w:tc>
          <w:tcPr>
            <w:tcW w:w="960" w:type="dxa"/>
            <w:vAlign w:val="bottom"/>
            <w:tcBorders>
              <w:top w:val="single" w:sz="8" w:color="auto"/>
            </w:tcBorders>
          </w:tcPr>
          <w:p>
            <w:pPr>
              <w:jc w:val="right"/>
              <w:ind w:right="250"/>
              <w:spacing w:after="0"/>
              <w:rPr>
                <w:sz w:val="20"/>
                <w:szCs w:val="20"/>
                <w:color w:val="auto"/>
              </w:rPr>
            </w:pPr>
            <w:r>
              <w:rPr>
                <w:rFonts w:ascii="Arial" w:cs="Arial" w:eastAsia="Arial" w:hAnsi="Arial"/>
                <w:sz w:val="17"/>
                <w:szCs w:val="17"/>
                <w:color w:val="auto"/>
                <w:w w:val="71"/>
              </w:rPr>
              <w:t>thousands)</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Extended maturity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Adjusted interest rate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220</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Rate and maturity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968</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2,263</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Principal deferment</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2,418</w:t>
            </w:r>
          </w:p>
        </w:tc>
        <w:tc>
          <w:tcPr>
            <w:tcW w:w="920" w:type="dxa"/>
            <w:vAlign w:val="bottom"/>
          </w:tcPr>
          <w:p>
            <w:pPr>
              <w:ind w:left="86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3,356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Court ordered concession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ind w:left="86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4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2,528</w:t>
            </w:r>
          </w:p>
        </w:tc>
        <w:tc>
          <w:tcPr>
            <w:tcW w:w="24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1,833</w:t>
            </w: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5,762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2,626</w:t>
            </w:r>
          </w:p>
        </w:tc>
      </w:tr>
      <w:tr>
        <w:trPr>
          <w:trHeight w:val="20"/>
        </w:trPr>
        <w:tc>
          <w:tcPr>
            <w:tcW w:w="2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loans modified in a TDR and the change in the recorded investment subsequent to the modifications occurring.</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Three Months Ended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9"/>
              </w:rPr>
              <w:t>Recorded</w:t>
            </w:r>
          </w:p>
        </w:tc>
        <w:tc>
          <w:tcPr>
            <w:tcW w:w="160" w:type="dxa"/>
            <w:vAlign w:val="bottom"/>
          </w:tcPr>
          <w:p>
            <w:pPr>
              <w:spacing w:after="0"/>
              <w:rPr>
                <w:sz w:val="16"/>
                <w:szCs w:val="16"/>
                <w:color w:val="auto"/>
              </w:rPr>
            </w:pPr>
          </w:p>
        </w:tc>
        <w:tc>
          <w:tcPr>
            <w:tcW w:w="11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7"/>
              </w:rPr>
              <w:t>Recorded</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Investment</w:t>
            </w:r>
          </w:p>
        </w:tc>
        <w:tc>
          <w:tcPr>
            <w:tcW w:w="16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Investment</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Pre-</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0"/>
              </w:rPr>
              <w:t>Contracts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97"/>
              </w:rPr>
              <w:t>Modification</w:t>
            </w:r>
          </w:p>
        </w:tc>
        <w:tc>
          <w:tcPr>
            <w:tcW w:w="22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Arial" w:cs="Arial" w:eastAsia="Arial" w:hAnsi="Arial"/>
                <w:sz w:val="18"/>
                <w:szCs w:val="18"/>
                <w:color w:val="auto"/>
              </w:rPr>
              <w:t>Post-Modification</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Contracts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Modification</w:t>
            </w:r>
          </w:p>
        </w:tc>
        <w:tc>
          <w:tcPr>
            <w:tcW w:w="1520" w:type="dxa"/>
            <w:vAlign w:val="bottom"/>
            <w:gridSpan w:val="4"/>
          </w:tcPr>
          <w:p>
            <w:pPr>
              <w:ind w:left="120"/>
              <w:spacing w:after="0"/>
              <w:rPr>
                <w:sz w:val="20"/>
                <w:szCs w:val="20"/>
                <w:color w:val="auto"/>
              </w:rPr>
            </w:pPr>
            <w:r>
              <w:rPr>
                <w:rFonts w:ascii="Arial" w:cs="Arial" w:eastAsia="Arial" w:hAnsi="Arial"/>
                <w:sz w:val="18"/>
                <w:szCs w:val="18"/>
                <w:color w:val="auto"/>
                <w:w w:val="99"/>
              </w:rPr>
              <w:t>Post-Modification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4"/>
          </w:tcPr>
          <w:p>
            <w:pPr>
              <w:jc w:val="center"/>
              <w:ind w:right="140"/>
              <w:spacing w:after="0"/>
              <w:rPr>
                <w:sz w:val="20"/>
                <w:szCs w:val="20"/>
                <w:color w:val="auto"/>
              </w:rPr>
            </w:pPr>
            <w:r>
              <w:rPr>
                <w:rFonts w:ascii="Arial" w:cs="Arial" w:eastAsia="Arial" w:hAnsi="Arial"/>
                <w:sz w:val="18"/>
                <w:szCs w:val="18"/>
                <w:color w:val="auto"/>
                <w:w w:val="91"/>
              </w:rPr>
              <w:t>(Dollars 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577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577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1,224</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1,230</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ind w:left="160"/>
              <w:spacing w:after="0"/>
              <w:rPr>
                <w:sz w:val="20"/>
                <w:szCs w:val="20"/>
                <w:color w:val="auto"/>
              </w:rPr>
            </w:pPr>
            <w:r>
              <w:rPr>
                <w:rFonts w:ascii="Arial" w:cs="Arial" w:eastAsia="Arial" w:hAnsi="Arial"/>
                <w:sz w:val="18"/>
                <w:szCs w:val="18"/>
                <w:color w:val="auto"/>
              </w:rPr>
              <w:t>Consumer</w:t>
            </w:r>
          </w:p>
        </w:tc>
        <w:tc>
          <w:tcPr>
            <w:tcW w:w="9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9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Purchased portfolio:</w:t>
            </w: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98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721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purchased portfolio</w:t>
            </w:r>
          </w:p>
        </w:tc>
        <w:tc>
          <w:tcPr>
            <w:tcW w:w="9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Pr>
          <w:p>
            <w:pPr>
              <w:ind w:left="320"/>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2,497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2,528</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color w:val="auto"/>
                <w:w w:val="92"/>
              </w:rPr>
              <w:t>Nine Months Ended March 31,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9"/>
              </w:rPr>
              <w:t>Recorded</w:t>
            </w:r>
          </w:p>
        </w:tc>
        <w:tc>
          <w:tcPr>
            <w:tcW w:w="160" w:type="dxa"/>
            <w:vAlign w:val="bottom"/>
          </w:tcPr>
          <w:p>
            <w:pPr>
              <w:spacing w:after="0"/>
              <w:rPr>
                <w:sz w:val="16"/>
                <w:szCs w:val="16"/>
                <w:color w:val="auto"/>
              </w:rPr>
            </w:pPr>
          </w:p>
        </w:tc>
        <w:tc>
          <w:tcPr>
            <w:tcW w:w="11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7"/>
              </w:rPr>
              <w:t>Recorded</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Investment</w:t>
            </w:r>
          </w:p>
        </w:tc>
        <w:tc>
          <w:tcPr>
            <w:tcW w:w="16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Investment</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Pre-</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0"/>
              </w:rPr>
              <w:t>Contracts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97"/>
              </w:rPr>
              <w:t>Modification</w:t>
            </w:r>
          </w:p>
        </w:tc>
        <w:tc>
          <w:tcPr>
            <w:tcW w:w="22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Arial" w:cs="Arial" w:eastAsia="Arial" w:hAnsi="Arial"/>
                <w:sz w:val="18"/>
                <w:szCs w:val="18"/>
                <w:color w:val="auto"/>
              </w:rPr>
              <w:t>Post-Modification</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Contracts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Modification</w:t>
            </w:r>
          </w:p>
        </w:tc>
        <w:tc>
          <w:tcPr>
            <w:tcW w:w="1520" w:type="dxa"/>
            <w:vAlign w:val="bottom"/>
            <w:gridSpan w:val="4"/>
          </w:tcPr>
          <w:p>
            <w:pPr>
              <w:ind w:left="120"/>
              <w:spacing w:after="0"/>
              <w:rPr>
                <w:sz w:val="20"/>
                <w:szCs w:val="20"/>
                <w:color w:val="auto"/>
              </w:rPr>
            </w:pPr>
            <w:r>
              <w:rPr>
                <w:rFonts w:ascii="Arial" w:cs="Arial" w:eastAsia="Arial" w:hAnsi="Arial"/>
                <w:sz w:val="18"/>
                <w:szCs w:val="18"/>
                <w:color w:val="auto"/>
                <w:w w:val="99"/>
              </w:rPr>
              <w:t>Post-Modification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4"/>
          </w:tcPr>
          <w:p>
            <w:pPr>
              <w:jc w:val="center"/>
              <w:ind w:right="140"/>
              <w:spacing w:after="0"/>
              <w:rPr>
                <w:sz w:val="20"/>
                <w:szCs w:val="20"/>
                <w:color w:val="auto"/>
              </w:rPr>
            </w:pPr>
            <w:r>
              <w:rPr>
                <w:rFonts w:ascii="Arial" w:cs="Arial" w:eastAsia="Arial" w:hAnsi="Arial"/>
                <w:sz w:val="18"/>
                <w:szCs w:val="18"/>
                <w:color w:val="auto"/>
                <w:w w:val="91"/>
              </w:rPr>
              <w:t>(Dollars 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624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625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896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3,303</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3,370</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ind w:left="160"/>
              <w:spacing w:after="0"/>
              <w:rPr>
                <w:sz w:val="20"/>
                <w:szCs w:val="20"/>
                <w:color w:val="auto"/>
              </w:rPr>
            </w:pPr>
            <w:r>
              <w:rPr>
                <w:rFonts w:ascii="Arial" w:cs="Arial" w:eastAsia="Arial" w:hAnsi="Arial"/>
                <w:sz w:val="18"/>
                <w:szCs w:val="18"/>
                <w:color w:val="auto"/>
              </w:rPr>
              <w:t>Consumer</w:t>
            </w:r>
          </w:p>
        </w:tc>
        <w:tc>
          <w:tcPr>
            <w:tcW w:w="9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Purchased portfolio:</w:t>
            </w: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820</w:t>
            </w: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844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9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98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1,088</w:t>
            </w: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1,112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considers TDRs past due 90 days or more to be in payment default. One loan modified in a TDR in the last twelve months totaling $141 thousand defaulted during the three and nine months ended March 31, 2018. As of March 31, 2018, there were no further commitments to lend to borrowers associated with loans modified in a TDR.</w:t>
      </w:r>
    </w:p>
    <w:p>
      <w:pPr>
        <w:sectPr>
          <w:pgSz w:w="11900" w:h="16838" w:orient="portrait"/>
          <w:cols w:equalWidth="0" w:num="1">
            <w:col w:w="11420"/>
          </w:cols>
          <w:pgMar w:left="240" w:top="118"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ASC 310-30 Loans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a summary of loans accounted for under ASC 310-30 that were acquired by the Company during the period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color w:val="auto"/>
                <w:w w:val="97"/>
              </w:rPr>
              <w:t>Three Months Ended</w:t>
            </w:r>
          </w:p>
        </w:tc>
        <w:tc>
          <w:tcPr>
            <w:tcW w:w="80" w:type="dxa"/>
            <w:vAlign w:val="bottom"/>
          </w:tcPr>
          <w:p>
            <w:pPr>
              <w:spacing w:after="0"/>
              <w:rPr>
                <w:sz w:val="18"/>
                <w:szCs w:val="18"/>
                <w:color w:val="auto"/>
              </w:rPr>
            </w:pPr>
          </w:p>
        </w:tc>
        <w:tc>
          <w:tcPr>
            <w:tcW w:w="1620" w:type="dxa"/>
            <w:vAlign w:val="bottom"/>
            <w:gridSpan w:val="3"/>
          </w:tcPr>
          <w:p>
            <w:pPr>
              <w:spacing w:after="0"/>
              <w:rPr>
                <w:sz w:val="20"/>
                <w:szCs w:val="20"/>
                <w:color w:val="auto"/>
              </w:rPr>
            </w:pPr>
            <w:r>
              <w:rPr>
                <w:rFonts w:ascii="Arial" w:cs="Arial" w:eastAsia="Arial" w:hAnsi="Arial"/>
                <w:sz w:val="18"/>
                <w:szCs w:val="18"/>
                <w:color w:val="auto"/>
                <w:w w:val="95"/>
              </w:rPr>
              <w:t>Three Months Ended</w:t>
            </w:r>
          </w:p>
        </w:tc>
      </w:tr>
      <w:tr>
        <w:trPr>
          <w:trHeight w:val="230"/>
        </w:trPr>
        <w:tc>
          <w:tcPr>
            <w:tcW w:w="4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March 31, 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March 31, 2017</w:t>
            </w:r>
          </w:p>
        </w:tc>
        <w:tc>
          <w:tcPr>
            <w:tcW w:w="80" w:type="dxa"/>
            <w:vAlign w:val="bottom"/>
          </w:tcPr>
          <w:p>
            <w:pPr>
              <w:spacing w:after="0"/>
              <w:rPr>
                <w:sz w:val="20"/>
                <w:szCs w:val="20"/>
                <w:color w:val="auto"/>
              </w:rPr>
            </w:pPr>
          </w:p>
        </w:tc>
      </w:tr>
      <w:tr>
        <w:trPr>
          <w:trHeight w:val="210"/>
        </w:trPr>
        <w:tc>
          <w:tcPr>
            <w:tcW w:w="4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6"/>
          </w:tcPr>
          <w:p>
            <w:pPr>
              <w:jc w:val="right"/>
              <w:ind w:right="940"/>
              <w:spacing w:after="0"/>
              <w:rPr>
                <w:sz w:val="20"/>
                <w:szCs w:val="20"/>
                <w:color w:val="auto"/>
              </w:rPr>
            </w:pPr>
            <w:r>
              <w:rPr>
                <w:rFonts w:ascii="Arial" w:cs="Arial" w:eastAsia="Arial" w:hAnsi="Arial"/>
                <w:sz w:val="18"/>
                <w:szCs w:val="18"/>
                <w:color w:val="auto"/>
              </w:rPr>
              <w:t>(Dollars in thousands)</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174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51,602</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13,190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20"/>
        </w:trPr>
        <w:tc>
          <w:tcPr>
            <w:tcW w:w="4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13,146</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Accretable yield</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(17,740)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(5,285)</w:t>
            </w:r>
          </w:p>
        </w:tc>
      </w:tr>
      <w:tr>
        <w:trPr>
          <w:trHeight w:val="20"/>
        </w:trPr>
        <w:tc>
          <w:tcPr>
            <w:tcW w:w="4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loans acquired</w:t>
            </w:r>
          </w:p>
        </w:tc>
        <w:tc>
          <w:tcPr>
            <w:tcW w:w="1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33,021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7,861</w:t>
            </w:r>
          </w:p>
        </w:tc>
      </w:tr>
      <w:tr>
        <w:trPr>
          <w:trHeight w:val="398"/>
        </w:trPr>
        <w:tc>
          <w:tcPr>
            <w:tcW w:w="4740" w:type="dxa"/>
            <w:vAlign w:val="bottom"/>
            <w:tcBorders>
              <w:top w:val="single" w:sz="8" w:color="CCEEFF"/>
            </w:tcBorders>
          </w:tcPr>
          <w:p>
            <w:pPr>
              <w:spacing w:after="0"/>
              <w:rPr>
                <w:sz w:val="24"/>
                <w:szCs w:val="24"/>
                <w:color w:val="auto"/>
              </w:rPr>
            </w:pPr>
          </w:p>
        </w:tc>
        <w:tc>
          <w:tcPr>
            <w:tcW w:w="1580" w:type="dxa"/>
            <w:vAlign w:val="bottom"/>
            <w:tcBorders>
              <w:top w:val="single" w:sz="8" w:color="CCEEFF"/>
            </w:tcBorders>
          </w:tcPr>
          <w:p>
            <w:pPr>
              <w:spacing w:after="0"/>
              <w:rPr>
                <w:sz w:val="24"/>
                <w:szCs w:val="24"/>
                <w:color w:val="auto"/>
              </w:rPr>
            </w:pPr>
          </w:p>
        </w:tc>
        <w:tc>
          <w:tcPr>
            <w:tcW w:w="15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Nine Months Ended</w:t>
            </w: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Nine Months Ended</w:t>
            </w:r>
          </w:p>
        </w:tc>
        <w:tc>
          <w:tcPr>
            <w:tcW w:w="80" w:type="dxa"/>
            <w:vAlign w:val="bottom"/>
            <w:tcBorders>
              <w:top w:val="single" w:sz="8" w:color="CCEEFF"/>
            </w:tcBorders>
          </w:tcPr>
          <w:p>
            <w:pPr>
              <w:spacing w:after="0"/>
              <w:rPr>
                <w:sz w:val="24"/>
                <w:szCs w:val="24"/>
                <w:color w:val="auto"/>
              </w:rPr>
            </w:pPr>
          </w:p>
        </w:tc>
      </w:tr>
      <w:tr>
        <w:trPr>
          <w:trHeight w:val="230"/>
        </w:trPr>
        <w:tc>
          <w:tcPr>
            <w:tcW w:w="4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March 31, 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March 31, 2017</w:t>
            </w:r>
          </w:p>
        </w:tc>
        <w:tc>
          <w:tcPr>
            <w:tcW w:w="80" w:type="dxa"/>
            <w:vAlign w:val="bottom"/>
          </w:tcPr>
          <w:p>
            <w:pPr>
              <w:spacing w:after="0"/>
              <w:rPr>
                <w:sz w:val="20"/>
                <w:szCs w:val="20"/>
                <w:color w:val="auto"/>
              </w:rPr>
            </w:pPr>
          </w:p>
        </w:tc>
      </w:tr>
      <w:tr>
        <w:trPr>
          <w:trHeight w:val="210"/>
        </w:trPr>
        <w:tc>
          <w:tcPr>
            <w:tcW w:w="4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6"/>
          </w:tcPr>
          <w:p>
            <w:pPr>
              <w:jc w:val="right"/>
              <w:ind w:right="940"/>
              <w:spacing w:after="0"/>
              <w:rPr>
                <w:sz w:val="20"/>
                <w:szCs w:val="20"/>
                <w:color w:val="auto"/>
              </w:rPr>
            </w:pPr>
            <w:r>
              <w:rPr>
                <w:rFonts w:ascii="Arial" w:cs="Arial" w:eastAsia="Arial" w:hAnsi="Arial"/>
                <w:sz w:val="18"/>
                <w:szCs w:val="18"/>
                <w:color w:val="auto"/>
              </w:rPr>
              <w:t>(Dollars in thousands)</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174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106,922</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107,910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(2,665)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(3,538)</w:t>
            </w:r>
          </w:p>
        </w:tc>
      </w:tr>
      <w:tr>
        <w:trPr>
          <w:trHeight w:val="20"/>
        </w:trPr>
        <w:tc>
          <w:tcPr>
            <w:tcW w:w="4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104,257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104,372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Accretable yield</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(32,783)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(36,625)</w:t>
            </w:r>
          </w:p>
        </w:tc>
      </w:tr>
      <w:tr>
        <w:trPr>
          <w:trHeight w:val="20"/>
        </w:trPr>
        <w:tc>
          <w:tcPr>
            <w:tcW w:w="4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loans acquired</w:t>
            </w: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71,474</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67,747</w:t>
            </w:r>
          </w:p>
        </w:tc>
      </w:tr>
      <w:tr>
        <w:trPr>
          <w:trHeight w:val="20"/>
        </w:trPr>
        <w:tc>
          <w:tcPr>
            <w:tcW w:w="47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Certain loans accounted for under ASC 310-30 that were acquired by the Company are not accounted for using the income recognition model because the Company cannot reasonably estimate cash flows expected to be collected. These loans when acquired are placed on nonaccrual. The carrying amounts of such loans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As of and for the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As of and for the</w:t>
            </w:r>
          </w:p>
        </w:tc>
      </w:tr>
      <w:tr>
        <w:trPr>
          <w:trHeight w:val="216"/>
        </w:trPr>
        <w:tc>
          <w:tcPr>
            <w:tcW w:w="4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Three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Nine</w:t>
            </w:r>
          </w:p>
        </w:tc>
      </w:tr>
      <w:tr>
        <w:trPr>
          <w:trHeight w:val="216"/>
        </w:trPr>
        <w:tc>
          <w:tcPr>
            <w:tcW w:w="4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Months Ended</w:t>
            </w:r>
          </w:p>
        </w:tc>
      </w:tr>
      <w:tr>
        <w:trPr>
          <w:trHeight w:val="230"/>
        </w:trPr>
        <w:tc>
          <w:tcPr>
            <w:tcW w:w="4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March 31, 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March 31, 2018</w:t>
            </w:r>
          </w:p>
        </w:tc>
        <w:tc>
          <w:tcPr>
            <w:tcW w:w="80" w:type="dxa"/>
            <w:vAlign w:val="bottom"/>
          </w:tcPr>
          <w:p>
            <w:pPr>
              <w:spacing w:after="0"/>
              <w:rPr>
                <w:sz w:val="20"/>
                <w:szCs w:val="20"/>
                <w:color w:val="auto"/>
              </w:rPr>
            </w:pPr>
          </w:p>
        </w:tc>
      </w:tr>
      <w:tr>
        <w:trPr>
          <w:trHeight w:val="210"/>
        </w:trPr>
        <w:tc>
          <w:tcPr>
            <w:tcW w:w="4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40" w:type="dxa"/>
            <w:vAlign w:val="bottom"/>
            <w:gridSpan w:val="6"/>
          </w:tcPr>
          <w:p>
            <w:pPr>
              <w:ind w:left="700"/>
              <w:spacing w:after="0"/>
              <w:rPr>
                <w:sz w:val="20"/>
                <w:szCs w:val="20"/>
                <w:color w:val="auto"/>
              </w:rPr>
            </w:pPr>
            <w:r>
              <w:rPr>
                <w:rFonts w:ascii="Arial" w:cs="Arial" w:eastAsia="Arial" w:hAnsi="Arial"/>
                <w:sz w:val="18"/>
                <w:szCs w:val="18"/>
                <w:color w:val="auto"/>
              </w:rPr>
              <w:t>(Dollars in thousands)</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Loans acquired during the period</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Loans at end of period</w:t>
            </w: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7,431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7,431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in the accretable yield for loans accounted for under ASC 310-30.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1760" w:type="dxa"/>
            <w:vAlign w:val="bottom"/>
            <w:gridSpan w:val="3"/>
          </w:tcPr>
          <w:p>
            <w:pPr>
              <w:ind w:left="20"/>
              <w:spacing w:after="0"/>
              <w:rPr>
                <w:sz w:val="20"/>
                <w:szCs w:val="20"/>
                <w:color w:val="auto"/>
              </w:rPr>
            </w:pPr>
            <w:r>
              <w:rPr>
                <w:rFonts w:ascii="Arial" w:cs="Arial" w:eastAsia="Arial" w:hAnsi="Arial"/>
                <w:sz w:val="18"/>
                <w:szCs w:val="18"/>
                <w:color w:val="auto"/>
              </w:rPr>
              <w:t>Three Months Ended</w:t>
            </w:r>
          </w:p>
        </w:tc>
        <w:tc>
          <w:tcPr>
            <w:tcW w:w="1620" w:type="dxa"/>
            <w:vAlign w:val="bottom"/>
            <w:gridSpan w:val="3"/>
          </w:tcPr>
          <w:p>
            <w:pPr>
              <w:spacing w:after="0"/>
              <w:rPr>
                <w:sz w:val="20"/>
                <w:szCs w:val="20"/>
                <w:color w:val="auto"/>
              </w:rPr>
            </w:pPr>
            <w:r>
              <w:rPr>
                <w:rFonts w:ascii="Arial" w:cs="Arial" w:eastAsia="Arial" w:hAnsi="Arial"/>
                <w:sz w:val="18"/>
                <w:szCs w:val="18"/>
                <w:color w:val="auto"/>
                <w:w w:val="95"/>
              </w:rPr>
              <w:t>Three Months Ended</w:t>
            </w:r>
          </w:p>
        </w:tc>
      </w:tr>
      <w:tr>
        <w:trPr>
          <w:trHeight w:val="230"/>
        </w:trPr>
        <w:tc>
          <w:tcPr>
            <w:tcW w:w="6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March 31, 2018</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2"/>
              </w:rPr>
              <w:t>March 31, 2017</w:t>
            </w:r>
          </w:p>
        </w:tc>
        <w:tc>
          <w:tcPr>
            <w:tcW w:w="100" w:type="dxa"/>
            <w:vAlign w:val="bottom"/>
          </w:tcPr>
          <w:p>
            <w:pPr>
              <w:spacing w:after="0"/>
              <w:rPr>
                <w:sz w:val="20"/>
                <w:szCs w:val="20"/>
                <w:color w:val="auto"/>
              </w:rPr>
            </w:pPr>
          </w:p>
        </w:tc>
      </w:tr>
      <w:tr>
        <w:trPr>
          <w:trHeight w:val="210"/>
        </w:trPr>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40" w:type="dxa"/>
            <w:vAlign w:val="bottom"/>
            <w:gridSpan w:val="5"/>
          </w:tcPr>
          <w:p>
            <w:pPr>
              <w:jc w:val="right"/>
              <w:ind w:right="940"/>
              <w:spacing w:after="0"/>
              <w:rPr>
                <w:sz w:val="20"/>
                <w:szCs w:val="20"/>
                <w:color w:val="auto"/>
              </w:rPr>
            </w:pPr>
            <w:r>
              <w:rPr>
                <w:rFonts w:ascii="Arial" w:cs="Arial" w:eastAsia="Arial" w:hAnsi="Arial"/>
                <w:sz w:val="18"/>
                <w:szCs w:val="18"/>
                <w:color w:val="auto"/>
              </w:rPr>
              <w:t>(Dollars in thousands)</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124,903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128,423</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17,740</w:t>
            </w: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5,285</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(4,476)</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(4,762)</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Reclassifications from non-accretable difference to accretable yield</w:t>
            </w:r>
          </w:p>
        </w:tc>
        <w:tc>
          <w:tcPr>
            <w:tcW w:w="1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790</w:t>
            </w: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3,703</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 changes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(7,750)</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(7,434)</w:t>
            </w:r>
          </w:p>
        </w:tc>
      </w:tr>
      <w:tr>
        <w:trPr>
          <w:trHeight w:val="210"/>
        </w:trPr>
        <w:tc>
          <w:tcPr>
            <w:tcW w:w="6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131,207</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125,215</w:t>
            </w:r>
          </w:p>
        </w:tc>
        <w:tc>
          <w:tcPr>
            <w:tcW w:w="100" w:type="dxa"/>
            <w:vAlign w:val="bottom"/>
            <w:tcBorders>
              <w:top w:val="single" w:sz="8" w:color="CCEEFF"/>
            </w:tcBorders>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8"/>
        </w:trPr>
        <w:tc>
          <w:tcPr>
            <w:tcW w:w="6900" w:type="dxa"/>
            <w:vAlign w:val="bottom"/>
          </w:tcPr>
          <w:p>
            <w:pPr>
              <w:spacing w:after="0"/>
              <w:rPr>
                <w:sz w:val="24"/>
                <w:szCs w:val="24"/>
                <w:color w:val="auto"/>
              </w:rPr>
            </w:pPr>
          </w:p>
        </w:tc>
        <w:tc>
          <w:tcPr>
            <w:tcW w:w="1760" w:type="dxa"/>
            <w:vAlign w:val="bottom"/>
            <w:gridSpan w:val="3"/>
          </w:tcPr>
          <w:p>
            <w:pPr>
              <w:jc w:val="right"/>
              <w:ind w:right="260"/>
              <w:spacing w:after="0"/>
              <w:rPr>
                <w:sz w:val="20"/>
                <w:szCs w:val="20"/>
                <w:color w:val="auto"/>
              </w:rPr>
            </w:pPr>
            <w:r>
              <w:rPr>
                <w:rFonts w:ascii="Arial" w:cs="Arial" w:eastAsia="Arial" w:hAnsi="Arial"/>
                <w:sz w:val="18"/>
                <w:szCs w:val="18"/>
                <w:color w:val="auto"/>
                <w:w w:val="93"/>
              </w:rPr>
              <w:t>Nine Months Ended</w:t>
            </w:r>
          </w:p>
        </w:tc>
        <w:tc>
          <w:tcPr>
            <w:tcW w:w="1620" w:type="dxa"/>
            <w:vAlign w:val="bottom"/>
            <w:gridSpan w:val="3"/>
          </w:tcPr>
          <w:p>
            <w:pPr>
              <w:ind w:left="20"/>
              <w:spacing w:after="0"/>
              <w:rPr>
                <w:sz w:val="20"/>
                <w:szCs w:val="20"/>
                <w:color w:val="auto"/>
              </w:rPr>
            </w:pPr>
            <w:r>
              <w:rPr>
                <w:rFonts w:ascii="Arial" w:cs="Arial" w:eastAsia="Arial" w:hAnsi="Arial"/>
                <w:sz w:val="18"/>
                <w:szCs w:val="18"/>
                <w:color w:val="auto"/>
                <w:w w:val="99"/>
              </w:rPr>
              <w:t>Nine Months Ended</w:t>
            </w:r>
          </w:p>
        </w:tc>
      </w:tr>
      <w:tr>
        <w:trPr>
          <w:trHeight w:val="230"/>
        </w:trPr>
        <w:tc>
          <w:tcPr>
            <w:tcW w:w="6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March 31, 2018</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2"/>
              </w:rPr>
              <w:t>March 31, 2017</w:t>
            </w:r>
          </w:p>
        </w:tc>
        <w:tc>
          <w:tcPr>
            <w:tcW w:w="100" w:type="dxa"/>
            <w:vAlign w:val="bottom"/>
          </w:tcPr>
          <w:p>
            <w:pPr>
              <w:spacing w:after="0"/>
              <w:rPr>
                <w:sz w:val="20"/>
                <w:szCs w:val="20"/>
                <w:color w:val="auto"/>
              </w:rPr>
            </w:pPr>
          </w:p>
        </w:tc>
      </w:tr>
      <w:tr>
        <w:trPr>
          <w:trHeight w:val="210"/>
        </w:trPr>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40" w:type="dxa"/>
            <w:vAlign w:val="bottom"/>
            <w:gridSpan w:val="5"/>
          </w:tcPr>
          <w:p>
            <w:pPr>
              <w:jc w:val="right"/>
              <w:ind w:right="940"/>
              <w:spacing w:after="0"/>
              <w:rPr>
                <w:sz w:val="20"/>
                <w:szCs w:val="20"/>
                <w:color w:val="auto"/>
              </w:rPr>
            </w:pPr>
            <w:r>
              <w:rPr>
                <w:rFonts w:ascii="Arial" w:cs="Arial" w:eastAsia="Arial" w:hAnsi="Arial"/>
                <w:sz w:val="18"/>
                <w:szCs w:val="18"/>
                <w:color w:val="auto"/>
              </w:rPr>
              <w:t>(Dollars in thousands)</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124,151</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32,783</w:t>
            </w: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36,625</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(13,145)</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(14,070)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Reclassifications from non-accretable difference to accretable yield</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4,834</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 changes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(24,941)</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(26,325)</w:t>
            </w:r>
          </w:p>
        </w:tc>
      </w:tr>
      <w:tr>
        <w:trPr>
          <w:trHeight w:val="210"/>
        </w:trPr>
        <w:tc>
          <w:tcPr>
            <w:tcW w:w="6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131,207</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125,215</w:t>
            </w:r>
          </w:p>
        </w:tc>
        <w:tc>
          <w:tcPr>
            <w:tcW w:w="100" w:type="dxa"/>
            <w:vAlign w:val="bottom"/>
            <w:tcBorders>
              <w:top w:val="single" w:sz="8" w:color="CCEEFF"/>
            </w:tcBorders>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the unpaid principal balance and carrying amounts of ASC 310-30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March 31, 2018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2017</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gridSpan w:val="6"/>
          </w:tcPr>
          <w:p>
            <w:pPr>
              <w:ind w:left="70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281,325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271,709</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Carrying amount</w:t>
            </w:r>
          </w:p>
        </w:tc>
        <w:tc>
          <w:tcPr>
            <w:tcW w:w="140" w:type="dxa"/>
            <w:vAlign w:val="bottom"/>
          </w:tcPr>
          <w:p>
            <w:pPr>
              <w:spacing w:after="0"/>
              <w:rPr>
                <w:sz w:val="20"/>
                <w:szCs w:val="20"/>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247,869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239,583</w:t>
            </w:r>
          </w:p>
        </w:tc>
      </w:tr>
    </w:tbl>
    <w:p>
      <w:pPr>
        <w:spacing w:after="0" w:line="187" w:lineRule="exact"/>
        <w:rPr>
          <w:sz w:val="20"/>
          <w:szCs w:val="20"/>
          <w:color w:val="auto"/>
        </w:rPr>
      </w:pPr>
    </w:p>
    <w:p>
      <w:pPr>
        <w:sectPr>
          <w:pgSz w:w="11900" w:h="16838" w:orient="portrait"/>
          <w:cols w:equalWidth="0" w:num="1">
            <w:col w:w="11420"/>
          </w:cols>
          <w:pgMar w:left="240" w:top="118" w:right="239" w:bottom="1136" w:gutter="0" w:footer="0" w:header="0"/>
        </w:sect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136" w:gutter="0" w:footer="0" w:header="0"/>
          <w:type w:val="continuous"/>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 and Servicing of Financial Assets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sells loans in the secondary market and for certain loans, retains the servicing responsibility. Consideration for the sale includes the cash received as well as the related servicing rights asset. The Company receives fees for the services provided.</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Capitalized servicing rights as of March 31, 2018 totaled $3.0 million, compared to $2.8 million as of June 30, 2017, and are classified as loan servicing rights, net, on the consolidated balance sheets.</w:t>
      </w:r>
    </w:p>
    <w:p>
      <w:pPr>
        <w:spacing w:after="0" w:line="170"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Mortgage loans sold in the quarter ended March 31, 2018 totaled $16.4 million, compared to $15.5 million in the quarter ended March 31, 2017. Mortgage loans sold in the nine months ended March 31, 2018 totaled $53.1 million, compared to $58.2 million in the nine months ended March 31, 2017. Mortgage loans serviced for others totaled $9.0 million at March 31, 2018 and $10.7 million at June 30, 2017. Additionally, the Company was servicing commercial loans participated out to various other institutions amounting to $15.6 million and $25.2 million at March 31, 2018 and June 30, 2017, respectively.</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SBA loans sold during the quarter ended March 31, 2018 totaled $5.8 million, compared to $9.9 million in the quarter ended March 31, 2017. SBA loans sold in the nine months ended March 31, 2018 totaled $18.4 million, compared to $34.7 million in the nine months ended March 31, 2017. SBA loans serviced for others totaled $160.5 million at March 31, 2018 and $144.4 million at June 30, 2017.</w:t>
      </w:r>
    </w:p>
    <w:p>
      <w:pPr>
        <w:spacing w:after="0" w:line="18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Mortgage and SBA loans serviced for others are accounted for as sales and therefore are not included on the accompanying consolidated balance sheets. The risks inherent in mortgage servicing assets and SBA servicing assets relate primarily to changes in prepayments that result from shifts in interest rates.</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Contractually specified servicing fees were $196 thousand and $287 thousand for the quarters ended March 31, 2018 and 2017, respectively, and were included as a component of loan-related fees within noninterest income. Contractually specified servicing fees were $693 thousand and $695 thousand for the nine months ended March 31, 2018 and 2017, respectively.</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significant assumptions used in the valuation of the servicing rights included a range of discount rates from 9.6% to 15.7% and a weighted average prepayment speed assumption of 9.4%.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 (EPS)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EPS is computed by dividing net income allocated to common shareholders by the weighted average common shares outstanding (including participating securities). The Company’s only participating securities are unvested restricted stock awards that contain non-forfeitable rights to dividends. The following table shows the weighted average number of shares outstanding for the periods indicated.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6"/>
          </w:tcPr>
          <w:p>
            <w:pPr>
              <w:jc w:val="right"/>
              <w:ind w:right="380"/>
              <w:spacing w:after="0"/>
              <w:rPr>
                <w:sz w:val="20"/>
                <w:szCs w:val="20"/>
                <w:color w:val="auto"/>
              </w:rPr>
            </w:pPr>
            <w:r>
              <w:rPr>
                <w:rFonts w:ascii="Arial" w:cs="Arial" w:eastAsia="Arial" w:hAnsi="Arial"/>
                <w:sz w:val="18"/>
                <w:szCs w:val="18"/>
                <w:color w:val="auto"/>
                <w:w w:val="90"/>
              </w:rPr>
              <w:t>Three months Ended March 31,</w:t>
            </w:r>
          </w:p>
        </w:tc>
        <w:tc>
          <w:tcPr>
            <w:tcW w:w="140" w:type="dxa"/>
            <w:vAlign w:val="bottom"/>
          </w:tcPr>
          <w:p>
            <w:pPr>
              <w:spacing w:after="0"/>
              <w:rPr>
                <w:sz w:val="20"/>
                <w:szCs w:val="20"/>
                <w:color w:val="auto"/>
              </w:rPr>
            </w:pPr>
          </w:p>
        </w:tc>
        <w:tc>
          <w:tcPr>
            <w:tcW w:w="2560" w:type="dxa"/>
            <w:vAlign w:val="bottom"/>
            <w:gridSpan w:val="5"/>
          </w:tcPr>
          <w:p>
            <w:pPr>
              <w:ind w:left="40"/>
              <w:spacing w:after="0"/>
              <w:rPr>
                <w:sz w:val="20"/>
                <w:szCs w:val="20"/>
                <w:color w:val="auto"/>
              </w:rPr>
            </w:pPr>
            <w:r>
              <w:rPr>
                <w:rFonts w:ascii="Arial" w:cs="Arial" w:eastAsia="Arial" w:hAnsi="Arial"/>
                <w:sz w:val="18"/>
                <w:szCs w:val="18"/>
                <w:color w:val="auto"/>
              </w:rPr>
              <w:t>Nine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(Dollars</w:t>
            </w:r>
          </w:p>
        </w:tc>
        <w:tc>
          <w:tcPr>
            <w:tcW w:w="4320" w:type="dxa"/>
            <w:vAlign w:val="bottom"/>
            <w:gridSpan w:val="11"/>
          </w:tcPr>
          <w:p>
            <w:pPr>
              <w:ind w:left="180"/>
              <w:spacing w:after="0"/>
              <w:rPr>
                <w:sz w:val="20"/>
                <w:szCs w:val="20"/>
                <w:color w:val="auto"/>
              </w:rPr>
            </w:pPr>
            <w:r>
              <w:rPr>
                <w:rFonts w:ascii="Arial" w:cs="Arial" w:eastAsia="Arial" w:hAnsi="Arial"/>
                <w:sz w:val="18"/>
                <w:szCs w:val="18"/>
                <w:color w:val="auto"/>
              </w:rPr>
              <w:t>in thousands, except share and per share data)</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3,932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calculation of basic EPS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8,927,544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8,830,442</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8,897,633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Incremental shares from assumed exercise of dilutive securities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215,633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63,092</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235,882</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calculation of diluted EPS</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9,143,177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8,893,534</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9,133,515</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8,963,483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0.43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the three and nine months ended March 31, 2018 and 2017, the following stock options were excluded from the calculation of diluted EPS due to the exercise price of these options exceeding the average market price of the Company’s common stock for the period. These options, which were not dilutive at that date, may potentially dilute EPS in the future.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2900" w:type="dxa"/>
            <w:vAlign w:val="bottom"/>
            <w:gridSpan w:val="5"/>
          </w:tcPr>
          <w:p>
            <w:pPr>
              <w:jc w:val="right"/>
              <w:ind w:right="380"/>
              <w:spacing w:after="0"/>
              <w:rPr>
                <w:sz w:val="20"/>
                <w:szCs w:val="20"/>
                <w:color w:val="auto"/>
              </w:rPr>
            </w:pPr>
            <w:r>
              <w:rPr>
                <w:rFonts w:ascii="Arial" w:cs="Arial" w:eastAsia="Arial" w:hAnsi="Arial"/>
                <w:sz w:val="18"/>
                <w:szCs w:val="18"/>
                <w:color w:val="auto"/>
                <w:w w:val="98"/>
              </w:rPr>
              <w:t>Three Months Ended March 31,</w:t>
            </w:r>
          </w:p>
        </w:tc>
        <w:tc>
          <w:tcPr>
            <w:tcW w:w="2800" w:type="dxa"/>
            <w:vAlign w:val="bottom"/>
            <w:gridSpan w:val="4"/>
          </w:tcPr>
          <w:p>
            <w:pPr>
              <w:ind w:left="240"/>
              <w:spacing w:after="0"/>
              <w:rPr>
                <w:sz w:val="20"/>
                <w:szCs w:val="20"/>
                <w:color w:val="auto"/>
              </w:rPr>
            </w:pPr>
            <w:r>
              <w:rPr>
                <w:rFonts w:ascii="Arial" w:cs="Arial" w:eastAsia="Arial" w:hAnsi="Arial"/>
                <w:sz w:val="18"/>
                <w:szCs w:val="18"/>
                <w:color w:val="auto"/>
              </w:rPr>
              <w:t>Nine Months Ended March 31,</w:t>
            </w:r>
          </w:p>
        </w:tc>
      </w:tr>
      <w:tr>
        <w:trPr>
          <w:trHeight w:val="210"/>
        </w:trPr>
        <w:tc>
          <w:tcPr>
            <w:tcW w:w="40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2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8"/>
                <w:szCs w:val="18"/>
                <w:color w:val="auto"/>
              </w:rPr>
            </w:pPr>
          </w:p>
        </w:tc>
      </w:tr>
      <w:tr>
        <w:trPr>
          <w:trHeight w:val="210"/>
        </w:trPr>
        <w:tc>
          <w:tcPr>
            <w:tcW w:w="5020" w:type="dxa"/>
            <w:vAlign w:val="bottom"/>
            <w:gridSpan w:val="2"/>
            <w:shd w:val="clear" w:color="auto" w:fill="CCEEFF"/>
          </w:tcPr>
          <w:p>
            <w:pPr>
              <w:jc w:val="right"/>
              <w:ind w:right="3930"/>
              <w:spacing w:after="0"/>
              <w:rPr>
                <w:sz w:val="20"/>
                <w:szCs w:val="20"/>
                <w:color w:val="auto"/>
              </w:rPr>
            </w:pPr>
            <w:r>
              <w:rPr>
                <w:rFonts w:ascii="Arial" w:cs="Arial" w:eastAsia="Arial" w:hAnsi="Arial"/>
                <w:sz w:val="18"/>
                <w:szCs w:val="18"/>
                <w:color w:val="auto"/>
                <w:w w:val="90"/>
              </w:rPr>
              <w:t>Stock options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399,626</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714,545</w:t>
            </w:r>
          </w:p>
        </w:tc>
      </w:tr>
    </w:tbl>
    <w:p>
      <w:pPr>
        <w:spacing w:after="0" w:line="200" w:lineRule="exact"/>
        <w:rPr>
          <w:sz w:val="20"/>
          <w:szCs w:val="20"/>
          <w:color w:val="auto"/>
        </w:rPr>
      </w:pPr>
    </w:p>
    <w:p>
      <w:pPr>
        <w:sectPr>
          <w:pgSz w:w="11900" w:h="16838" w:orient="portrait"/>
          <w:cols w:equalWidth="0" w:num="1">
            <w:col w:w="11380"/>
          </w:cols>
          <w:pgMar w:left="240" w:top="118" w:right="279" w:bottom="1440" w:gutter="0" w:footer="0" w:header="0"/>
        </w:sectPr>
      </w:pP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Derivatives and Hedging Activities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has stand-alone derivative financial instruments in the form of interest rate caps that derive their value from a fee paid and are adjusted to fair value based on index and strike rate, and swap agreements that derive their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arises in the event of nonperformance by the counterparties to these agreements, and is limited to the net difference between the calculated amounts to be received and paid, if any. Such differences, which represent the fair value of the derivative instruments, are reflected on the Company's balance sheet as derivative assets and derivative liabilities. The Company controls the credit risk of its financial contracts through credit approvals, limits and monitoring procedures, and does not expect any counterparties to fail to meet their obligations.</w:t>
      </w:r>
    </w:p>
    <w:p>
      <w:pPr>
        <w:spacing w:after="0" w:line="167"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The Company currently holds derivative instruments that contain credit-risk related features that are in a net liability position, which may require that collateral be assigned to dealer banks. At March 31, 2018, the Company had posted cash collateral totaling $1.2 million with dealer banks related to derivative instruments in a net liability position.</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does not offset fair value amounts recognized for derivative instruments. The Company does not net the amount recognized for the right to reclaim cash collateral against the obligation to return cash collateral arising from derivative instruments executed with the same counterparty under a master netting arrangement.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Policies—Derivative Instruments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Management—Cash Flow Hedging Instruments</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Company uses variable rate debt as a source of funds for use in the Company's lending and investment activities and other general business purposes. These debt obligations expose the Company to variability in interest payments due to changes in interest rates. If interest rates increase, interest expense increases. Conversely, if interest rates decrease, interest expense decreases. Management believes it is prudent to limit the variability of a portion of its interest payments and, therefore, generally hedges a portion of its variable-rate interest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outstanding interest rate caps and swap agreements used to hedge variable rate debt is as follows.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March 31, 2018</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color w:val="auto"/>
              </w:rPr>
              <w:t>Notional</w:t>
            </w: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color w:val="auto"/>
                <w:w w:val="94"/>
              </w:rPr>
              <w:t>Termination</w:t>
            </w: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139"/>
              <w:spacing w:after="0"/>
              <w:rPr>
                <w:sz w:val="20"/>
                <w:szCs w:val="20"/>
                <w:color w:val="auto"/>
              </w:rPr>
            </w:pPr>
            <w:r>
              <w:rPr>
                <w:rFonts w:ascii="Arial" w:cs="Arial" w:eastAsia="Arial" w:hAnsi="Arial"/>
                <w:sz w:val="16"/>
                <w:szCs w:val="16"/>
                <w:color w:val="auto"/>
                <w:w w:val="89"/>
              </w:rPr>
              <w:t>Receive</w:t>
            </w: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6"/>
                <w:szCs w:val="16"/>
                <w:color w:val="auto"/>
                <w:w w:val="94"/>
              </w:rPr>
              <w:t>Unrealized</w:t>
            </w: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8"/>
              </w:rPr>
              <w:t>Balance Sheet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ind w:left="100"/>
              <w:spacing w:after="0"/>
              <w:rPr>
                <w:sz w:val="20"/>
                <w:szCs w:val="20"/>
                <w:color w:val="auto"/>
              </w:rPr>
            </w:pPr>
            <w:r>
              <w:rPr>
                <w:rFonts w:ascii="Arial" w:cs="Arial" w:eastAsia="Arial" w:hAnsi="Arial"/>
                <w:sz w:val="16"/>
                <w:szCs w:val="16"/>
                <w:color w:val="auto"/>
              </w:rPr>
              <w:t>Amount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Inception Date</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Date</w:t>
            </w: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Index</w:t>
            </w:r>
          </w:p>
        </w:tc>
        <w:tc>
          <w:tcPr>
            <w:tcW w:w="100" w:type="dxa"/>
            <w:vAlign w:val="bottom"/>
          </w:tcPr>
          <w:p>
            <w:pPr>
              <w:spacing w:after="0"/>
              <w:rPr>
                <w:sz w:val="18"/>
                <w:szCs w:val="18"/>
                <w:color w:val="auto"/>
              </w:rPr>
            </w:pPr>
          </w:p>
        </w:tc>
        <w:tc>
          <w:tcPr>
            <w:tcW w:w="1140" w:type="dxa"/>
            <w:vAlign w:val="bottom"/>
            <w:gridSpan w:val="2"/>
          </w:tcPr>
          <w:p>
            <w:pPr>
              <w:jc w:val="center"/>
              <w:ind w:right="159"/>
              <w:spacing w:after="0"/>
              <w:rPr>
                <w:sz w:val="20"/>
                <w:szCs w:val="20"/>
                <w:color w:val="auto"/>
              </w:rPr>
            </w:pPr>
            <w:r>
              <w:rPr>
                <w:rFonts w:ascii="Arial" w:cs="Arial" w:eastAsia="Arial" w:hAnsi="Arial"/>
                <w:sz w:val="16"/>
                <w:szCs w:val="16"/>
                <w:color w:val="auto"/>
                <w:w w:val="88"/>
              </w:rPr>
              <w:t>Rate</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Pay Rate</w:t>
            </w:r>
          </w:p>
        </w:tc>
        <w:tc>
          <w:tcPr>
            <w:tcW w:w="1140" w:type="dxa"/>
            <w:vAlign w:val="bottom"/>
            <w:gridSpan w:val="2"/>
          </w:tcPr>
          <w:p>
            <w:pPr>
              <w:ind w:left="80"/>
              <w:spacing w:after="0"/>
              <w:rPr>
                <w:sz w:val="20"/>
                <w:szCs w:val="20"/>
                <w:color w:val="auto"/>
              </w:rPr>
            </w:pPr>
            <w:r>
              <w:rPr>
                <w:rFonts w:ascii="Arial" w:cs="Arial" w:eastAsia="Arial" w:hAnsi="Arial"/>
                <w:sz w:val="16"/>
                <w:szCs w:val="16"/>
                <w:color w:val="auto"/>
              </w:rPr>
              <w:t>Strike Rate</w:t>
            </w: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color w:val="auto"/>
                <w:w w:val="88"/>
              </w:rPr>
              <w:t>Loss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w w:val="93"/>
              </w:rPr>
              <w:t>Fair Value</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Location</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(Dollars</w:t>
            </w:r>
          </w:p>
        </w:tc>
        <w:tc>
          <w:tcPr>
            <w:tcW w:w="240" w:type="dxa"/>
            <w:vAlign w:val="bottom"/>
          </w:tcPr>
          <w:p>
            <w:pPr>
              <w:jc w:val="right"/>
              <w:spacing w:after="0"/>
              <w:rPr>
                <w:sz w:val="20"/>
                <w:szCs w:val="20"/>
                <w:color w:val="auto"/>
              </w:rPr>
            </w:pPr>
            <w:r>
              <w:rPr>
                <w:rFonts w:ascii="Arial" w:cs="Arial" w:eastAsia="Arial" w:hAnsi="Arial"/>
                <w:sz w:val="16"/>
                <w:szCs w:val="16"/>
                <w:color w:val="auto"/>
              </w:rPr>
              <w:t>in</w:t>
            </w:r>
          </w:p>
        </w:tc>
        <w:tc>
          <w:tcPr>
            <w:tcW w:w="9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5"/>
              </w:rPr>
              <w:t>thousands)</w:t>
            </w:r>
          </w:p>
        </w:tc>
        <w:tc>
          <w:tcPr>
            <w:tcW w:w="2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6"/>
            <w:shd w:val="clear" w:color="auto" w:fill="CCEEFF"/>
          </w:tcPr>
          <w:p>
            <w:pPr>
              <w:spacing w:after="0"/>
              <w:rPr>
                <w:sz w:val="20"/>
                <w:szCs w:val="20"/>
                <w:color w:val="auto"/>
              </w:rPr>
            </w:pPr>
            <w:r>
              <w:rPr>
                <w:rFonts w:ascii="Arial" w:cs="Arial" w:eastAsia="Arial" w:hAnsi="Arial"/>
                <w:sz w:val="16"/>
                <w:szCs w:val="16"/>
                <w:i w:val="1"/>
                <w:iCs w:val="1"/>
                <w:color w:val="auto"/>
              </w:rPr>
              <w:t>Interest rate swaps:</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July 2013</w:t>
            </w:r>
          </w:p>
        </w:tc>
        <w:tc>
          <w:tcPr>
            <w:tcW w:w="2200" w:type="dxa"/>
            <w:vAlign w:val="bottom"/>
            <w:gridSpan w:val="3"/>
          </w:tcPr>
          <w:p>
            <w:pPr>
              <w:jc w:val="right"/>
              <w:spacing w:after="0"/>
              <w:rPr>
                <w:sz w:val="20"/>
                <w:szCs w:val="20"/>
                <w:color w:val="auto"/>
              </w:rPr>
            </w:pPr>
            <w:r>
              <w:rPr>
                <w:rFonts w:ascii="Arial" w:cs="Arial" w:eastAsia="Arial" w:hAnsi="Arial"/>
                <w:sz w:val="16"/>
                <w:szCs w:val="16"/>
                <w:color w:val="auto"/>
              </w:rPr>
              <w:t>July 2033  3 Mo. LIBOR</w:t>
            </w:r>
          </w:p>
        </w:tc>
        <w:tc>
          <w:tcPr>
            <w:tcW w:w="1240" w:type="dxa"/>
            <w:vAlign w:val="bottom"/>
            <w:gridSpan w:val="3"/>
          </w:tcPr>
          <w:p>
            <w:pPr>
              <w:jc w:val="right"/>
              <w:ind w:right="19"/>
              <w:spacing w:after="0"/>
              <w:rPr>
                <w:sz w:val="20"/>
                <w:szCs w:val="20"/>
                <w:color w:val="auto"/>
              </w:rPr>
            </w:pPr>
            <w:r>
              <w:rPr>
                <w:rFonts w:ascii="Arial" w:cs="Arial" w:eastAsia="Arial" w:hAnsi="Arial"/>
                <w:sz w:val="16"/>
                <w:szCs w:val="16"/>
                <w:color w:val="auto"/>
              </w:rPr>
              <w:t>2.31%</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3.38%</w:t>
            </w:r>
          </w:p>
        </w:tc>
        <w:tc>
          <w:tcPr>
            <w:tcW w:w="1140" w:type="dxa"/>
            <w:vAlign w:val="bottom"/>
            <w:gridSpan w:val="2"/>
          </w:tcPr>
          <w:p>
            <w:pPr>
              <w:ind w:left="700"/>
              <w:spacing w:after="0"/>
              <w:rPr>
                <w:sz w:val="20"/>
                <w:szCs w:val="20"/>
                <w:color w:val="auto"/>
              </w:rPr>
            </w:pPr>
            <w:r>
              <w:rPr>
                <w:rFonts w:ascii="Arial" w:cs="Arial" w:eastAsia="Arial" w:hAnsi="Arial"/>
                <w:sz w:val="16"/>
                <w:szCs w:val="16"/>
                <w:color w:val="auto"/>
              </w:rPr>
              <w:t>n/a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(385)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(385)</w:t>
            </w:r>
          </w:p>
        </w:tc>
        <w:tc>
          <w:tcPr>
            <w:tcW w:w="1240" w:type="dxa"/>
            <w:vAlign w:val="bottom"/>
          </w:tcPr>
          <w:p>
            <w:pPr>
              <w:jc w:val="center"/>
              <w:spacing w:after="0"/>
              <w:rPr>
                <w:sz w:val="20"/>
                <w:szCs w:val="20"/>
                <w:color w:val="auto"/>
              </w:rPr>
            </w:pPr>
            <w:r>
              <w:rPr>
                <w:rFonts w:ascii="Arial" w:cs="Arial" w:eastAsia="Arial" w:hAnsi="Arial"/>
                <w:sz w:val="16"/>
                <w:szCs w:val="16"/>
                <w:color w:val="auto"/>
                <w:w w:val="97"/>
              </w:rPr>
              <w:t>Other Liabilities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July 2013</w:t>
            </w:r>
          </w:p>
        </w:tc>
        <w:tc>
          <w:tcPr>
            <w:tcW w:w="2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July 2028  3 Mo. LIBOR</w:t>
            </w:r>
          </w:p>
        </w:tc>
        <w:tc>
          <w:tcPr>
            <w:tcW w:w="12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2.31%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3.23%</w:t>
            </w:r>
          </w:p>
        </w:tc>
        <w:tc>
          <w:tcPr>
            <w:tcW w:w="1140" w:type="dxa"/>
            <w:vAlign w:val="bottom"/>
            <w:tcBorders>
              <w:right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n/a</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(225)</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Other Liabilities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July 2013</w:t>
            </w:r>
          </w:p>
        </w:tc>
        <w:tc>
          <w:tcPr>
            <w:tcW w:w="2200" w:type="dxa"/>
            <w:vAlign w:val="bottom"/>
            <w:gridSpan w:val="3"/>
          </w:tcPr>
          <w:p>
            <w:pPr>
              <w:jc w:val="right"/>
              <w:spacing w:after="0"/>
              <w:rPr>
                <w:sz w:val="20"/>
                <w:szCs w:val="20"/>
                <w:color w:val="auto"/>
              </w:rPr>
            </w:pPr>
            <w:r>
              <w:rPr>
                <w:rFonts w:ascii="Arial" w:cs="Arial" w:eastAsia="Arial" w:hAnsi="Arial"/>
                <w:sz w:val="16"/>
                <w:szCs w:val="16"/>
                <w:color w:val="auto"/>
              </w:rPr>
              <w:t>July 2023  3 Mo. LIBOR</w:t>
            </w:r>
          </w:p>
        </w:tc>
        <w:tc>
          <w:tcPr>
            <w:tcW w:w="1240" w:type="dxa"/>
            <w:vAlign w:val="bottom"/>
            <w:gridSpan w:val="3"/>
          </w:tcPr>
          <w:p>
            <w:pPr>
              <w:jc w:val="right"/>
              <w:ind w:right="19"/>
              <w:spacing w:after="0"/>
              <w:rPr>
                <w:sz w:val="20"/>
                <w:szCs w:val="20"/>
                <w:color w:val="auto"/>
              </w:rPr>
            </w:pPr>
            <w:r>
              <w:rPr>
                <w:rFonts w:ascii="Arial" w:cs="Arial" w:eastAsia="Arial" w:hAnsi="Arial"/>
                <w:sz w:val="16"/>
                <w:szCs w:val="16"/>
                <w:color w:val="auto"/>
              </w:rPr>
              <w:t>2.31%</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2.77%</w:t>
            </w:r>
          </w:p>
        </w:tc>
        <w:tc>
          <w:tcPr>
            <w:tcW w:w="1140" w:type="dxa"/>
            <w:vAlign w:val="bottom"/>
            <w:gridSpan w:val="2"/>
          </w:tcPr>
          <w:p>
            <w:pPr>
              <w:ind w:left="70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(27)</w:t>
            </w:r>
          </w:p>
        </w:tc>
        <w:tc>
          <w:tcPr>
            <w:tcW w:w="1240" w:type="dxa"/>
            <w:vAlign w:val="bottom"/>
          </w:tcPr>
          <w:p>
            <w:pPr>
              <w:jc w:val="center"/>
              <w:spacing w:after="0"/>
              <w:rPr>
                <w:sz w:val="20"/>
                <w:szCs w:val="20"/>
                <w:color w:val="auto"/>
              </w:rPr>
            </w:pPr>
            <w:r>
              <w:rPr>
                <w:rFonts w:ascii="Arial" w:cs="Arial" w:eastAsia="Arial" w:hAnsi="Arial"/>
                <w:sz w:val="16"/>
                <w:szCs w:val="16"/>
                <w:color w:val="auto"/>
                <w:w w:val="97"/>
              </w:rPr>
              <w:t>Other Liabilities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8"/>
            <w:shd w:val="clear" w:color="auto" w:fill="CCEEFF"/>
          </w:tcPr>
          <w:p>
            <w:pPr>
              <w:spacing w:after="0"/>
              <w:rPr>
                <w:sz w:val="20"/>
                <w:szCs w:val="20"/>
                <w:color w:val="auto"/>
              </w:rPr>
            </w:pPr>
            <w:r>
              <w:rPr>
                <w:rFonts w:ascii="Arial" w:cs="Arial" w:eastAsia="Arial" w:hAnsi="Arial"/>
                <w:sz w:val="16"/>
                <w:szCs w:val="16"/>
                <w:i w:val="1"/>
                <w:iCs w:val="1"/>
                <w:color w:val="auto"/>
              </w:rPr>
              <w:t>Forward-starting interest rate swaps: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February 2018</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September 2029</w:t>
            </w:r>
          </w:p>
        </w:tc>
        <w:tc>
          <w:tcPr>
            <w:tcW w:w="1040" w:type="dxa"/>
            <w:vAlign w:val="bottom"/>
          </w:tcPr>
          <w:p>
            <w:pPr>
              <w:jc w:val="right"/>
              <w:spacing w:after="0"/>
              <w:rPr>
                <w:sz w:val="20"/>
                <w:szCs w:val="20"/>
                <w:color w:val="auto"/>
              </w:rPr>
            </w:pPr>
            <w:r>
              <w:rPr>
                <w:rFonts w:ascii="Arial" w:cs="Arial" w:eastAsia="Arial" w:hAnsi="Arial"/>
                <w:sz w:val="16"/>
                <w:szCs w:val="16"/>
                <w:color w:val="auto"/>
              </w:rPr>
              <w:t>3 Mo. LIBOR</w:t>
            </w:r>
          </w:p>
        </w:tc>
        <w:tc>
          <w:tcPr>
            <w:tcW w:w="1240" w:type="dxa"/>
            <w:vAlign w:val="bottom"/>
            <w:gridSpan w:val="3"/>
          </w:tcPr>
          <w:p>
            <w:pPr>
              <w:jc w:val="right"/>
              <w:ind w:right="19"/>
              <w:spacing w:after="0"/>
              <w:rPr>
                <w:sz w:val="20"/>
                <w:szCs w:val="20"/>
                <w:color w:val="auto"/>
              </w:rPr>
            </w:pPr>
            <w:r>
              <w:rPr>
                <w:rFonts w:ascii="Arial" w:cs="Arial" w:eastAsia="Arial" w:hAnsi="Arial"/>
                <w:sz w:val="16"/>
                <w:szCs w:val="16"/>
                <w:color w:val="auto"/>
              </w:rPr>
              <w:t>2.31%</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5.88%</w:t>
            </w:r>
          </w:p>
        </w:tc>
        <w:tc>
          <w:tcPr>
            <w:tcW w:w="1140" w:type="dxa"/>
            <w:vAlign w:val="bottom"/>
            <w:gridSpan w:val="2"/>
          </w:tcPr>
          <w:p>
            <w:pPr>
              <w:ind w:left="70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(146)</w:t>
            </w:r>
          </w:p>
        </w:tc>
        <w:tc>
          <w:tcPr>
            <w:tcW w:w="1240" w:type="dxa"/>
            <w:vAlign w:val="bottom"/>
          </w:tcPr>
          <w:p>
            <w:pPr>
              <w:jc w:val="center"/>
              <w:spacing w:after="0"/>
              <w:rPr>
                <w:sz w:val="20"/>
                <w:szCs w:val="20"/>
                <w:color w:val="auto"/>
              </w:rPr>
            </w:pPr>
            <w:r>
              <w:rPr>
                <w:rFonts w:ascii="Arial" w:cs="Arial" w:eastAsia="Arial" w:hAnsi="Arial"/>
                <w:sz w:val="16"/>
                <w:szCs w:val="16"/>
                <w:color w:val="auto"/>
                <w:w w:val="97"/>
              </w:rPr>
              <w:t>Other Liabilities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February 2018</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9"/>
              </w:rPr>
              <w:t>February 2030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Mo. LIBOR</w:t>
            </w:r>
          </w:p>
        </w:tc>
        <w:tc>
          <w:tcPr>
            <w:tcW w:w="12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2.31%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4.98%</w:t>
            </w:r>
          </w:p>
        </w:tc>
        <w:tc>
          <w:tcPr>
            <w:tcW w:w="1140" w:type="dxa"/>
            <w:vAlign w:val="bottom"/>
            <w:tcBorders>
              <w:right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n/a</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(242)</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Other Liabilities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gridSpan w:val="4"/>
          </w:tcPr>
          <w:p>
            <w:pPr>
              <w:spacing w:after="0"/>
              <w:rPr>
                <w:sz w:val="20"/>
                <w:szCs w:val="20"/>
                <w:color w:val="auto"/>
              </w:rPr>
            </w:pPr>
            <w:r>
              <w:rPr>
                <w:rFonts w:ascii="Arial" w:cs="Arial" w:eastAsia="Arial" w:hAnsi="Arial"/>
                <w:sz w:val="16"/>
                <w:szCs w:val="16"/>
                <w:i w:val="1"/>
                <w:iCs w:val="1"/>
                <w:color w:val="auto"/>
                <w:w w:val="90"/>
              </w:rPr>
              <w:t>Interest rate caps:</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October 2014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7"/>
              </w:rPr>
              <w:t>September 2019</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Mo. LIBOR</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n/a</w:t>
            </w:r>
          </w:p>
        </w:tc>
        <w:tc>
          <w:tcPr>
            <w:tcW w:w="1140" w:type="dxa"/>
            <w:vAlign w:val="bottom"/>
            <w:tcBorders>
              <w:right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Other Assets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2015</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February 2020</w:t>
            </w:r>
          </w:p>
        </w:tc>
        <w:tc>
          <w:tcPr>
            <w:tcW w:w="1040" w:type="dxa"/>
            <w:vAlign w:val="bottom"/>
          </w:tcPr>
          <w:p>
            <w:pPr>
              <w:jc w:val="right"/>
              <w:spacing w:after="0"/>
              <w:rPr>
                <w:sz w:val="20"/>
                <w:szCs w:val="20"/>
                <w:color w:val="auto"/>
              </w:rPr>
            </w:pPr>
            <w:r>
              <w:rPr>
                <w:rFonts w:ascii="Arial" w:cs="Arial" w:eastAsia="Arial" w:hAnsi="Arial"/>
                <w:sz w:val="16"/>
                <w:szCs w:val="16"/>
                <w:color w:val="auto"/>
              </w:rPr>
              <w:t>3 Mo. LIBOR</w:t>
            </w:r>
          </w:p>
        </w:tc>
        <w:tc>
          <w:tcPr>
            <w:tcW w:w="100" w:type="dxa"/>
            <w:vAlign w:val="bottom"/>
          </w:tcPr>
          <w:p>
            <w:pPr>
              <w:spacing w:after="0"/>
              <w:rPr>
                <w:sz w:val="17"/>
                <w:szCs w:val="17"/>
                <w:color w:val="auto"/>
              </w:rPr>
            </w:pPr>
          </w:p>
        </w:tc>
        <w:tc>
          <w:tcPr>
            <w:tcW w:w="1140" w:type="dxa"/>
            <w:vAlign w:val="bottom"/>
            <w:gridSpan w:val="2"/>
          </w:tcPr>
          <w:p>
            <w:pPr>
              <w:jc w:val="right"/>
              <w:ind w:right="159"/>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ind w:left="620"/>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0"/>
              </w:rPr>
              <w:t>Other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47,000</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(976)</w:t>
            </w: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300" w:type="dxa"/>
            <w:vAlign w:val="bottom"/>
            <w:tcBorders>
              <w:top w:val="single" w:sz="8" w:color="CCEEFF"/>
              <w:bottom w:val="single" w:sz="8" w:color="auto"/>
            </w:tcBorders>
            <w:gridSpan w:val="4"/>
          </w:tcPr>
          <w:p>
            <w:pPr>
              <w:jc w:val="right"/>
              <w:ind w:right="740"/>
              <w:spacing w:after="0"/>
              <w:rPr>
                <w:sz w:val="20"/>
                <w:szCs w:val="20"/>
                <w:color w:val="auto"/>
              </w:rPr>
            </w:pPr>
            <w:r>
              <w:rPr>
                <w:rFonts w:ascii="Arial" w:cs="Arial" w:eastAsia="Arial" w:hAnsi="Arial"/>
                <w:sz w:val="16"/>
                <w:szCs w:val="16"/>
                <w:color w:val="auto"/>
              </w:rPr>
              <w:t>June 30, 2017</w:t>
            </w:r>
          </w:p>
        </w:tc>
        <w:tc>
          <w:tcPr>
            <w:tcW w:w="9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ind w:left="80"/>
              <w:spacing w:after="0"/>
              <w:rPr>
                <w:sz w:val="20"/>
                <w:szCs w:val="20"/>
                <w:color w:val="auto"/>
              </w:rPr>
            </w:pPr>
            <w:r>
              <w:rPr>
                <w:rFonts w:ascii="Arial" w:cs="Arial" w:eastAsia="Arial" w:hAnsi="Arial"/>
                <w:sz w:val="16"/>
                <w:szCs w:val="16"/>
                <w:color w:val="auto"/>
              </w:rPr>
              <w:t>Notional</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Termination</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39"/>
              <w:spacing w:after="0"/>
              <w:rPr>
                <w:sz w:val="20"/>
                <w:szCs w:val="20"/>
                <w:color w:val="auto"/>
              </w:rPr>
            </w:pPr>
            <w:r>
              <w:rPr>
                <w:rFonts w:ascii="Arial" w:cs="Arial" w:eastAsia="Arial" w:hAnsi="Arial"/>
                <w:sz w:val="16"/>
                <w:szCs w:val="16"/>
                <w:color w:val="auto"/>
                <w:w w:val="89"/>
              </w:rPr>
              <w:t>Receive</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Pay</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Unrealized</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Balance Sheet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ind w:left="100"/>
              <w:spacing w:after="0"/>
              <w:rPr>
                <w:sz w:val="20"/>
                <w:szCs w:val="20"/>
                <w:color w:val="auto"/>
              </w:rPr>
            </w:pPr>
            <w:r>
              <w:rPr>
                <w:rFonts w:ascii="Arial" w:cs="Arial" w:eastAsia="Arial" w:hAnsi="Arial"/>
                <w:sz w:val="16"/>
                <w:szCs w:val="16"/>
                <w:color w:val="auto"/>
              </w:rPr>
              <w:t>Amount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Inception Date</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Date</w:t>
            </w: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Index</w:t>
            </w:r>
          </w:p>
        </w:tc>
        <w:tc>
          <w:tcPr>
            <w:tcW w:w="100" w:type="dxa"/>
            <w:vAlign w:val="bottom"/>
          </w:tcPr>
          <w:p>
            <w:pPr>
              <w:spacing w:after="0"/>
              <w:rPr>
                <w:sz w:val="18"/>
                <w:szCs w:val="18"/>
                <w:color w:val="auto"/>
              </w:rPr>
            </w:pPr>
          </w:p>
        </w:tc>
        <w:tc>
          <w:tcPr>
            <w:tcW w:w="1140" w:type="dxa"/>
            <w:vAlign w:val="bottom"/>
            <w:gridSpan w:val="2"/>
          </w:tcPr>
          <w:p>
            <w:pPr>
              <w:jc w:val="center"/>
              <w:ind w:right="159"/>
              <w:spacing w:after="0"/>
              <w:rPr>
                <w:sz w:val="20"/>
                <w:szCs w:val="20"/>
                <w:color w:val="auto"/>
              </w:rPr>
            </w:pPr>
            <w:r>
              <w:rPr>
                <w:rFonts w:ascii="Arial" w:cs="Arial" w:eastAsia="Arial" w:hAnsi="Arial"/>
                <w:sz w:val="16"/>
                <w:szCs w:val="16"/>
                <w:color w:val="auto"/>
                <w:w w:val="88"/>
              </w:rPr>
              <w:t>Rate</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w w:val="82"/>
              </w:rPr>
              <w:t>Rate</w:t>
            </w:r>
          </w:p>
        </w:tc>
        <w:tc>
          <w:tcPr>
            <w:tcW w:w="1140" w:type="dxa"/>
            <w:vAlign w:val="bottom"/>
            <w:gridSpan w:val="2"/>
          </w:tcPr>
          <w:p>
            <w:pPr>
              <w:ind w:left="80"/>
              <w:spacing w:after="0"/>
              <w:rPr>
                <w:sz w:val="20"/>
                <w:szCs w:val="20"/>
                <w:color w:val="auto"/>
              </w:rPr>
            </w:pPr>
            <w:r>
              <w:rPr>
                <w:rFonts w:ascii="Arial" w:cs="Arial" w:eastAsia="Arial" w:hAnsi="Arial"/>
                <w:sz w:val="16"/>
                <w:szCs w:val="16"/>
                <w:color w:val="auto"/>
              </w:rPr>
              <w:t>Strike Rate</w:t>
            </w: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color w:val="auto"/>
                <w:w w:val="88"/>
              </w:rPr>
              <w:t>Loss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w w:val="93"/>
              </w:rPr>
              <w:t>Fair Value</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Location</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(Dollars</w:t>
            </w:r>
          </w:p>
        </w:tc>
        <w:tc>
          <w:tcPr>
            <w:tcW w:w="240" w:type="dxa"/>
            <w:vAlign w:val="bottom"/>
          </w:tcPr>
          <w:p>
            <w:pPr>
              <w:jc w:val="right"/>
              <w:spacing w:after="0"/>
              <w:rPr>
                <w:sz w:val="20"/>
                <w:szCs w:val="20"/>
                <w:color w:val="auto"/>
              </w:rPr>
            </w:pPr>
            <w:r>
              <w:rPr>
                <w:rFonts w:ascii="Arial" w:cs="Arial" w:eastAsia="Arial" w:hAnsi="Arial"/>
                <w:sz w:val="16"/>
                <w:szCs w:val="16"/>
                <w:color w:val="auto"/>
              </w:rPr>
              <w:t>in</w:t>
            </w:r>
          </w:p>
        </w:tc>
        <w:tc>
          <w:tcPr>
            <w:tcW w:w="9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5"/>
              </w:rPr>
              <w:t>thousands)</w:t>
            </w:r>
          </w:p>
        </w:tc>
        <w:tc>
          <w:tcPr>
            <w:tcW w:w="2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6"/>
            <w:shd w:val="clear" w:color="auto" w:fill="CCEEFF"/>
          </w:tcPr>
          <w:p>
            <w:pPr>
              <w:spacing w:after="0"/>
              <w:rPr>
                <w:sz w:val="20"/>
                <w:szCs w:val="20"/>
                <w:color w:val="auto"/>
              </w:rPr>
            </w:pPr>
            <w:r>
              <w:rPr>
                <w:rFonts w:ascii="Arial" w:cs="Arial" w:eastAsia="Arial" w:hAnsi="Arial"/>
                <w:sz w:val="16"/>
                <w:szCs w:val="16"/>
                <w:i w:val="1"/>
                <w:iCs w:val="1"/>
                <w:color w:val="auto"/>
              </w:rPr>
              <w:t>Interest rate swaps:</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July 2013</w:t>
            </w:r>
          </w:p>
        </w:tc>
        <w:tc>
          <w:tcPr>
            <w:tcW w:w="2200" w:type="dxa"/>
            <w:vAlign w:val="bottom"/>
            <w:gridSpan w:val="3"/>
          </w:tcPr>
          <w:p>
            <w:pPr>
              <w:jc w:val="right"/>
              <w:spacing w:after="0"/>
              <w:rPr>
                <w:sz w:val="20"/>
                <w:szCs w:val="20"/>
                <w:color w:val="auto"/>
              </w:rPr>
            </w:pPr>
            <w:r>
              <w:rPr>
                <w:rFonts w:ascii="Arial" w:cs="Arial" w:eastAsia="Arial" w:hAnsi="Arial"/>
                <w:sz w:val="16"/>
                <w:szCs w:val="16"/>
                <w:color w:val="auto"/>
              </w:rPr>
              <w:t>July 2033  3 Mo. LIBOR</w:t>
            </w:r>
          </w:p>
        </w:tc>
        <w:tc>
          <w:tcPr>
            <w:tcW w:w="1240" w:type="dxa"/>
            <w:vAlign w:val="bottom"/>
            <w:gridSpan w:val="3"/>
          </w:tcPr>
          <w:p>
            <w:pPr>
              <w:jc w:val="right"/>
              <w:ind w:right="19"/>
              <w:spacing w:after="0"/>
              <w:rPr>
                <w:sz w:val="20"/>
                <w:szCs w:val="20"/>
                <w:color w:val="auto"/>
              </w:rPr>
            </w:pPr>
            <w:r>
              <w:rPr>
                <w:rFonts w:ascii="Arial" w:cs="Arial" w:eastAsia="Arial" w:hAnsi="Arial"/>
                <w:sz w:val="16"/>
                <w:szCs w:val="16"/>
                <w:color w:val="auto"/>
              </w:rPr>
              <w:t>1.30%</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3.38%</w:t>
            </w:r>
          </w:p>
        </w:tc>
        <w:tc>
          <w:tcPr>
            <w:tcW w:w="1140" w:type="dxa"/>
            <w:vAlign w:val="bottom"/>
            <w:gridSpan w:val="2"/>
          </w:tcPr>
          <w:p>
            <w:pPr>
              <w:ind w:left="700"/>
              <w:spacing w:after="0"/>
              <w:rPr>
                <w:sz w:val="20"/>
                <w:szCs w:val="20"/>
                <w:color w:val="auto"/>
              </w:rPr>
            </w:pPr>
            <w:r>
              <w:rPr>
                <w:rFonts w:ascii="Arial" w:cs="Arial" w:eastAsia="Arial" w:hAnsi="Arial"/>
                <w:sz w:val="16"/>
                <w:szCs w:val="16"/>
                <w:color w:val="auto"/>
              </w:rPr>
              <w:t>n/a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(666)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(666)</w:t>
            </w:r>
          </w:p>
        </w:tc>
        <w:tc>
          <w:tcPr>
            <w:tcW w:w="1240" w:type="dxa"/>
            <w:vAlign w:val="bottom"/>
          </w:tcPr>
          <w:p>
            <w:pPr>
              <w:jc w:val="center"/>
              <w:spacing w:after="0"/>
              <w:rPr>
                <w:sz w:val="20"/>
                <w:szCs w:val="20"/>
                <w:color w:val="auto"/>
              </w:rPr>
            </w:pPr>
            <w:r>
              <w:rPr>
                <w:rFonts w:ascii="Arial" w:cs="Arial" w:eastAsia="Arial" w:hAnsi="Arial"/>
                <w:sz w:val="16"/>
                <w:szCs w:val="16"/>
                <w:color w:val="auto"/>
                <w:w w:val="97"/>
              </w:rPr>
              <w:t>Other Liabilities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July 2013</w:t>
            </w:r>
          </w:p>
        </w:tc>
        <w:tc>
          <w:tcPr>
            <w:tcW w:w="2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July 2028  3 Mo. LIBOR</w:t>
            </w:r>
          </w:p>
        </w:tc>
        <w:tc>
          <w:tcPr>
            <w:tcW w:w="12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3.23%</w:t>
            </w:r>
          </w:p>
        </w:tc>
        <w:tc>
          <w:tcPr>
            <w:tcW w:w="1140" w:type="dxa"/>
            <w:vAlign w:val="bottom"/>
            <w:tcBorders>
              <w:right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n/a</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(471)</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Other Liabilities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July 2013</w:t>
            </w:r>
          </w:p>
        </w:tc>
        <w:tc>
          <w:tcPr>
            <w:tcW w:w="2200" w:type="dxa"/>
            <w:vAlign w:val="bottom"/>
            <w:gridSpan w:val="3"/>
          </w:tcPr>
          <w:p>
            <w:pPr>
              <w:jc w:val="right"/>
              <w:spacing w:after="0"/>
              <w:rPr>
                <w:sz w:val="20"/>
                <w:szCs w:val="20"/>
                <w:color w:val="auto"/>
              </w:rPr>
            </w:pPr>
            <w:r>
              <w:rPr>
                <w:rFonts w:ascii="Arial" w:cs="Arial" w:eastAsia="Arial" w:hAnsi="Arial"/>
                <w:sz w:val="16"/>
                <w:szCs w:val="16"/>
                <w:color w:val="auto"/>
              </w:rPr>
              <w:t>July 2023  3 Mo. LIBOR</w:t>
            </w:r>
          </w:p>
        </w:tc>
        <w:tc>
          <w:tcPr>
            <w:tcW w:w="1240" w:type="dxa"/>
            <w:vAlign w:val="bottom"/>
            <w:gridSpan w:val="3"/>
          </w:tcPr>
          <w:p>
            <w:pPr>
              <w:jc w:val="right"/>
              <w:ind w:right="19"/>
              <w:spacing w:after="0"/>
              <w:rPr>
                <w:sz w:val="20"/>
                <w:szCs w:val="20"/>
                <w:color w:val="auto"/>
              </w:rPr>
            </w:pPr>
            <w:r>
              <w:rPr>
                <w:rFonts w:ascii="Arial" w:cs="Arial" w:eastAsia="Arial" w:hAnsi="Arial"/>
                <w:sz w:val="16"/>
                <w:szCs w:val="16"/>
                <w:color w:val="auto"/>
              </w:rPr>
              <w:t>1.30%</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2.77%</w:t>
            </w:r>
          </w:p>
        </w:tc>
        <w:tc>
          <w:tcPr>
            <w:tcW w:w="1140" w:type="dxa"/>
            <w:vAlign w:val="bottom"/>
            <w:gridSpan w:val="2"/>
          </w:tcPr>
          <w:p>
            <w:pPr>
              <w:ind w:left="70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(218)</w:t>
            </w:r>
          </w:p>
        </w:tc>
        <w:tc>
          <w:tcPr>
            <w:tcW w:w="1240" w:type="dxa"/>
            <w:vAlign w:val="bottom"/>
          </w:tcPr>
          <w:p>
            <w:pPr>
              <w:jc w:val="center"/>
              <w:spacing w:after="0"/>
              <w:rPr>
                <w:sz w:val="20"/>
                <w:szCs w:val="20"/>
                <w:color w:val="auto"/>
              </w:rPr>
            </w:pPr>
            <w:r>
              <w:rPr>
                <w:rFonts w:ascii="Arial" w:cs="Arial" w:eastAsia="Arial" w:hAnsi="Arial"/>
                <w:sz w:val="16"/>
                <w:szCs w:val="16"/>
                <w:color w:val="auto"/>
                <w:w w:val="97"/>
              </w:rPr>
              <w:t>Other Liabilities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gridSpan w:val="4"/>
            <w:shd w:val="clear" w:color="auto" w:fill="CCEEFF"/>
          </w:tcPr>
          <w:p>
            <w:pPr>
              <w:spacing w:after="0"/>
              <w:rPr>
                <w:sz w:val="20"/>
                <w:szCs w:val="20"/>
                <w:color w:val="auto"/>
              </w:rPr>
            </w:pPr>
            <w:r>
              <w:rPr>
                <w:rFonts w:ascii="Arial" w:cs="Arial" w:eastAsia="Arial" w:hAnsi="Arial"/>
                <w:sz w:val="16"/>
                <w:szCs w:val="16"/>
                <w:i w:val="1"/>
                <w:iCs w:val="1"/>
                <w:color w:val="auto"/>
                <w:w w:val="90"/>
              </w:rPr>
              <w:t>Interest rate caps:</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October 2014</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September 2019</w:t>
            </w:r>
          </w:p>
        </w:tc>
        <w:tc>
          <w:tcPr>
            <w:tcW w:w="1040" w:type="dxa"/>
            <w:vAlign w:val="bottom"/>
          </w:tcPr>
          <w:p>
            <w:pPr>
              <w:jc w:val="right"/>
              <w:spacing w:after="0"/>
              <w:rPr>
                <w:sz w:val="20"/>
                <w:szCs w:val="20"/>
                <w:color w:val="auto"/>
              </w:rPr>
            </w:pPr>
            <w:r>
              <w:rPr>
                <w:rFonts w:ascii="Arial" w:cs="Arial" w:eastAsia="Arial" w:hAnsi="Arial"/>
                <w:sz w:val="16"/>
                <w:szCs w:val="16"/>
                <w:color w:val="auto"/>
              </w:rPr>
              <w:t>3 Mo. LIBOR</w:t>
            </w:r>
          </w:p>
        </w:tc>
        <w:tc>
          <w:tcPr>
            <w:tcW w:w="100" w:type="dxa"/>
            <w:vAlign w:val="bottom"/>
          </w:tcPr>
          <w:p>
            <w:pPr>
              <w:spacing w:after="0"/>
              <w:rPr>
                <w:sz w:val="17"/>
                <w:szCs w:val="17"/>
                <w:color w:val="auto"/>
              </w:rPr>
            </w:pPr>
          </w:p>
        </w:tc>
        <w:tc>
          <w:tcPr>
            <w:tcW w:w="1140" w:type="dxa"/>
            <w:vAlign w:val="bottom"/>
            <w:gridSpan w:val="2"/>
          </w:tcPr>
          <w:p>
            <w:pPr>
              <w:jc w:val="right"/>
              <w:ind w:right="159"/>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ind w:left="620"/>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0"/>
              </w:rPr>
              <w:t>Other Assets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March 2015</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9"/>
              </w:rPr>
              <w:t>February 2020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Mo. LIBOR</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n/a</w:t>
            </w:r>
          </w:p>
        </w:tc>
        <w:tc>
          <w:tcPr>
            <w:tcW w:w="1140" w:type="dxa"/>
            <w:vAlign w:val="bottom"/>
            <w:tcBorders>
              <w:right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Other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31,000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(1,683)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(1,337)</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During the three and nine months ended March 31, 2018 and 2017, no interest rate cap or swap agreements were terminated prior to maturity. Changes in the fair value of interest rate caps and swaps designated as hedging instruments of the variability of cash flows associated with variable rate debt are reported in other comprehensive income. These amounts subsequently are reclassified into interest expense as a yield adjustment in the same period in which the related interest on the debt affects earnings. Risk management results for the three and nine months ended March 31, 2018 and 2017 related to the balance sheet hedging of variable rate debt indicates that the hedges were effective.</w:t>
      </w:r>
    </w:p>
    <w:p>
      <w:pPr>
        <w:sectPr>
          <w:pgSz w:w="11900" w:h="16838" w:orient="portrait"/>
          <w:cols w:equalWidth="0" w:num="1">
            <w:col w:w="11420"/>
          </w:cols>
          <w:pgMar w:left="240" w:top="118" w:right="239" w:bottom="717"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717" w:gutter="0" w:footer="0" w:header="0"/>
          <w:type w:val="continuous"/>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comprehensive income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8"/>
                <w:szCs w:val="18"/>
                <w:color w:val="auto"/>
                <w:w w:val="91"/>
              </w:rPr>
              <w:t>Three Months Ended March 31,</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2018</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9"/>
              </w:rPr>
              <w:t>Pre-tax</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7"/>
              </w:rPr>
              <w:t>Tax Expense</w:t>
            </w:r>
          </w:p>
        </w:tc>
        <w:tc>
          <w:tcPr>
            <w:tcW w:w="180" w:type="dxa"/>
            <w:vAlign w:val="bottom"/>
          </w:tcPr>
          <w:p>
            <w:pPr>
              <w:spacing w:after="0"/>
              <w:rPr>
                <w:sz w:val="16"/>
                <w:szCs w:val="16"/>
                <w:color w:val="auto"/>
              </w:rPr>
            </w:pPr>
          </w:p>
        </w:tc>
        <w:tc>
          <w:tcPr>
            <w:tcW w:w="96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6"/>
              </w:rPr>
              <w:t>After-tax</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9"/>
              </w:rPr>
              <w:t>Pre-tax</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7"/>
              </w:rPr>
              <w:t>Tax Expense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6"/>
              </w:rPr>
              <w:t>After-tax</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Amount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(Benefit)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6"/>
              </w:rPr>
              <w:t>(Benefit)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6"/>
          </w:tcPr>
          <w:p>
            <w:pPr>
              <w:jc w:val="center"/>
              <w:ind w:right="480"/>
              <w:spacing w:after="0"/>
              <w:rPr>
                <w:sz w:val="20"/>
                <w:szCs w:val="20"/>
                <w:color w:val="auto"/>
              </w:rPr>
            </w:pPr>
            <w:r>
              <w:rPr>
                <w:rFonts w:ascii="Arial" w:cs="Arial" w:eastAsia="Arial" w:hAnsi="Arial"/>
                <w:sz w:val="18"/>
                <w:szCs w:val="18"/>
                <w:color w:val="auto"/>
                <w:w w:val="91"/>
              </w:rPr>
              <w:t>(Dollars in thousands)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net unrealized (loss) gain on</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accumulated gain on effective</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flow hedges</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Reclassification adjustment for losses</w:t>
            </w: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4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22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included in net income</w:t>
            </w: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 and hedging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tcPr>
          <w:p>
            <w:pPr>
              <w:spacing w:after="0"/>
              <w:rPr>
                <w:sz w:val="20"/>
                <w:szCs w:val="20"/>
                <w:color w:val="auto"/>
              </w:rPr>
            </w:pPr>
            <w:r>
              <w:rPr>
                <w:rFonts w:ascii="Arial" w:cs="Arial" w:eastAsia="Arial" w:hAnsi="Arial"/>
                <w:sz w:val="18"/>
                <w:szCs w:val="18"/>
                <w:color w:val="auto"/>
              </w:rPr>
              <w:t>Total other comprehensive (loss)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8"/>
                <w:szCs w:val="18"/>
                <w:color w:val="auto"/>
                <w:w w:val="92"/>
              </w:rPr>
              <w:t>Nine Months Ended March 31,</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2018</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9"/>
              </w:rPr>
              <w:t>Pre-tax</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7"/>
              </w:rPr>
              <w:t>Tax Expense</w:t>
            </w:r>
          </w:p>
        </w:tc>
        <w:tc>
          <w:tcPr>
            <w:tcW w:w="180" w:type="dxa"/>
            <w:vAlign w:val="bottom"/>
          </w:tcPr>
          <w:p>
            <w:pPr>
              <w:spacing w:after="0"/>
              <w:rPr>
                <w:sz w:val="16"/>
                <w:szCs w:val="16"/>
                <w:color w:val="auto"/>
              </w:rPr>
            </w:pPr>
          </w:p>
        </w:tc>
        <w:tc>
          <w:tcPr>
            <w:tcW w:w="96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6"/>
              </w:rPr>
              <w:t>After-tax</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9"/>
              </w:rPr>
              <w:t>Pre-tax</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7"/>
              </w:rPr>
              <w:t>Tax Expense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6"/>
              </w:rPr>
              <w:t>After-tax</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Amount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(Benefit)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6"/>
              </w:rPr>
              <w:t>(Benefit)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6"/>
          </w:tcPr>
          <w:p>
            <w:pPr>
              <w:jc w:val="center"/>
              <w:ind w:right="480"/>
              <w:spacing w:after="0"/>
              <w:rPr>
                <w:sz w:val="20"/>
                <w:szCs w:val="20"/>
                <w:color w:val="auto"/>
              </w:rPr>
            </w:pPr>
            <w:r>
              <w:rPr>
                <w:rFonts w:ascii="Arial" w:cs="Arial" w:eastAsia="Arial" w:hAnsi="Arial"/>
                <w:sz w:val="18"/>
                <w:szCs w:val="18"/>
                <w:color w:val="auto"/>
                <w:w w:val="91"/>
              </w:rPr>
              <w:t>(Dollars in thousands)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Change in net unrealized loss on available-</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for-sale securities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accumulated gain on effective</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flow hedges</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1,692</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Reclassification adjustment for losses</w:t>
            </w: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14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22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included in net income</w:t>
            </w: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 and hedging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tcPr>
          <w:p>
            <w:pPr>
              <w:spacing w:after="0"/>
              <w:rPr>
                <w:sz w:val="20"/>
                <w:szCs w:val="20"/>
                <w:color w:val="auto"/>
              </w:rPr>
            </w:pPr>
            <w:r>
              <w:rPr>
                <w:rFonts w:ascii="Arial" w:cs="Arial" w:eastAsia="Arial" w:hAnsi="Arial"/>
                <w:sz w:val="18"/>
                <w:szCs w:val="18"/>
                <w:color w:val="auto"/>
              </w:rPr>
              <w:t>Total other comprehensive (loss)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197</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Accumulated other comprehensive loss is comprised of the following:</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March 31, 2018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6"/>
          </w:tcPr>
          <w:p>
            <w:pPr>
              <w:jc w:val="right"/>
              <w:ind w:right="940"/>
              <w:spacing w:after="0"/>
              <w:rPr>
                <w:sz w:val="20"/>
                <w:szCs w:val="20"/>
                <w:color w:val="auto"/>
              </w:rPr>
            </w:pPr>
            <w:r>
              <w:rPr>
                <w:rFonts w:ascii="Arial" w:cs="Arial" w:eastAsia="Arial" w:hAnsi="Arial"/>
                <w:sz w:val="18"/>
                <w:szCs w:val="18"/>
                <w:color w:val="auto"/>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available-for-sale securities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Tax effect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After tax amount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Unrealized loss on cash flow hedges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(1,248)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effect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Pr>
          <w:p>
            <w:pPr>
              <w:ind w:left="320"/>
              <w:spacing w:after="0"/>
              <w:rPr>
                <w:sz w:val="20"/>
                <w:szCs w:val="20"/>
                <w:color w:val="auto"/>
              </w:rPr>
            </w:pPr>
            <w:r>
              <w:rPr>
                <w:rFonts w:ascii="Arial" w:cs="Arial" w:eastAsia="Arial" w:hAnsi="Arial"/>
                <w:sz w:val="18"/>
                <w:szCs w:val="18"/>
                <w:color w:val="auto"/>
              </w:rPr>
              <w:t>After tax amount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standby letters of credit, and commitments to fund investments. Those instruments involve, to varying degrees, elements of credit and interest rate risk in excess of the amount recognized on the consolidated balance sheets. The contract amounts of those instruments reflect the extent of involvement the Company has in particular classes of financial instruments.</w:t>
      </w:r>
    </w:p>
    <w:p>
      <w:pPr>
        <w:spacing w:after="0" w:line="18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with contract amounts which represent credit risk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March 31, 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2017</w:t>
            </w:r>
          </w:p>
        </w:tc>
        <w:tc>
          <w:tcPr>
            <w:tcW w:w="80" w:type="dxa"/>
            <w:vAlign w:val="bottom"/>
          </w:tcPr>
          <w:p>
            <w:pPr>
              <w:spacing w:after="0"/>
              <w:rPr>
                <w:sz w:val="20"/>
                <w:szCs w:val="20"/>
                <w:color w:val="auto"/>
              </w:rPr>
            </w:pPr>
          </w:p>
        </w:tc>
      </w:tr>
      <w:tr>
        <w:trPr>
          <w:trHeight w:val="210"/>
        </w:trPr>
        <w:tc>
          <w:tcPr>
            <w:tcW w:w="4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6"/>
          </w:tcPr>
          <w:p>
            <w:pPr>
              <w:ind w:left="680"/>
              <w:spacing w:after="0"/>
              <w:rPr>
                <w:sz w:val="20"/>
                <w:szCs w:val="20"/>
                <w:color w:val="auto"/>
              </w:rPr>
            </w:pPr>
            <w:r>
              <w:rPr>
                <w:rFonts w:ascii="Arial" w:cs="Arial" w:eastAsia="Arial" w:hAnsi="Arial"/>
                <w:sz w:val="18"/>
                <w:szCs w:val="18"/>
                <w:color w:val="auto"/>
              </w:rPr>
              <w:t>(Dollars in thousands)</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15,244</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Unfunded commitments under lines of credit</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30,158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31,858</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3,400</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Commitment to fund investments</w:t>
            </w: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r>
    </w:tbl>
    <w:p>
      <w:pPr>
        <w:sectPr>
          <w:pgSz w:w="11900" w:h="16838" w:orient="portrait"/>
          <w:cols w:equalWidth="0" w:num="1">
            <w:col w:w="11420"/>
          </w:cols>
          <w:pgMar w:left="240" w:top="118" w:right="239" w:bottom="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 credit worthiness on a case-by-case basis. The amount of collateral obtained, if deemed necessary by the Company upon extension of credit, is based on management’s credit evaluation of the counter party. Collateral held varies but may include accounts receivable, inventory, property, plant and equipment, and income-producing commercial properties. The Company has recorded an allowance for possible losses on commitments and unfunded loans totaling $37 thousand and $39 thousand recorded in other liabilities at March 31, 2018 and June 30, 2017,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the Company does not have a commitment to fund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pacing w:after="0" w:line="386"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2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 March 2016, the FASB issued ASU 2016-09. The new guidance simplifies several aspects of the accounting for share-based payment transactions, including the income tax consequences, classification of awards as either equity or liabilities, and classification on the statement of cash flows. Entities are now required to recognize the income tax effects of awards in the income statement when the awards vest or are settled.</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adopted ASU 2016-09 in the first quarter of fiscal 2018. Upon adoption, the most significant impact of this amendment resulted from the prospective application of current excess tax benefits and deficiencies being recognized in income tax expense, which previously would have been recognized in additional paid-in capital.</w:t>
      </w:r>
    </w:p>
    <w:p>
      <w:pPr>
        <w:spacing w:after="0" w:line="18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 addition to the excess tax benefit treatment, the amendment removed the assumed proceeds related to the excess tax benefit from the calculation of diluted shares. Additionally, dividends paid to employees for nonvested equity shares are also recognized through income tax expense.</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nine months ended March 31, 2018, in totality, the adoption of ASU 2016-09 reduced the Company's income tax expense by $1.2 million. The excess tax benefit under the new guidance is treated as a discrete item in the period in which it occurs, and will vary from quarter to quarter as a function of the volume of restricted stock that vests, the volume of options that are exercised and the market price of the Company's stock in comparison to the compensation cost recognized in the consolidated financial statements.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Upon adoption, the Company made a policy election to record forfeitures as they occur rather than make use of an estimate. The other provisions did not have a material impact on the Company's consolidated financial statements upon adoption.</w:t>
      </w:r>
    </w:p>
    <w:p>
      <w:pPr>
        <w:spacing w:after="0" w:line="200" w:lineRule="exact"/>
        <w:rPr>
          <w:sz w:val="20"/>
          <w:szCs w:val="20"/>
          <w:color w:val="auto"/>
        </w:rPr>
      </w:pPr>
    </w:p>
    <w:p>
      <w:pPr>
        <w:spacing w:after="0" w:line="210"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December 22, 2017, President Donald Trump signed into law the "Tax Cuts and Jobs Act," which among other items reduces the federal corporate tax rate to 21% from the previous federal corporate tax rate of 35%. The change in federal tax rate resulted in a $762 thousand decrease in federal income tax expense during the quarter ended December 31, 2017. Of this total, $328 thousand was related to the decrease in the federal corporate income tax rate for the three months ended December 31, 2017 and $434 thousand was related to income tax expense previously recorded in the three months ended September 30, 2017, to arrive at the required blended federal corporate income tax rate of 28.0% for fiscal 2018.</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change in the federal corporate tax rate also required the Company to revalue its deferred tax assets at the new federal rate. The Company performed 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analysis to determine the impact of the revaluation of the deferred tax asset, which included a forecast of the expected deferred tax asset as of June 30, 2018.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result was a write-down of the deferred tax asset of $498 thousand, which increased federal income tax expense in the quarter ended December 31, 2017.</w:t>
      </w:r>
    </w:p>
    <w:p>
      <w:pPr>
        <w:spacing w:after="0" w:line="200" w:lineRule="exact"/>
        <w:rPr>
          <w:sz w:val="20"/>
          <w:szCs w:val="20"/>
          <w:color w:val="auto"/>
        </w:rPr>
      </w:pPr>
    </w:p>
    <w:p>
      <w:pPr>
        <w:spacing w:after="0" w:line="273"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(that is, not a forced liquidation or distressed sale) between market participants at the measurement date under current market conditions.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one level to another. When market assumptions are not readily available, the Company’s own assumptions are set to reflect those that market participants would use in pricing the asset or liability at the measurement date. If there has been a significant decrease in the volume and level of activity for the asset or liability, regardless of the valuation technique(s) used, the objective of a fair value measurement remains the same.</w:t>
      </w:r>
    </w:p>
    <w:p>
      <w:pPr>
        <w:spacing w:after="0" w:line="18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66"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color w:val="auto"/>
        </w:rPr>
        <w:t>Level 1 — Inputs are quoted prices (unadjusted) in active markets for identical assets or liabilities that the reporting entity has the ability to access at the measurement date.</w:t>
      </w:r>
    </w:p>
    <w:p>
      <w:pPr>
        <w:sectPr>
          <w:pgSz w:w="11900" w:h="16838" w:orient="portrait"/>
          <w:cols w:equalWidth="0" w:num="1">
            <w:col w:w="11420"/>
          </w:cols>
          <w:pgMar w:left="240" w:top="118" w:right="239" w:bottom="73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730" w:gutter="0" w:footer="0" w:header="0"/>
          <w:type w:val="continuous"/>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500" w:right="360"/>
        <w:spacing w:after="0" w:line="308" w:lineRule="auto"/>
        <w:rPr>
          <w:sz w:val="20"/>
          <w:szCs w:val="20"/>
          <w:color w:val="auto"/>
        </w:rPr>
      </w:pPr>
      <w:r>
        <w:rPr>
          <w:rFonts w:ascii="Arial" w:cs="Arial" w:eastAsia="Arial" w:hAnsi="Arial"/>
          <w:sz w:val="17"/>
          <w:szCs w:val="17"/>
          <w:color w:val="auto"/>
        </w:rPr>
        <w:t>Level 2 — Valuations based on significant observable inputs other than Level 1 prices such as quoted prices for similar assets or liabilities; quoted prices in markets that are not active; or other inputs that are observable or can be corroborated by observable market data.</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w:t>
      </w:r>
      <w:r>
        <w:rPr>
          <w:rFonts w:ascii="Arial" w:cs="Arial" w:eastAsia="Arial" w:hAnsi="Arial"/>
          <w:sz w:val="18"/>
          <w:szCs w:val="18"/>
          <w:color w:val="auto"/>
        </w:rPr>
        <w:t>s - There have been no changes in the valuation techniques used during the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Transfers </w:t>
      </w:r>
      <w:r>
        <w:rPr>
          <w:rFonts w:ascii="Arial" w:cs="Arial" w:eastAsia="Arial" w:hAnsi="Arial"/>
          <w:sz w:val="17"/>
          <w:szCs w:val="17"/>
          <w:color w:val="auto"/>
        </w:rPr>
        <w:t>- There were no transfers of assets and liabilities measured at fair value on a recurring or nonrecurring basis during the current period</w:t>
      </w:r>
      <w:r>
        <w:rPr>
          <w:rFonts w:ascii="Arial" w:cs="Arial" w:eastAsia="Arial" w:hAnsi="Arial"/>
          <w:sz w:val="17"/>
          <w:szCs w:val="17"/>
          <w:i w:val="1"/>
          <w:iCs w:val="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left="500" w:right="60"/>
        <w:spacing w:after="0" w:line="255"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 Where quoted prices are available in an active market, securities are classified within Level 1 of the valuation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Examples of such instruments include publicly-traded common and preferred stocks. If quoted prices are not available, then fair values are estimated by using pricing models (</w:t>
      </w:r>
      <w:r>
        <w:rPr>
          <w:rFonts w:ascii="Arial" w:cs="Arial" w:eastAsia="Arial" w:hAnsi="Arial"/>
          <w:sz w:val="18"/>
          <w:szCs w:val="18"/>
          <w:i w:val="1"/>
          <w:iCs w:val="1"/>
          <w:color w:val="auto"/>
        </w:rPr>
        <w:t>i.e.</w:t>
      </w:r>
      <w:r>
        <w:rPr>
          <w:rFonts w:ascii="Arial" w:cs="Arial" w:eastAsia="Arial" w:hAnsi="Arial"/>
          <w:sz w:val="18"/>
          <w:szCs w:val="18"/>
          <w:color w:val="auto"/>
        </w:rPr>
        <w:t>, matrix pricing) and market interest rates and credit assumptions or quoted prices of securities with similar characteristics and are classified within Level 2 of the valuation hierarchy. Examples of such instruments include government agency and government sponsored enterprise mortgage-backed securities, as well as certain preferred and trust preferred stocks. Level 3 securities are securities for which significant unobservable inputs are utilized.</w:t>
      </w:r>
    </w:p>
    <w:p>
      <w:pPr>
        <w:spacing w:after="0" w:line="193" w:lineRule="exact"/>
        <w:rPr>
          <w:sz w:val="20"/>
          <w:szCs w:val="20"/>
          <w:color w:val="auto"/>
        </w:rPr>
      </w:pPr>
    </w:p>
    <w:p>
      <w:pPr>
        <w:ind w:left="500" w:right="80"/>
        <w:spacing w:after="0" w:line="297" w:lineRule="auto"/>
        <w:rPr>
          <w:sz w:val="20"/>
          <w:szCs w:val="20"/>
          <w:color w:val="auto"/>
        </w:rPr>
      </w:pPr>
      <w:r>
        <w:rPr>
          <w:rFonts w:ascii="Arial" w:cs="Arial" w:eastAsia="Arial" w:hAnsi="Arial"/>
          <w:sz w:val="16"/>
          <w:szCs w:val="16"/>
          <w:color w:val="auto"/>
        </w:rPr>
        <w:t>Certain investments are measured at fair value using the net asset value per share as a practical expedient. These investments include a fund that seeks to invest in securities either issued or guaranteed by the U.S. government or its agencies, as well as a fund that primarily invests in the federally guaranteed portion of SBA 7(a) loans. The Company’s investment in securities either issued or guaranteed by the U.S. government or its agencies can be redeemed daily at the closing net asset value per share. The Company’s investment in SBA 7(a) loans can be redeemed quarterly with sixty days’ notice. In accordance with ASU 2015-07, these investments have not been included in the fair value hierarchy.</w:t>
      </w:r>
    </w:p>
    <w:p>
      <w:pPr>
        <w:spacing w:after="0" w:line="158" w:lineRule="exact"/>
        <w:rPr>
          <w:sz w:val="20"/>
          <w:szCs w:val="20"/>
          <w:color w:val="auto"/>
        </w:rPr>
      </w:pPr>
    </w:p>
    <w:p>
      <w:pPr>
        <w:ind w:left="500" w:right="100"/>
        <w:spacing w:after="0" w:line="276"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 The valuation of the Company’s interest rate swaps and caps are determined using widely accepted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techniques including discounted cash flow analyses on the expected cash flows of derivatives. These analyses reflect the contractual terms of the derivatives, including the period to maturity, and use observable market-based inputs, including forward interest rate curves and implied volatilities. Unobservable inputs, such as credit valuation adjustments are insignificant to the overall valuation of the Company’s derivative financial instruments. Accordingly, the Company has determined that its interest rate derivatives fall within Level 2 of the fair value hierarchy.</w:t>
      </w:r>
    </w:p>
    <w:p>
      <w:pPr>
        <w:spacing w:after="0" w:line="173" w:lineRule="exact"/>
        <w:rPr>
          <w:sz w:val="20"/>
          <w:szCs w:val="20"/>
          <w:color w:val="auto"/>
        </w:rPr>
      </w:pPr>
    </w:p>
    <w:p>
      <w:pPr>
        <w:jc w:val="both"/>
        <w:ind w:left="500" w:right="320"/>
        <w:spacing w:after="0" w:line="264" w:lineRule="auto"/>
        <w:rPr>
          <w:sz w:val="20"/>
          <w:szCs w:val="20"/>
          <w:color w:val="auto"/>
        </w:rPr>
      </w:pPr>
      <w:r>
        <w:rPr>
          <w:rFonts w:ascii="Arial" w:cs="Arial" w:eastAsia="Arial" w:hAnsi="Arial"/>
          <w:sz w:val="18"/>
          <w:szCs w:val="18"/>
          <w:color w:val="auto"/>
        </w:rPr>
        <w:t>The fair value of derivative loan commitments and forward loan sale agreements are estimated using the anticipated market price based on pricing indications provided from syndicate banks. These commitments and agreements are categorized as Level 2. The fair value of such instruments was nominal at each date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i w:val="1"/>
          <w:iCs w:val="1"/>
          <w:color w:val="auto"/>
        </w:rPr>
        <w:t xml:space="preserve">Collateral dependent impaired loans </w:t>
      </w:r>
      <w:r>
        <w:rPr>
          <w:rFonts w:ascii="Arial" w:cs="Arial" w:eastAsia="Arial" w:hAnsi="Arial"/>
          <w:sz w:val="16"/>
          <w:szCs w:val="16"/>
          <w:color w:val="auto"/>
        </w:rPr>
        <w:t>- Valuations of impaired loans measured at fair value are determined by a review of collateral values.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inputs used in appraisals are not always observable, and therefore impaired loans are generally categorized as Level 3 within the fair value hierarchy.</w:t>
      </w:r>
    </w:p>
    <w:p>
      <w:pPr>
        <w:spacing w:after="0" w:line="124"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i w:val="1"/>
          <w:iCs w:val="1"/>
          <w:color w:val="auto"/>
        </w:rPr>
        <w:t xml:space="preserve">Real estate owned and other repossessed collateral </w:t>
      </w:r>
      <w:r>
        <w:rPr>
          <w:rFonts w:ascii="Arial" w:cs="Arial" w:eastAsia="Arial" w:hAnsi="Arial"/>
          <w:sz w:val="17"/>
          <w:szCs w:val="17"/>
          <w:color w:val="auto"/>
        </w:rPr>
        <w:t>- The fair values of real estate owned and other repossessed collateral are estimated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appraised values less estimated costs to sell. Certain inputs used in appraisals are not always observable, and therefore may be categorized as Level 3 within the fair value hierarchy. When inputs used in appraisals are primarily observable, they are classified as Level 2.</w:t>
      </w:r>
    </w:p>
    <w:p>
      <w:pPr>
        <w:spacing w:after="0" w:line="166" w:lineRule="exact"/>
        <w:rPr>
          <w:sz w:val="20"/>
          <w:szCs w:val="20"/>
          <w:color w:val="auto"/>
        </w:rPr>
      </w:pPr>
    </w:p>
    <w:p>
      <w:pPr>
        <w:ind w:left="660"/>
        <w:spacing w:after="0" w:line="312" w:lineRule="auto"/>
        <w:rPr>
          <w:sz w:val="20"/>
          <w:szCs w:val="20"/>
          <w:color w:val="auto"/>
        </w:rPr>
      </w:pPr>
      <w:r>
        <w:rPr>
          <w:rFonts w:ascii="Arial" w:cs="Arial" w:eastAsia="Arial" w:hAnsi="Arial"/>
          <w:sz w:val="16"/>
          <w:szCs w:val="16"/>
          <w:i w:val="1"/>
          <w:iCs w:val="1"/>
          <w:color w:val="auto"/>
        </w:rPr>
        <w:t xml:space="preserve">Loan servicing rights </w:t>
      </w:r>
      <w:r>
        <w:rPr>
          <w:rFonts w:ascii="Arial" w:cs="Arial" w:eastAsia="Arial" w:hAnsi="Arial"/>
          <w:sz w:val="16"/>
          <w:szCs w:val="16"/>
          <w:color w:val="auto"/>
        </w:rPr>
        <w:t>- The fair value of the servicing rights is based on a valuation model that calculates the present value of estimated future net</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income. Adjustments are only recorded when the discounted cash flows derived from the valuation model are less than the carrying value of the asset. Certain inputs are not observable, and therefore loan servicing rights are generally categorized as Level 3 within the fair value hierarchy.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25" w:lineRule="exact"/>
        <w:rPr>
          <w:sz w:val="20"/>
          <w:szCs w:val="20"/>
          <w:color w:val="auto"/>
        </w:rPr>
      </w:pPr>
    </w:p>
    <w:p>
      <w:pPr>
        <w:ind w:left="500" w:right="36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fair value of cash, due from banks, interest bearing deposits and Federal Home Loan Bank of Boston (“FHLBB”)</w:t>
      </w:r>
      <w:r>
        <w:rPr>
          <w:rFonts w:ascii="Arial" w:cs="Arial" w:eastAsia="Arial" w:hAnsi="Arial"/>
          <w:sz w:val="18"/>
          <w:szCs w:val="18"/>
          <w:i w:val="1"/>
          <w:iCs w:val="1"/>
          <w:color w:val="auto"/>
        </w:rPr>
        <w:t xml:space="preserve"> </w:t>
      </w:r>
      <w:r>
        <w:rPr>
          <w:rFonts w:ascii="Arial" w:cs="Arial" w:eastAsia="Arial" w:hAnsi="Arial"/>
          <w:sz w:val="18"/>
          <w:szCs w:val="18"/>
          <w:color w:val="auto"/>
        </w:rPr>
        <w:t>overnight deposits approximates their relative book values, as these financial instruments have short maturities.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FHLBB stock </w:t>
      </w:r>
      <w:r>
        <w:rPr>
          <w:rFonts w:ascii="Arial" w:cs="Arial" w:eastAsia="Arial" w:hAnsi="Arial"/>
          <w:sz w:val="18"/>
          <w:szCs w:val="18"/>
          <w:color w:val="auto"/>
        </w:rPr>
        <w:t>- The carrying value of FHLBB stock approximates fair value based on redemption provisions of the FHLBB.</w:t>
      </w:r>
    </w:p>
    <w:p>
      <w:pPr>
        <w:spacing w:after="0" w:line="225" w:lineRule="exact"/>
        <w:rPr>
          <w:sz w:val="20"/>
          <w:szCs w:val="20"/>
          <w:color w:val="auto"/>
        </w:rPr>
      </w:pPr>
    </w:p>
    <w:p>
      <w:pPr>
        <w:ind w:left="500" w:right="440"/>
        <w:spacing w:after="0" w:line="302" w:lineRule="auto"/>
        <w:rPr>
          <w:sz w:val="20"/>
          <w:szCs w:val="20"/>
          <w:color w:val="auto"/>
        </w:rPr>
      </w:pPr>
      <w:r>
        <w:rPr>
          <w:rFonts w:ascii="Arial" w:cs="Arial" w:eastAsia="Arial" w:hAnsi="Arial"/>
          <w:sz w:val="16"/>
          <w:szCs w:val="16"/>
          <w:i w:val="1"/>
          <w:iCs w:val="1"/>
          <w:color w:val="auto"/>
        </w:rPr>
        <w:t xml:space="preserve">Loans </w:t>
      </w:r>
      <w:r>
        <w:rPr>
          <w:rFonts w:ascii="Arial" w:cs="Arial" w:eastAsia="Arial" w:hAnsi="Arial"/>
          <w:sz w:val="16"/>
          <w:szCs w:val="16"/>
          <w:color w:val="auto"/>
        </w:rPr>
        <w:t>- Fair values are estimated for portfolios of loans with similar financial characteristics. The fair value of performing loans is calculated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held-for-sale is estimated based on bid quotations received from loan dealers.</w:t>
      </w:r>
    </w:p>
    <w:p>
      <w:pPr>
        <w:spacing w:after="0" w:line="225" w:lineRule="exact"/>
        <w:rPr>
          <w:sz w:val="20"/>
          <w:szCs w:val="20"/>
          <w:color w:val="auto"/>
        </w:rPr>
      </w:pPr>
    </w:p>
    <w:p>
      <w:pPr>
        <w:ind w:left="500"/>
        <w:spacing w:after="0" w:line="264" w:lineRule="auto"/>
        <w:rPr>
          <w:sz w:val="20"/>
          <w:szCs w:val="20"/>
          <w:color w:val="auto"/>
        </w:rPr>
      </w:pPr>
      <w:r>
        <w:rPr>
          <w:rFonts w:ascii="Arial" w:cs="Arial" w:eastAsia="Arial" w:hAnsi="Arial"/>
          <w:sz w:val="18"/>
          <w:szCs w:val="18"/>
          <w:i w:val="1"/>
          <w:iCs w:val="1"/>
          <w:color w:val="auto"/>
        </w:rPr>
        <w:t xml:space="preserve">Interest receivable </w:t>
      </w:r>
      <w:r>
        <w:rPr>
          <w:rFonts w:ascii="Arial" w:cs="Arial" w:eastAsia="Arial" w:hAnsi="Arial"/>
          <w:sz w:val="18"/>
          <w:szCs w:val="18"/>
          <w:color w:val="auto"/>
        </w:rPr>
        <w:t>- The fair value of this financial instrument approximates the book value as this financial instrument has a short maturity. It is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policy to stop accruing interest on loans past due by more than 90 days. Therefore, this financial instrument has been adjusted for estimated credit losses.</w:t>
      </w:r>
    </w:p>
    <w:p>
      <w:pPr>
        <w:spacing w:after="0" w:line="181" w:lineRule="exact"/>
        <w:rPr>
          <w:sz w:val="20"/>
          <w:szCs w:val="20"/>
          <w:color w:val="auto"/>
        </w:rPr>
      </w:pPr>
    </w:p>
    <w:p>
      <w:pPr>
        <w:ind w:left="500" w:right="80"/>
        <w:spacing w:after="0" w:line="257" w:lineRule="auto"/>
        <w:rPr>
          <w:sz w:val="20"/>
          <w:szCs w:val="20"/>
          <w:color w:val="auto"/>
        </w:rPr>
      </w:pPr>
      <w:r>
        <w:rPr>
          <w:rFonts w:ascii="Arial" w:cs="Arial" w:eastAsia="Arial" w:hAnsi="Arial"/>
          <w:sz w:val="18"/>
          <w:szCs w:val="18"/>
          <w:i w:val="1"/>
          <w:iCs w:val="1"/>
          <w:color w:val="auto"/>
        </w:rPr>
        <w:t xml:space="preserve">Deposits </w:t>
      </w:r>
      <w:r>
        <w:rPr>
          <w:rFonts w:ascii="Arial" w:cs="Arial" w:eastAsia="Arial" w:hAnsi="Arial"/>
          <w:sz w:val="18"/>
          <w:szCs w:val="18"/>
          <w:color w:val="auto"/>
        </w:rPr>
        <w:t>- The fair value of deposits with no stated maturity, such as noninterest-bearing demand deposits, savings, NOW accounts and money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is equal to the amount payable on demand. The fair values of time deposits are based on the discounted value of contractual cash flows. The discount rate is estimated using the rates currently offered for deposits of similar remaining maturities. The fair value estimates do not include the benefit that results from the low-cost funding provided by the deposit liabilities compared to the cost of borrowing funds in the market. If that value were considered, the fair value of the Company’s net assets could increase.</w:t>
      </w:r>
    </w:p>
    <w:p>
      <w:pPr>
        <w:spacing w:after="0" w:line="188" w:lineRule="exact"/>
        <w:rPr>
          <w:sz w:val="20"/>
          <w:szCs w:val="20"/>
          <w:color w:val="auto"/>
        </w:rPr>
      </w:pPr>
    </w:p>
    <w:p>
      <w:pPr>
        <w:jc w:val="both"/>
        <w:ind w:left="500" w:right="60"/>
        <w:spacing w:after="0" w:line="279" w:lineRule="auto"/>
        <w:rPr>
          <w:sz w:val="20"/>
          <w:szCs w:val="20"/>
          <w:color w:val="auto"/>
        </w:rPr>
      </w:pPr>
      <w:r>
        <w:rPr>
          <w:rFonts w:ascii="Arial" w:cs="Arial" w:eastAsia="Arial" w:hAnsi="Arial"/>
          <w:sz w:val="17"/>
          <w:szCs w:val="17"/>
          <w:i w:val="1"/>
          <w:iCs w:val="1"/>
          <w:color w:val="auto"/>
        </w:rPr>
        <w:t xml:space="preserve">FHLBB advances, capital lease obligations and subordinated debentures </w:t>
      </w:r>
      <w:r>
        <w:rPr>
          <w:rFonts w:ascii="Arial" w:cs="Arial" w:eastAsia="Arial" w:hAnsi="Arial"/>
          <w:sz w:val="17"/>
          <w:szCs w:val="17"/>
          <w:color w:val="auto"/>
        </w:rPr>
        <w:t>- The fair value of the Company’s borrowings with the FHLBB is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by discounting the cash flows through maturity or the next re-pricing date based on current rates available to the Company for borrowings with similar maturities. The fair value of the Company’s capital lease obligations and subordinated debentures are estimated by discounting the cash flows through maturity based on current rates available to the Company for borrowings with similar maturities.</w:t>
      </w:r>
    </w:p>
    <w:p>
      <w:pPr>
        <w:spacing w:after="0" w:line="171" w:lineRule="exact"/>
        <w:rPr>
          <w:sz w:val="20"/>
          <w:szCs w:val="20"/>
          <w:color w:val="auto"/>
        </w:rPr>
      </w:pPr>
    </w:p>
    <w:p>
      <w:pPr>
        <w:ind w:left="500" w:right="280"/>
        <w:spacing w:after="0" w:line="264" w:lineRule="auto"/>
        <w:rPr>
          <w:sz w:val="20"/>
          <w:szCs w:val="20"/>
          <w:color w:val="auto"/>
        </w:rPr>
      </w:pPr>
      <w:r>
        <w:rPr>
          <w:rFonts w:ascii="Arial" w:cs="Arial" w:eastAsia="Arial" w:hAnsi="Arial"/>
          <w:sz w:val="18"/>
          <w:szCs w:val="18"/>
          <w:i w:val="1"/>
          <w:iCs w:val="1"/>
          <w:color w:val="auto"/>
        </w:rPr>
        <w:t xml:space="preserve">Off-Balance Sheet Credit-Related Instruments </w:t>
      </w:r>
      <w:r>
        <w:rPr>
          <w:rFonts w:ascii="Arial" w:cs="Arial" w:eastAsia="Arial" w:hAnsi="Arial"/>
          <w:sz w:val="18"/>
          <w:szCs w:val="18"/>
          <w:color w:val="auto"/>
        </w:rPr>
        <w:t>- Fair values for off-balance-sheet, credit-related financial instruments are based on fees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enter into similar agreements, taking into account the remaining terms of the agreements and the counterparties’ credit standing. The fair value of such instruments was nominal at each date presented.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color w:val="auto"/>
                <w:w w:val="91"/>
              </w:rPr>
              <w:t>March 31, 2018</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jc w:val="center"/>
              <w:ind w:right="40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484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Available-for-sale securities: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56,948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56,948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26,172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26,172</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530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Other investments measured at net asset value</w:t>
            </w:r>
            <w:r>
              <w:rPr>
                <w:rFonts w:ascii="Arial" w:cs="Arial" w:eastAsia="Arial" w:hAnsi="Arial"/>
                <w:sz w:val="29"/>
                <w:szCs w:val="29"/>
                <w:color w:val="auto"/>
                <w:vertAlign w:val="superscript"/>
              </w:rPr>
              <w:t>(1)</w:t>
            </w:r>
          </w:p>
        </w:tc>
        <w:tc>
          <w:tcPr>
            <w:tcW w:w="2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assets – interest rate caps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Liabilities</w:t>
            </w:r>
          </w:p>
        </w:tc>
        <w:tc>
          <w:tcPr>
            <w:tcW w:w="45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liabilities – interest rate swaps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1,025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1,025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4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color w:val="auto"/>
                <w:w w:val="89"/>
              </w:rPr>
              <w:t>June 30, 2017</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jc w:val="center"/>
              <w:ind w:right="40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484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Available-for-sale securities: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57,168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57,168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32,903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32,903</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530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Other investments measured at net asset value</w:t>
            </w:r>
            <w:r>
              <w:rPr>
                <w:rFonts w:ascii="Arial" w:cs="Arial" w:eastAsia="Arial" w:hAnsi="Arial"/>
                <w:sz w:val="29"/>
                <w:szCs w:val="29"/>
                <w:color w:val="auto"/>
                <w:vertAlign w:val="superscript"/>
              </w:rPr>
              <w:t>(1)</w:t>
            </w:r>
          </w:p>
        </w:tc>
        <w:tc>
          <w:tcPr>
            <w:tcW w:w="2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assets – interest rate caps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Liabilities</w:t>
            </w:r>
          </w:p>
        </w:tc>
        <w:tc>
          <w:tcPr>
            <w:tcW w:w="45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liabilities – interest rate swap</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1,355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1,355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60" w:right="600" w:hanging="328"/>
        <w:spacing w:after="0" w:line="209" w:lineRule="auto"/>
        <w:tabs>
          <w:tab w:leader="none" w:pos="66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In accordance with ASU 820-10, certain investments that are measured at fair value using the net asset value per share (or its equivalent) as a practical expedient have not been classified in the fair value hierarchy. The fair value amount presented in the table are intended to permit reconciliation of the fair value amount to the consolidated financial statements.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nonrecurring basis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center"/>
              <w:ind w:left="50"/>
              <w:spacing w:after="0"/>
              <w:rPr>
                <w:sz w:val="20"/>
                <w:szCs w:val="20"/>
                <w:color w:val="auto"/>
              </w:rPr>
            </w:pPr>
            <w:r>
              <w:rPr>
                <w:rFonts w:ascii="Arial" w:cs="Arial" w:eastAsia="Arial" w:hAnsi="Arial"/>
                <w:sz w:val="18"/>
                <w:szCs w:val="18"/>
                <w:color w:val="auto"/>
                <w:w w:val="91"/>
              </w:rPr>
              <w:t>March 31, 2018</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4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left="3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1,834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8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947</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2,998</w:t>
            </w:r>
          </w:p>
        </w:tc>
      </w:tr>
      <w:tr>
        <w:trPr>
          <w:trHeight w:val="459"/>
        </w:trPr>
        <w:tc>
          <w:tcPr>
            <w:tcW w:w="46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left="50"/>
              <w:spacing w:after="0"/>
              <w:rPr>
                <w:sz w:val="20"/>
                <w:szCs w:val="20"/>
                <w:color w:val="auto"/>
              </w:rPr>
            </w:pPr>
            <w:r>
              <w:rPr>
                <w:rFonts w:ascii="Arial" w:cs="Arial" w:eastAsia="Arial" w:hAnsi="Arial"/>
                <w:sz w:val="18"/>
                <w:szCs w:val="18"/>
                <w:color w:val="auto"/>
                <w:w w:val="89"/>
              </w:rPr>
              <w:t>June 30, 2017</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6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4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left="3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1,011</w:t>
            </w:r>
          </w:p>
        </w:tc>
        <w:tc>
          <w:tcPr>
            <w:tcW w:w="1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8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w:t>
            </w:r>
          </w:p>
        </w:tc>
      </w:tr>
    </w:tbl>
    <w:p>
      <w:pPr>
        <w:spacing w:after="0" w:line="200" w:lineRule="exact"/>
        <w:rPr>
          <w:sz w:val="20"/>
          <w:szCs w:val="20"/>
          <w:color w:val="auto"/>
        </w:rPr>
      </w:pPr>
    </w:p>
    <w:p>
      <w:pPr>
        <w:spacing w:after="0" w:line="21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presents quantitative information about significant unobservable inputs (Level 3) for assets measured at fair value on a nonrecurring basis at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Fair Value</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195"/>
        </w:trPr>
        <w:tc>
          <w:tcPr>
            <w:tcW w:w="4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480"/>
              <w:spacing w:after="0" w:line="195" w:lineRule="exact"/>
              <w:rPr>
                <w:sz w:val="20"/>
                <w:szCs w:val="20"/>
                <w:color w:val="auto"/>
              </w:rPr>
            </w:pPr>
            <w:r>
              <w:rPr>
                <w:rFonts w:ascii="Arial" w:cs="Arial" w:eastAsia="Arial" w:hAnsi="Arial"/>
                <w:sz w:val="18"/>
                <w:szCs w:val="18"/>
                <w:color w:val="auto"/>
                <w:w w:val="92"/>
              </w:rPr>
              <w:t>March 31,</w:t>
            </w:r>
          </w:p>
        </w:tc>
        <w:tc>
          <w:tcPr>
            <w:tcW w:w="340" w:type="dxa"/>
            <w:vAlign w:val="bottom"/>
          </w:tcPr>
          <w:p>
            <w:pPr>
              <w:spacing w:after="0"/>
              <w:rPr>
                <w:sz w:val="16"/>
                <w:szCs w:val="16"/>
                <w:color w:val="auto"/>
              </w:rPr>
            </w:pPr>
          </w:p>
        </w:tc>
        <w:tc>
          <w:tcPr>
            <w:tcW w:w="1120" w:type="dxa"/>
            <w:vAlign w:val="bottom"/>
          </w:tcPr>
          <w:p>
            <w:pPr>
              <w:jc w:val="right"/>
              <w:ind w:right="330"/>
              <w:spacing w:after="0" w:line="195" w:lineRule="exact"/>
              <w:rPr>
                <w:sz w:val="20"/>
                <w:szCs w:val="20"/>
                <w:color w:val="auto"/>
              </w:rPr>
            </w:pPr>
            <w:r>
              <w:rPr>
                <w:rFonts w:ascii="Arial" w:cs="Arial" w:eastAsia="Arial" w:hAnsi="Arial"/>
                <w:sz w:val="18"/>
                <w:szCs w:val="18"/>
                <w:color w:val="auto"/>
                <w:w w:val="98"/>
              </w:rPr>
              <w:t>June 30,</w:t>
            </w:r>
          </w:p>
        </w:tc>
        <w:tc>
          <w:tcPr>
            <w:tcW w:w="12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230"/>
        </w:trPr>
        <w:tc>
          <w:tcPr>
            <w:tcW w:w="4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Valuation Technique</w:t>
            </w:r>
          </w:p>
        </w:tc>
      </w:tr>
      <w:tr>
        <w:trPr>
          <w:trHeight w:val="210"/>
        </w:trPr>
        <w:tc>
          <w:tcPr>
            <w:tcW w:w="4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gridSpan w:val="5"/>
          </w:tcPr>
          <w:p>
            <w:pPr>
              <w:jc w:val="right"/>
              <w:ind w:right="920"/>
              <w:spacing w:after="0"/>
              <w:rPr>
                <w:sz w:val="20"/>
                <w:szCs w:val="20"/>
                <w:color w:val="auto"/>
              </w:rPr>
            </w:pPr>
            <w:r>
              <w:rPr>
                <w:rFonts w:ascii="Arial" w:cs="Arial" w:eastAsia="Arial" w:hAnsi="Arial"/>
                <w:sz w:val="18"/>
                <w:szCs w:val="18"/>
                <w:color w:val="auto"/>
              </w:rPr>
              <w:t>(Dollars in thousands)</w:t>
            </w:r>
          </w:p>
        </w:tc>
        <w:tc>
          <w:tcPr>
            <w:tcW w:w="3400" w:type="dxa"/>
            <w:vAlign w:val="bottom"/>
          </w:tcPr>
          <w:p>
            <w:pPr>
              <w:spacing w:after="0"/>
              <w:rPr>
                <w:sz w:val="18"/>
                <w:szCs w:val="18"/>
                <w:color w:val="auto"/>
              </w:rPr>
            </w:pPr>
          </w:p>
        </w:tc>
      </w:tr>
      <w:tr>
        <w:trPr>
          <w:trHeight w:val="257"/>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1,834</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1,011</w:t>
            </w:r>
          </w:p>
        </w:tc>
        <w:tc>
          <w:tcPr>
            <w:tcW w:w="340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91"/>
              </w:rPr>
              <w:t>Appraisal of collateral</w:t>
            </w:r>
            <w:r>
              <w:rPr>
                <w:rFonts w:ascii="Arial" w:cs="Arial" w:eastAsia="Arial" w:hAnsi="Arial"/>
                <w:sz w:val="29"/>
                <w:szCs w:val="29"/>
                <w:color w:val="auto"/>
                <w:w w:val="91"/>
                <w:vertAlign w:val="superscript"/>
              </w:rPr>
              <w:t>(1)</w:t>
            </w:r>
          </w:p>
        </w:tc>
      </w:tr>
      <w:tr>
        <w:trPr>
          <w:trHeight w:val="257"/>
        </w:trPr>
        <w:tc>
          <w:tcPr>
            <w:tcW w:w="418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947</w:t>
            </w:r>
          </w:p>
        </w:tc>
        <w:tc>
          <w:tcPr>
            <w:tcW w:w="34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826</w:t>
            </w:r>
          </w:p>
        </w:tc>
        <w:tc>
          <w:tcPr>
            <w:tcW w:w="3400" w:type="dxa"/>
            <w:vAlign w:val="bottom"/>
          </w:tcPr>
          <w:p>
            <w:pPr>
              <w:jc w:val="center"/>
              <w:spacing w:after="0" w:line="256" w:lineRule="exact"/>
              <w:rPr>
                <w:sz w:val="20"/>
                <w:szCs w:val="20"/>
                <w:color w:val="auto"/>
              </w:rPr>
            </w:pPr>
            <w:r>
              <w:rPr>
                <w:rFonts w:ascii="Arial" w:cs="Arial" w:eastAsia="Arial" w:hAnsi="Arial"/>
                <w:sz w:val="18"/>
                <w:szCs w:val="18"/>
                <w:color w:val="auto"/>
                <w:w w:val="91"/>
              </w:rPr>
              <w:t>Appraisal of collateral</w:t>
            </w:r>
            <w:r>
              <w:rPr>
                <w:rFonts w:ascii="Arial" w:cs="Arial" w:eastAsia="Arial" w:hAnsi="Arial"/>
                <w:sz w:val="29"/>
                <w:szCs w:val="29"/>
                <w:color w:val="auto"/>
                <w:w w:val="91"/>
                <w:vertAlign w:val="superscript"/>
              </w:rPr>
              <w:t>(1)</w:t>
            </w:r>
          </w:p>
        </w:tc>
      </w:tr>
      <w:tr>
        <w:trPr>
          <w:trHeight w:val="257"/>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5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2,998</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2,846</w:t>
            </w:r>
          </w:p>
        </w:tc>
        <w:tc>
          <w:tcPr>
            <w:tcW w:w="340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8"/>
              </w:rPr>
              <w:t>Discounted cash flow</w:t>
            </w:r>
            <w:r>
              <w:rPr>
                <w:rFonts w:ascii="Arial" w:cs="Arial" w:eastAsia="Arial" w:hAnsi="Arial"/>
                <w:sz w:val="29"/>
                <w:szCs w:val="29"/>
                <w:color w:val="auto"/>
                <w:w w:val="88"/>
                <w:vertAlign w:val="superscript"/>
              </w:rPr>
              <w:t>(2)</w:t>
            </w:r>
          </w:p>
        </w:tc>
      </w:tr>
    </w:tbl>
    <w:p>
      <w:pPr>
        <w:spacing w:after="0" w:line="202" w:lineRule="exact"/>
        <w:rPr>
          <w:sz w:val="20"/>
          <w:szCs w:val="20"/>
          <w:color w:val="auto"/>
        </w:rPr>
      </w:pPr>
    </w:p>
    <w:p>
      <w:pPr>
        <w:ind w:right="140" w:firstLine="8"/>
        <w:spacing w:after="0" w:line="271" w:lineRule="auto"/>
        <w:tabs>
          <w:tab w:leader="none" w:pos="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Fair value is generally determined through independent appraisals of the underlying collateral. The Company may also use another available source of collateral assessment to determine a reasonable estimate of the fair value of the collateral. Appraisals may be adjusted by management for qualitative factors such as economic factors and estimated liquidation expenses. The range of these possible adjustments was 10% to 88%.</w:t>
      </w:r>
    </w:p>
    <w:p>
      <w:pPr>
        <w:ind w:right="300" w:firstLine="8"/>
        <w:spacing w:after="0" w:line="261"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Fair value is determined using a discounted cash flow model. The unobservable inputs include anticipated rate of loan prepayments and discount rates. The range of prepayment assumptions used was 0% to 12.4%. For discount rates, the range was 9.8% to 15.8%.</w:t>
      </w:r>
    </w:p>
    <w:p>
      <w:pPr>
        <w:sectPr>
          <w:pgSz w:w="11900" w:h="16838" w:orient="portrait"/>
          <w:cols w:equalWidth="0" w:num="1">
            <w:col w:w="11420"/>
          </w:cols>
          <w:pgMar w:left="240" w:top="118" w:right="239" w:bottom="1068"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068" w:gutter="0" w:footer="0" w:header="0"/>
          <w:type w:val="continuous"/>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the total gains (losses) on assets measured at fair value on a non-recurring basis for the three and nine months ended March 31, 2018 and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2520" w:type="dxa"/>
            <w:vAlign w:val="bottom"/>
            <w:gridSpan w:val="4"/>
          </w:tcPr>
          <w:p>
            <w:pPr>
              <w:jc w:val="right"/>
              <w:spacing w:after="0"/>
              <w:rPr>
                <w:sz w:val="20"/>
                <w:szCs w:val="20"/>
                <w:color w:val="auto"/>
              </w:rPr>
            </w:pPr>
            <w:r>
              <w:rPr>
                <w:rFonts w:ascii="Arial" w:cs="Arial" w:eastAsia="Arial" w:hAnsi="Arial"/>
                <w:sz w:val="18"/>
                <w:szCs w:val="18"/>
                <w:color w:val="auto"/>
                <w:w w:val="97"/>
              </w:rPr>
              <w:t>Three months Ended March 31,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6"/>
          </w:tcPr>
          <w:p>
            <w:pPr>
              <w:jc w:val="right"/>
              <w:ind w:right="340"/>
              <w:spacing w:after="0"/>
              <w:rPr>
                <w:sz w:val="20"/>
                <w:szCs w:val="20"/>
                <w:color w:val="auto"/>
              </w:rPr>
            </w:pPr>
            <w:r>
              <w:rPr>
                <w:rFonts w:ascii="Arial" w:cs="Arial" w:eastAsia="Arial" w:hAnsi="Arial"/>
                <w:sz w:val="18"/>
                <w:szCs w:val="18"/>
                <w:color w:val="auto"/>
                <w:w w:val="92"/>
              </w:rPr>
              <w:t>Nine months Ended March 31,</w:t>
            </w:r>
          </w:p>
        </w:tc>
      </w:tr>
      <w:tr>
        <w:trPr>
          <w:trHeight w:val="210"/>
        </w:trPr>
        <w:tc>
          <w:tcPr>
            <w:tcW w:w="40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8"/>
                <w:szCs w:val="18"/>
                <w:color w:val="auto"/>
              </w:rPr>
            </w:pPr>
          </w:p>
        </w:tc>
      </w:tr>
      <w:tr>
        <w:trPr>
          <w:trHeight w:val="210"/>
        </w:trPr>
        <w:tc>
          <w:tcPr>
            <w:tcW w:w="4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(In</w:t>
            </w:r>
          </w:p>
        </w:tc>
        <w:tc>
          <w:tcPr>
            <w:tcW w:w="1440" w:type="dxa"/>
            <w:vAlign w:val="bottom"/>
            <w:gridSpan w:val="4"/>
          </w:tcPr>
          <w:p>
            <w:pPr>
              <w:jc w:val="right"/>
              <w:ind w:right="750"/>
              <w:spacing w:after="0"/>
              <w:rPr>
                <w:sz w:val="20"/>
                <w:szCs w:val="20"/>
                <w:color w:val="auto"/>
              </w:rPr>
            </w:pPr>
            <w:r>
              <w:rPr>
                <w:rFonts w:ascii="Arial" w:cs="Arial" w:eastAsia="Arial" w:hAnsi="Arial"/>
                <w:sz w:val="16"/>
                <w:szCs w:val="16"/>
                <w:color w:val="auto"/>
                <w:w w:val="73"/>
              </w:rPr>
              <w:t>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(657)</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Real estate owned and other repossessed collateral</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10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r>
      <w:tr>
        <w:trPr>
          <w:trHeight w:val="20"/>
        </w:trPr>
        <w:tc>
          <w:tcPr>
            <w:tcW w:w="40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57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(642)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r>
      <w:tr>
        <w:trPr>
          <w:trHeight w:val="20"/>
        </w:trPr>
        <w:tc>
          <w:tcPr>
            <w:tcW w:w="4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estimated fair value of the Company's financial instruments.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color w:val="auto"/>
              </w:rPr>
              <w:t>Fair Value Measurements at March 31, 2018</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w w:val="74"/>
              </w:rPr>
              <w:t>(Dollars in thousands)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5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222,067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222,067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222,067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83,120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83,120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00" w:type="dxa"/>
            <w:vAlign w:val="bottom"/>
            <w:gridSpan w:val="3"/>
          </w:tcPr>
          <w:p>
            <w:pPr>
              <w:spacing w:after="0" w:line="256" w:lineRule="exact"/>
              <w:rPr>
                <w:sz w:val="20"/>
                <w:szCs w:val="20"/>
                <w:color w:val="auto"/>
              </w:rPr>
            </w:pPr>
            <w:r>
              <w:rPr>
                <w:rFonts w:ascii="Arial" w:cs="Arial" w:eastAsia="Arial" w:hAnsi="Arial"/>
                <w:sz w:val="18"/>
                <w:szCs w:val="18"/>
                <w:color w:val="auto"/>
                <w:w w:val="91"/>
              </w:rPr>
              <w:t>Other investments measured at net asset value</w:t>
            </w:r>
            <w:r>
              <w:rPr>
                <w:rFonts w:ascii="Arial" w:cs="Arial" w:eastAsia="Arial" w:hAnsi="Arial"/>
                <w:sz w:val="29"/>
                <w:szCs w:val="29"/>
                <w:color w:val="auto"/>
                <w:w w:val="91"/>
                <w:vertAlign w:val="superscript"/>
              </w:rPr>
              <w:t>(1)</w:t>
            </w:r>
          </w:p>
        </w:tc>
        <w:tc>
          <w:tcPr>
            <w:tcW w:w="1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6,621</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1,758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4,539</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4,539</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811,738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812,049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2,383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2,383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2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976,280</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110"/>
              <w:spacing w:after="0"/>
              <w:rPr>
                <w:sz w:val="20"/>
                <w:szCs w:val="20"/>
                <w:color w:val="auto"/>
              </w:rPr>
            </w:pPr>
            <w:r>
              <w:rPr>
                <w:rFonts w:ascii="Arial" w:cs="Arial" w:eastAsia="Arial" w:hAnsi="Arial"/>
                <w:sz w:val="18"/>
                <w:szCs w:val="18"/>
                <w:color w:val="auto"/>
              </w:rPr>
              <w:t>975,896</w:t>
            </w: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975,896</w:t>
            </w: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advances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15,000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692</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692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24,560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1,025</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1,025</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9"/>
          </w:tcPr>
          <w:p>
            <w:pPr>
              <w:jc w:val="right"/>
              <w:ind w:right="45"/>
              <w:spacing w:after="0"/>
              <w:rPr>
                <w:sz w:val="20"/>
                <w:szCs w:val="20"/>
                <w:color w:val="auto"/>
              </w:rPr>
            </w:pPr>
            <w:r>
              <w:rPr>
                <w:rFonts w:ascii="Arial" w:cs="Arial" w:eastAsia="Arial" w:hAnsi="Arial"/>
                <w:sz w:val="18"/>
                <w:szCs w:val="18"/>
                <w:color w:val="auto"/>
              </w:rPr>
              <w:t>Fair Value Measurements at June 30, 2017</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w w:val="74"/>
              </w:rPr>
              <w:t>(Dollars in thousands)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5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163,283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163,283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163,283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90,071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90,071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00" w:type="dxa"/>
            <w:vAlign w:val="bottom"/>
            <w:gridSpan w:val="3"/>
          </w:tcPr>
          <w:p>
            <w:pPr>
              <w:spacing w:after="0" w:line="256" w:lineRule="exact"/>
              <w:rPr>
                <w:sz w:val="20"/>
                <w:szCs w:val="20"/>
                <w:color w:val="auto"/>
              </w:rPr>
            </w:pPr>
            <w:r>
              <w:rPr>
                <w:rFonts w:ascii="Arial" w:cs="Arial" w:eastAsia="Arial" w:hAnsi="Arial"/>
                <w:sz w:val="18"/>
                <w:szCs w:val="18"/>
                <w:color w:val="auto"/>
                <w:w w:val="91"/>
              </w:rPr>
              <w:t>Other investments measured at net asset value</w:t>
            </w:r>
            <w:r>
              <w:rPr>
                <w:rFonts w:ascii="Arial" w:cs="Arial" w:eastAsia="Arial" w:hAnsi="Arial"/>
                <w:sz w:val="29"/>
                <w:szCs w:val="29"/>
                <w:color w:val="auto"/>
                <w:w w:val="91"/>
                <w:vertAlign w:val="superscript"/>
              </w:rPr>
              <w:t>(1)</w:t>
            </w:r>
          </w:p>
        </w:tc>
        <w:tc>
          <w:tcPr>
            <w:tcW w:w="1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6,622</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1,938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4,699</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4,699</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775,530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776,579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2,111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2,111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2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889,850</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110"/>
              <w:spacing w:after="0"/>
              <w:rPr>
                <w:sz w:val="20"/>
                <w:szCs w:val="20"/>
                <w:color w:val="auto"/>
              </w:rPr>
            </w:pPr>
            <w:r>
              <w:rPr>
                <w:rFonts w:ascii="Arial" w:cs="Arial" w:eastAsia="Arial" w:hAnsi="Arial"/>
                <w:sz w:val="18"/>
                <w:szCs w:val="18"/>
                <w:color w:val="auto"/>
              </w:rPr>
              <w:t>889,877</w:t>
            </w: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889,877</w:t>
            </w: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advances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20,057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20,057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918</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918</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25,677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1,355</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1,355</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right="440" w:hanging="328"/>
        <w:spacing w:after="0" w:line="209" w:lineRule="auto"/>
        <w:tabs>
          <w:tab w:leader="none" w:pos="66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In accordance with ASU 820-10, certain investments that are measured at fair value using the net asset value per share (or its equivalent) as a practical expedient have not been classified in the fair value hierarchy. The fair value amount presented in the table are intended to permit reconciliation of the fair value amount to the consolidated financial statements.</w:t>
      </w:r>
    </w:p>
    <w:p>
      <w:pPr>
        <w:sectPr>
          <w:pgSz w:w="11900" w:h="16838" w:orient="portrait"/>
          <w:cols w:equalWidth="0" w:num="1">
            <w:col w:w="11260"/>
          </w:cols>
          <w:pgMar w:left="240" w:top="118" w:right="399" w:bottom="1440" w:gutter="0" w:footer="0" w:header="0"/>
        </w:sect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type w:val="continuous"/>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notes and tables included in Northeast Bancorp’s Annual Report on Form 10-K for the fiscal year ended June 30, 2017, filed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Forward Looking Statements</w:t>
      </w:r>
    </w:p>
    <w:p>
      <w:pPr>
        <w:spacing w:after="0" w:line="22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This report contains certain “forward-looking statements” within the meaning of Section 27A of the Securities Act of 1933, as amended and Section 21E of the Securities Exchange Act of 1934, as amended, such as statements relating to Northeast Bancorp’s financial condition, prospective results of operations, future performance or expectations, plans, objectives, prospects, loan loss allowance adequacy, simulation of changes in interest rates, capital spending and finance sources and revenue sources. These statements relate to expectations concerning matters that are not historical facts. Accordingly, statements that are based on management’s projections, estimates, assumptions, and judgments constitute forward-looking statements. These forward-looking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 “project”, or other similar terms or variations on those terms, or the future or conditional verbs such as “will”, “may”, “should”, “could”, and “would”.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its expectations will, in fact, occur or that its estimates or assumptions will be correct. The Company cautions you that actual results could differ materially from those expressed or implied by such forward-looking statements as a result of, among other factors, changes in interest rates and real estate values; competitive pressures from other financial institutions; weakness in general economic conditions on a national basis or in the local markets in which the Company operates, including changes which adversely affect borrowers’ ability to service and repay the Company’s loans; changes in loan defaults and charge-off rates; changes in the value of securities and other assets, adequacy of loan loss reserves, or deposit levels necessitating increased borrowing to fund loans and investments; changes in government regulation; operational risks including, but not limited to, cybersecurity breaches, fraud and natural disasters; the risk that the Company may not be successful in the execution of its business strategy; the risk that intangibles recorded in the Company’s financial statements will become impaired; changes in assumptions used in making such forward-looking statements; and the other risks and uncertainties detailed in the Company’s Annual Report on Form 10-K for the fiscal year ended June 30, 2017 as updated in the Company’s Quarterly Reports on Form 10-Q and other filings submitted to the Securities and Exchange Commission. These forward-looking statements speak only as of the date of this report and the Company does not undertake any obligation to update or revise any of these forward-looking statements to reflect events or circumstances occurring after the date of this report or to reflect the occurrence of unanticipated events.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Overview</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Northeast Bancorp (“we,” “our,” “us,” “Northeast” or the “Company”), incorporated under Maine law in 1987, is a bank holding company registered with the Board of Governors of the Federal Reserve System (the “Federal Reserve”). As a bank holding company registered under the Bank Holding Company Act of 1956, as amended (the “BHCA”), the Company is subject to regulation and supervision by the Federal Reserve. The Company’s primary subsidiary and principal asset is its wholly-owned banking subsidiary, Northeast Bank (the “Bank” or “Northeast Bank”), a Maine state-chartered bank originally organized in 1872. As a Federal Deposit Insurance Corporation (“FDIC”) insured Maine-chartered bank, the Bank is subject to regulation and supervision by the Maine Bureau of Financial Institutions (the “Bureau”) and the FDIC.</w:t>
      </w:r>
    </w:p>
    <w:p>
      <w:pPr>
        <w:spacing w:after="0" w:line="1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On December 29, 2010, the merger of the Company and FHB Formation LLC, a Delaware limited liability company (“FHB”), was consummated. As a result of the merger, the surviving company received a capital contribution of $16.2 million (in addition to the approximately $13.1 million in cash consideration paid to former shareholders), and the former members of FHB collectively acquired approximately 60% of the Company’s outstanding common stock. The Company applied the acquisition method of accounting, as described in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to the merger, which represents an acquisition by FHB of Northeast, with Northeast as the surviving company.</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transaction, as part of the regulatory approval process, the Company and the Bank made certain commitments to the Federal Reserve, the most significant of which are (i) to maintain a Tier 1 leverage ratio of at least 10%, (ii) to maintain a total risk-based capital ratio of at least 15%, (iii) 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risk-based capital. On June 28, 2013, the Federal Reserve approved the amendment to exclude owner-occupied commercial real estate loans from the commitment to hold commercial real estate loans to within 300% of total risk-based capital. All other commitments made to the Federal Reserve in connection with the merger remain unchanged. The Company and the Bank are currently in compliance with all commitments to the Federal Reserve. The Company’s compliance ratios at March 31, 2018 follow: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Ratios as of March 31,</w:t>
            </w:r>
          </w:p>
        </w:tc>
        <w:tc>
          <w:tcPr>
            <w:tcW w:w="0" w:type="dxa"/>
            <w:vAlign w:val="bottom"/>
          </w:tcPr>
          <w:p>
            <w:pPr>
              <w:spacing w:after="0"/>
              <w:rPr>
                <w:sz w:val="1"/>
                <w:szCs w:val="1"/>
                <w:color w:val="auto"/>
              </w:rPr>
            </w:pP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Condition</w:t>
            </w:r>
          </w:p>
        </w:tc>
        <w:tc>
          <w:tcPr>
            <w:tcW w:w="2120" w:type="dxa"/>
            <w:vAlign w:val="bottom"/>
            <w:gridSpan w:val="2"/>
          </w:tcPr>
          <w:p>
            <w:pPr>
              <w:jc w:val="right"/>
              <w:ind w:right="75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 Tier 1 leverage capital ratio</w:t>
            </w:r>
          </w:p>
        </w:tc>
        <w:tc>
          <w:tcPr>
            <w:tcW w:w="1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(ii) Total capital ratio</w:t>
            </w: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(iii) Ratio of purchased loans to total loans, including loans held for sale</w:t>
            </w:r>
          </w:p>
        </w:tc>
        <w:tc>
          <w:tcPr>
            <w:tcW w:w="2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(iv) Ratio of loans to core deposits (1)</w:t>
            </w: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83.65%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(v) Ratio of non-owner occupied commercial real estate loans to total capital (2)</w:t>
            </w:r>
          </w:p>
        </w:tc>
        <w:tc>
          <w:tcPr>
            <w:tcW w:w="2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186.07%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Core deposits include all non-maturity deposits and non-brokered insured time deposits.</w:t>
      </w:r>
    </w:p>
    <w:p>
      <w:pPr>
        <w:spacing w:after="0" w:line="23" w:lineRule="exact"/>
        <w:rPr>
          <w:rFonts w:ascii="Arial" w:cs="Arial" w:eastAsia="Arial" w:hAnsi="Arial"/>
          <w:sz w:val="18"/>
          <w:szCs w:val="18"/>
          <w:color w:val="auto"/>
        </w:rPr>
      </w:pPr>
    </w:p>
    <w:p>
      <w:pPr>
        <w:ind w:right="140" w:firstLine="8"/>
        <w:spacing w:after="0" w:line="261"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purposes of calculating this ratio, commercial real estate includes all non-owner occupied commercial real estate loans defined as such by regulatory guidance, including all land development and construction loans.</w:t>
      </w:r>
    </w:p>
    <w:p>
      <w:pPr>
        <w:sectPr>
          <w:pgSz w:w="11900" w:h="16838" w:orient="portrait"/>
          <w:cols w:equalWidth="0" w:num="1">
            <w:col w:w="11400"/>
          </w:cols>
          <w:pgMar w:left="240" w:top="118" w:right="259" w:bottom="528"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528" w:gutter="0" w:footer="0" w:header="0"/>
          <w:type w:val="continuous"/>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As of March 31, 2018, the Company, on a consolidated basis, had total assets of $1.2 billion, total deposits of $976.3 million, and shareholders’ equity of $133.8 million. The Company gathers retail deposits through its banking offices in Maine and the Bank's online affinity deposit program, ableBanking; originates loans through the Bank’s Community Banking Division; originates Small Business Administration (“SBA”) and United States Department of Agriculture (“USDA”) loans through the Bank’s national SBA group (“SBA Division”); and purchases and originates commercial loans through the Bank’s Loan Acquisition and Servicing Group (“LASG”). The Community Banking Division, with ten full-service branches and two loan production offices, operates from the Bank’s headquarters in Lewiston, Maine. LASG, ableBanking, and the SBA Division operate from the Company's offices in Boston, Massachusetts.</w:t>
      </w:r>
    </w:p>
    <w:p>
      <w:pPr>
        <w:spacing w:after="0" w:line="189" w:lineRule="exact"/>
        <w:rPr>
          <w:sz w:val="20"/>
          <w:szCs w:val="20"/>
          <w:color w:val="auto"/>
        </w:rPr>
      </w:pPr>
    </w:p>
    <w:p>
      <w:pPr>
        <w:ind w:right="1540"/>
        <w:spacing w:after="0" w:line="277" w:lineRule="auto"/>
        <w:rPr>
          <w:sz w:val="20"/>
          <w:szCs w:val="20"/>
          <w:color w:val="auto"/>
        </w:rPr>
      </w:pPr>
      <w:r>
        <w:rPr>
          <w:rFonts w:ascii="Arial" w:cs="Arial" w:eastAsia="Arial" w:hAnsi="Arial"/>
          <w:sz w:val="18"/>
          <w:szCs w:val="18"/>
          <w:color w:val="auto"/>
        </w:rPr>
        <w:t xml:space="preserve">Unless the context otherwise requires, references herein to the Company include the Company and its subsidiary on a consolidated basis. </w:t>
      </w:r>
      <w:r>
        <w:rPr>
          <w:rFonts w:ascii="Arial" w:cs="Arial" w:eastAsia="Arial" w:hAnsi="Arial"/>
          <w:sz w:val="18"/>
          <w:szCs w:val="18"/>
          <w:i w:val="1"/>
          <w:iCs w:val="1"/>
          <w:u w:val="single" w:color="auto"/>
          <w:color w:val="auto"/>
        </w:rPr>
        <w:t>Strategy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Company's goal is to prudently grow its franchise, while maintaining sound operations and risk management, by means of the following strategies:</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Continuing to grow the LASG’s national originated and purchased loan business. </w:t>
      </w:r>
      <w:r>
        <w:rPr>
          <w:rFonts w:ascii="Arial" w:cs="Arial" w:eastAsia="Arial" w:hAnsi="Arial"/>
          <w:sz w:val="18"/>
          <w:szCs w:val="18"/>
          <w:color w:val="auto"/>
        </w:rPr>
        <w:t>We purchase commercial real estate loans nationally, at prices that on</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have produced yields significantly higher than those available on our originated loan portfolio. We also originate loans nationally, taking advantage of our core expertise in underwriting and servicing national credits.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Growing our national SBA origination business. </w:t>
      </w:r>
      <w:r>
        <w:rPr>
          <w:rFonts w:ascii="Arial" w:cs="Arial" w:eastAsia="Arial" w:hAnsi="Arial"/>
          <w:sz w:val="18"/>
          <w:szCs w:val="18"/>
          <w:color w:val="auto"/>
        </w:rPr>
        <w:t>We originate loans on a national basis to small businesses, primarily through the SBA 7(a) program,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the partial guarantee of the SBA.</w:t>
      </w:r>
    </w:p>
    <w:p>
      <w:pPr>
        <w:spacing w:after="0" w:line="1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color w:val="auto"/>
        </w:rPr>
        <w:t xml:space="preserve">Continuing our community banking tradition. </w:t>
      </w:r>
      <w:r>
        <w:rPr>
          <w:rFonts w:ascii="Arial" w:cs="Arial" w:eastAsia="Arial" w:hAnsi="Arial"/>
          <w:sz w:val="17"/>
          <w:szCs w:val="17"/>
          <w:color w:val="auto"/>
        </w:rPr>
        <w:t>With a history that dates to 1872, our Community Banking Division maintains its focus on sales and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goal of attracting and retaining deposits, and serving the lending needs of retail and commercial customers within our core markets.</w:t>
      </w:r>
    </w:p>
    <w:p>
      <w:pPr>
        <w:spacing w:after="0" w:line="14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i w:val="1"/>
          <w:iCs w:val="1"/>
          <w:color w:val="auto"/>
        </w:rPr>
        <w:t xml:space="preserve">Generating deposits to fund our business. </w:t>
      </w:r>
      <w:r>
        <w:rPr>
          <w:rFonts w:ascii="Arial" w:cs="Arial" w:eastAsia="Arial" w:hAnsi="Arial"/>
          <w:sz w:val="16"/>
          <w:szCs w:val="16"/>
          <w:color w:val="auto"/>
        </w:rPr>
        <w:t>We offer a full line of deposit products through our ten-branch network located in the Community Banking</w:t>
      </w:r>
      <w:r>
        <w:rPr>
          <w:rFonts w:ascii="Arial" w:cs="Arial" w:eastAsia="Arial" w:hAnsi="Arial"/>
          <w:sz w:val="16"/>
          <w:szCs w:val="16"/>
          <w:i w:val="1"/>
          <w:iCs w:val="1"/>
          <w:color w:val="auto"/>
        </w:rPr>
        <w:t xml:space="preserve"> </w:t>
      </w:r>
      <w:r>
        <w:rPr>
          <w:rFonts w:ascii="Arial" w:cs="Arial" w:eastAsia="Arial" w:hAnsi="Arial"/>
          <w:sz w:val="16"/>
          <w:szCs w:val="16"/>
          <w:color w:val="auto"/>
        </w:rPr>
        <w:t>Division’s market. ableBanking is a direct savings platform providing an additional channel to raise core deposits to fund our asset strategy.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Critical accounting policies are those that involve significant judgments and assessments by management, and which could potentially result in materially different results under different assumptions and conditions. The reader is encouraged to review each of the policies included in Form 10-K for the year ended June 30, 2017 to gain a better understanding of how Northeast’s financial performance is measured and reported. There has been no material change in critical accounting policies during the three and nine months ended March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Net income totaled $3.9 million for the quarter ended March 31, 2018, an increase of $471 thousand, or 13.6%, from net income of $3.5 million for the quarter ended March 31, 2017.</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interest and dividend income before provision for loan losses increased by $675 thousand for the quarter ended March 31, 2018, compared to the quarter ended March 31, 2017. The increase is primarily due to higher average balances in the total loan portfolio. This increase was partially offset by higher funding costs and higher average deposit balances.</w:t>
      </w:r>
    </w:p>
    <w:p>
      <w:pPr>
        <w:spacing w:after="0" w:line="18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Noninterest income decreased by $426 thousand for the quarter ended March 31, 2018, compared to the quarter ended March 31, 2017, principally due to the following:</w:t>
      </w:r>
    </w:p>
    <w:p>
      <w:pPr>
        <w:spacing w:after="0" w:line="1" w:lineRule="exact"/>
        <w:rPr>
          <w:sz w:val="20"/>
          <w:szCs w:val="20"/>
          <w:color w:val="auto"/>
        </w:rPr>
      </w:pPr>
    </w:p>
    <w:p>
      <w:pPr>
        <w:ind w:left="66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in gain on sale of SBA loans of $391 thousand, due to a lower volume of SBA loans sold in the quarter as a result of a change in our SBA origination model;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right="1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in gain on sale of residential loans of $54 thousand, due to lower volume of residential loans sold in the quarter due to the lower volume of loans originated in the winter months.</w:t>
      </w:r>
    </w:p>
    <w:p>
      <w:pPr>
        <w:spacing w:after="0" w:line="170"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Noninterest expense increased by $133 thousand for the quarter ended March 31, 2018, compared to the quarter ended March 31, 2017, primarily due to the following:</w:t>
      </w:r>
    </w:p>
    <w:p>
      <w:pPr>
        <w:spacing w:after="0" w:line="1" w:lineRule="exact"/>
        <w:rPr>
          <w:sz w:val="20"/>
          <w:szCs w:val="20"/>
          <w:color w:val="auto"/>
        </w:rPr>
      </w:pPr>
    </w:p>
    <w:p>
      <w:pPr>
        <w:ind w:left="660" w:right="60" w:hanging="328"/>
        <w:spacing w:after="0" w:line="28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increase of $312 thousand in other noninterest expense, primarily due to $140 thousand of expense related to the quarterly valuation of SBA servicing rights recorded in the three months ended March 31, 2018, and a $167 thousand recovery from a legacy mortgage insurance premium plan that was recorded in the three months ended March 31, 2017, with no such recovery recorded during the three months ended March 31, 2018;</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increase of $164 thousand in data processing fees, primarily due to the increased cost associated with the outsourcing of data processing; and</w:t>
      </w:r>
    </w:p>
    <w:p>
      <w:pPr>
        <w:spacing w:after="0" w:line="32" w:lineRule="exact"/>
        <w:rPr>
          <w:rFonts w:ascii="Arial" w:cs="Arial" w:eastAsia="Arial" w:hAnsi="Arial"/>
          <w:sz w:val="16"/>
          <w:szCs w:val="16"/>
          <w:color w:val="auto"/>
        </w:rPr>
      </w:pPr>
    </w:p>
    <w:p>
      <w:pPr>
        <w:ind w:left="660" w:right="20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$126 thousand in salaries and employee benefits, primarily due to an increase in incentive compensation and a decrease in deferred salaries driven by loan originations, offset by a decrease in salaries due to a decrease in headcount.</w:t>
      </w:r>
    </w:p>
    <w:p>
      <w:pPr>
        <w:ind w:left="660" w:right="2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increases in noninterest expense were partially offset by a decrease in loan expense of $464 thousand, largely driven by lower expense related to loan acquisition, collection, and refinance activity.</w:t>
      </w:r>
    </w:p>
    <w:p>
      <w:pPr>
        <w:spacing w:after="0" w:line="18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Income tax expense decreased by $335 thousand for the quarter ended March 31, 2018, compared to the quarter ended March 31, 2017, $397 thousand of which was due to a decrease in the federal corporate income tax rate as a result of the Tax Cuts and Jobs Act signed into law on December 22, 2017, offset by an increase related to a higher pre-tax net income amount.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total assets were $1.2 billion, an increase of $89.3 million, or 8.3%, from total assets of $1.1 billion as of June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highlights the changes in the loan portfolio for the three and nine months ended March 31,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color w:val="auto"/>
                <w:w w:val="91"/>
              </w:rPr>
              <w:t>Loan Portfolio Changes</w:t>
            </w:r>
          </w:p>
        </w:tc>
        <w:tc>
          <w:tcPr>
            <w:tcW w:w="1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color w:val="auto"/>
                <w:w w:val="91"/>
              </w:rPr>
              <w:t>Three Months Ended March 31, 2018</w:t>
            </w:r>
          </w:p>
        </w:tc>
        <w:tc>
          <w:tcPr>
            <w:tcW w:w="14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5"/>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90"/>
              </w:rPr>
              <w:t>December 31,</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March 31, 2018</w:t>
            </w:r>
          </w:p>
        </w:tc>
        <w:tc>
          <w:tcPr>
            <w:tcW w:w="12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color w:val="auto"/>
                <w:w w:val="89"/>
              </w:rPr>
              <w:t>2017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4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Change ($)</w:t>
            </w:r>
          </w:p>
        </w:tc>
        <w:tc>
          <w:tcPr>
            <w:tcW w:w="220" w:type="dxa"/>
            <w:vAlign w:val="bottom"/>
          </w:tcPr>
          <w:p>
            <w:pPr>
              <w:spacing w:after="0"/>
              <w:rPr>
                <w:sz w:val="20"/>
                <w:szCs w:val="20"/>
                <w:color w:val="auto"/>
              </w:rPr>
            </w:pPr>
          </w:p>
        </w:tc>
        <w:tc>
          <w:tcPr>
            <w:tcW w:w="14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Change (%)</w:t>
            </w:r>
          </w:p>
        </w:tc>
        <w:tc>
          <w:tcPr>
            <w:tcW w:w="160" w:type="dxa"/>
            <w:vAlign w:val="bottom"/>
          </w:tcPr>
          <w:p>
            <w:pPr>
              <w:spacing w:after="0"/>
              <w:rPr>
                <w:sz w:val="20"/>
                <w:szCs w:val="20"/>
                <w:color w:val="auto"/>
              </w:rPr>
            </w:pPr>
          </w:p>
        </w:tc>
      </w:tr>
      <w:tr>
        <w:trPr>
          <w:trHeight w:val="210"/>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gridSpan w:val="5"/>
          </w:tcPr>
          <w:p>
            <w:pPr>
              <w:jc w:val="center"/>
              <w:ind w:right="360"/>
              <w:spacing w:after="0"/>
              <w:rPr>
                <w:sz w:val="20"/>
                <w:szCs w:val="20"/>
                <w:color w:val="auto"/>
              </w:rPr>
            </w:pPr>
            <w:r>
              <w:rPr>
                <w:rFonts w:ascii="Arial" w:cs="Arial" w:eastAsia="Arial" w:hAnsi="Arial"/>
                <w:sz w:val="18"/>
                <w:szCs w:val="18"/>
                <w:color w:val="auto"/>
                <w:w w:val="91"/>
              </w:rPr>
              <w:t>(Dollars in thousands)</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LASG Purchased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254,700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244,177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10,523</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LASG Originated</w:t>
            </w:r>
          </w:p>
        </w:tc>
        <w:tc>
          <w:tcPr>
            <w:tcW w:w="1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381,990</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346,874</w:t>
            </w:r>
          </w:p>
        </w:tc>
        <w:tc>
          <w:tcPr>
            <w:tcW w:w="1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35,116</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10.12%</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50,583</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49,109</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1,474</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Community Banking</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129,156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134,030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(4,874)</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r>
      <w:tr>
        <w:trPr>
          <w:trHeight w:val="20"/>
        </w:trPr>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816,429</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774,190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42,239</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w:t>
            </w: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40"/>
        </w:trPr>
        <w:tc>
          <w:tcPr>
            <w:tcW w:w="4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color w:val="auto"/>
                <w:w w:val="91"/>
              </w:rPr>
              <w:t>Nine Months Ended March 31, 2018</w:t>
            </w:r>
          </w:p>
        </w:tc>
        <w:tc>
          <w:tcPr>
            <w:tcW w:w="1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5"/>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91"/>
              </w:rPr>
              <w:t>March 31, 2018</w:t>
            </w:r>
          </w:p>
        </w:tc>
        <w:tc>
          <w:tcPr>
            <w:tcW w:w="120" w:type="dxa"/>
            <w:vAlign w:val="bottom"/>
          </w:tcPr>
          <w:p>
            <w:pPr>
              <w:spacing w:after="0"/>
              <w:rPr>
                <w:sz w:val="16"/>
                <w:szCs w:val="16"/>
                <w:color w:val="auto"/>
              </w:rPr>
            </w:pPr>
          </w:p>
        </w:tc>
        <w:tc>
          <w:tcPr>
            <w:tcW w:w="150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7"/>
              </w:rPr>
              <w:t>June 30, 2017</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0"/>
        </w:trPr>
        <w:tc>
          <w:tcPr>
            <w:tcW w:w="4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Change ($)</w:t>
            </w:r>
          </w:p>
        </w:tc>
        <w:tc>
          <w:tcPr>
            <w:tcW w:w="220" w:type="dxa"/>
            <w:vAlign w:val="bottom"/>
          </w:tcPr>
          <w:p>
            <w:pPr>
              <w:spacing w:after="0"/>
              <w:rPr>
                <w:sz w:val="20"/>
                <w:szCs w:val="20"/>
                <w:color w:val="auto"/>
              </w:rPr>
            </w:pPr>
          </w:p>
        </w:tc>
        <w:tc>
          <w:tcPr>
            <w:tcW w:w="14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Change (%)</w:t>
            </w:r>
          </w:p>
        </w:tc>
        <w:tc>
          <w:tcPr>
            <w:tcW w:w="160" w:type="dxa"/>
            <w:vAlign w:val="bottom"/>
          </w:tcPr>
          <w:p>
            <w:pPr>
              <w:spacing w:after="0"/>
              <w:rPr>
                <w:sz w:val="20"/>
                <w:szCs w:val="20"/>
                <w:color w:val="auto"/>
              </w:rPr>
            </w:pPr>
          </w:p>
        </w:tc>
      </w:tr>
      <w:tr>
        <w:trPr>
          <w:trHeight w:val="210"/>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gridSpan w:val="5"/>
          </w:tcPr>
          <w:p>
            <w:pPr>
              <w:jc w:val="center"/>
              <w:ind w:right="360"/>
              <w:spacing w:after="0"/>
              <w:rPr>
                <w:sz w:val="20"/>
                <w:szCs w:val="20"/>
                <w:color w:val="auto"/>
              </w:rPr>
            </w:pPr>
            <w:r>
              <w:rPr>
                <w:rFonts w:ascii="Arial" w:cs="Arial" w:eastAsia="Arial" w:hAnsi="Arial"/>
                <w:sz w:val="18"/>
                <w:szCs w:val="18"/>
                <w:color w:val="auto"/>
                <w:w w:val="91"/>
              </w:rPr>
              <w:t>(Dollars in thousands)</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LASG Purchased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254,700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246,388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8,312</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LASG Originated</w:t>
            </w:r>
          </w:p>
        </w:tc>
        <w:tc>
          <w:tcPr>
            <w:tcW w:w="1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381,990</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330,515</w:t>
            </w:r>
          </w:p>
        </w:tc>
        <w:tc>
          <w:tcPr>
            <w:tcW w:w="1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51,745</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15.57%</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50,583</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52,965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(2,382)</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Community Banking</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129,156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149,327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(20,171)</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(13.51%)</w:t>
            </w:r>
          </w:p>
        </w:tc>
      </w:tr>
      <w:tr>
        <w:trPr>
          <w:trHeight w:val="20"/>
        </w:trPr>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816,429</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779,195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37,234</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w:t>
            </w: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Loans generated by the Bank’s LASG for the quarter ended March 31, 2018 totaled $105.9 million, which consisted of $33.0 million of purchased loans, at an average price of 85.8% of unpaid principal balance, and $72.9 million of originated loans. The Bank’s SBA Division closed $8.9 million and funded $8.8 million of new loans during the quarter ended March 31, 2018. In addition, the Company sold $5.8 million of the guaranteed portion of SBA loans in the secondary market, of which $4.1 million were originated in the current quarter and $1.7 million were originated or purchased in prior quarters. Residential loan production sold in the secondary market totaled $16.4 million for the quarter.</w:t>
      </w:r>
    </w:p>
    <w:p>
      <w:pPr>
        <w:spacing w:after="0" w:line="18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As noted above in the “</w:t>
      </w:r>
      <w:r>
        <w:rPr>
          <w:rFonts w:ascii="Arial" w:cs="Arial" w:eastAsia="Arial" w:hAnsi="Arial"/>
          <w:sz w:val="16"/>
          <w:szCs w:val="16"/>
          <w:i w:val="1"/>
          <w:iCs w:val="1"/>
          <w:color w:val="auto"/>
        </w:rPr>
        <w:t>Business Overview</w:t>
      </w:r>
      <w:r>
        <w:rPr>
          <w:rFonts w:ascii="Arial" w:cs="Arial" w:eastAsia="Arial" w:hAnsi="Arial"/>
          <w:sz w:val="16"/>
          <w:szCs w:val="16"/>
          <w:color w:val="auto"/>
        </w:rPr>
        <w:t>” section, the Company made certain commitments to the Federal Reserve in connection with the merger of FHB with and into the Company in December 2010. The Company’s loan purchase and commercial real estate loan availability under these conditions follow.</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Basis for Regulatory Condition</w:t>
            </w:r>
          </w:p>
        </w:tc>
        <w:tc>
          <w:tcPr>
            <w:tcW w:w="5620" w:type="dxa"/>
            <w:vAlign w:val="bottom"/>
            <w:gridSpan w:val="2"/>
          </w:tcPr>
          <w:p>
            <w:pPr>
              <w:ind w:left="220"/>
              <w:spacing w:after="0"/>
              <w:rPr>
                <w:sz w:val="20"/>
                <w:szCs w:val="20"/>
                <w:color w:val="auto"/>
              </w:rPr>
            </w:pPr>
            <w:r>
              <w:rPr>
                <w:rFonts w:ascii="Arial" w:cs="Arial" w:eastAsia="Arial" w:hAnsi="Arial"/>
                <w:sz w:val="18"/>
                <w:szCs w:val="18"/>
                <w:color w:val="auto"/>
              </w:rPr>
              <w:t>Condition</w:t>
            </w:r>
          </w:p>
        </w:tc>
        <w:tc>
          <w:tcPr>
            <w:tcW w:w="2440" w:type="dxa"/>
            <w:vAlign w:val="bottom"/>
            <w:gridSpan w:val="4"/>
          </w:tcPr>
          <w:p>
            <w:pPr>
              <w:ind w:left="220"/>
              <w:spacing w:after="0"/>
              <w:rPr>
                <w:sz w:val="20"/>
                <w:szCs w:val="20"/>
                <w:color w:val="auto"/>
              </w:rPr>
            </w:pPr>
            <w:r>
              <w:rPr>
                <w:rFonts w:ascii="Arial" w:cs="Arial" w:eastAsia="Arial" w:hAnsi="Arial"/>
                <w:sz w:val="18"/>
                <w:szCs w:val="18"/>
                <w:color w:val="auto"/>
                <w:w w:val="93"/>
              </w:rPr>
              <w:t>Availability at March 31, 2018</w:t>
            </w:r>
          </w:p>
        </w:tc>
      </w:tr>
      <w:tr>
        <w:trPr>
          <w:trHeight w:val="210"/>
        </w:trPr>
        <w:tc>
          <w:tcPr>
            <w:tcW w:w="2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(Dollars in millions)</w:t>
            </w:r>
          </w:p>
        </w:tc>
        <w:tc>
          <w:tcPr>
            <w:tcW w:w="2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Purchased loans may not exceed 40% of total loans</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0" w:type="dxa"/>
            <w:vAlign w:val="bottom"/>
          </w:tcPr>
          <w:p>
            <w:pPr>
              <w:spacing w:after="0"/>
              <w:rPr>
                <w:sz w:val="18"/>
                <w:szCs w:val="18"/>
                <w:color w:val="auto"/>
              </w:rPr>
            </w:pPr>
          </w:p>
        </w:tc>
      </w:tr>
      <w:tr>
        <w:trPr>
          <w:trHeight w:val="202"/>
        </w:trPr>
        <w:tc>
          <w:tcPr>
            <w:tcW w:w="2920" w:type="dxa"/>
            <w:vAlign w:val="bottom"/>
          </w:tcPr>
          <w:p>
            <w:pPr>
              <w:spacing w:after="0" w:line="201" w:lineRule="exact"/>
              <w:rPr>
                <w:sz w:val="20"/>
                <w:szCs w:val="20"/>
                <w:color w:val="auto"/>
              </w:rPr>
            </w:pPr>
            <w:r>
              <w:rPr>
                <w:rFonts w:ascii="Arial" w:cs="Arial" w:eastAsia="Arial" w:hAnsi="Arial"/>
                <w:sz w:val="18"/>
                <w:szCs w:val="18"/>
                <w:color w:val="auto"/>
              </w:rPr>
              <w:t>Regulatory Capital</w:t>
            </w:r>
          </w:p>
        </w:tc>
        <w:tc>
          <w:tcPr>
            <w:tcW w:w="56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2"/>
              </w:rPr>
              <w:t>Non-owner occupied commercial real estate loans may not exceed 300%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920" w:type="dxa"/>
            <w:vAlign w:val="bottom"/>
          </w:tcPr>
          <w:p>
            <w:pPr>
              <w:spacing w:after="0"/>
              <w:rPr>
                <w:sz w:val="20"/>
                <w:szCs w:val="20"/>
                <w:color w:val="auto"/>
              </w:rPr>
            </w:pPr>
          </w:p>
        </w:tc>
        <w:tc>
          <w:tcPr>
            <w:tcW w:w="5620" w:type="dxa"/>
            <w:vAlign w:val="bottom"/>
            <w:gridSpan w:val="2"/>
          </w:tcPr>
          <w:p>
            <w:pPr>
              <w:ind w:left="220"/>
              <w:spacing w:after="0"/>
              <w:rPr>
                <w:sz w:val="20"/>
                <w:szCs w:val="20"/>
                <w:color w:val="auto"/>
              </w:rPr>
            </w:pPr>
            <w:r>
              <w:rPr>
                <w:rFonts w:ascii="Arial" w:cs="Arial" w:eastAsia="Arial" w:hAnsi="Arial"/>
                <w:sz w:val="18"/>
                <w:szCs w:val="18"/>
                <w:color w:val="auto"/>
              </w:rPr>
              <w:t>of total capital</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185.6</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An overview of the Bank’s LASG portfolio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7"/>
          </w:tcPr>
          <w:p>
            <w:pPr>
              <w:jc w:val="center"/>
              <w:ind w:right="210"/>
              <w:spacing w:after="0"/>
              <w:rPr>
                <w:sz w:val="20"/>
                <w:szCs w:val="20"/>
                <w:color w:val="auto"/>
              </w:rPr>
            </w:pPr>
            <w:r>
              <w:rPr>
                <w:rFonts w:ascii="Arial" w:cs="Arial" w:eastAsia="Arial" w:hAnsi="Arial"/>
                <w:sz w:val="18"/>
                <w:szCs w:val="18"/>
                <w:color w:val="auto"/>
                <w:w w:val="97"/>
              </w:rPr>
              <w:t>LASG Portfolio</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color w:val="auto"/>
                <w:w w:val="90"/>
              </w:rPr>
              <w:t>Three Months Ended March 31,</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2017</w:t>
            </w: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jc w:val="center"/>
              <w:ind w:left="70"/>
              <w:spacing w:after="0" w:line="195" w:lineRule="exact"/>
              <w:rPr>
                <w:sz w:val="20"/>
                <w:szCs w:val="20"/>
                <w:color w:val="auto"/>
              </w:rPr>
            </w:pPr>
            <w:r>
              <w:rPr>
                <w:rFonts w:ascii="Arial" w:cs="Arial" w:eastAsia="Arial" w:hAnsi="Arial"/>
                <w:sz w:val="18"/>
                <w:szCs w:val="18"/>
                <w:color w:val="auto"/>
                <w:w w:val="86"/>
              </w:rPr>
              <w:t>Secured</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230"/>
              <w:spacing w:after="0" w:line="195" w:lineRule="exact"/>
              <w:rPr>
                <w:sz w:val="20"/>
                <w:szCs w:val="20"/>
                <w:color w:val="auto"/>
              </w:rPr>
            </w:pPr>
            <w:r>
              <w:rPr>
                <w:rFonts w:ascii="Arial" w:cs="Arial" w:eastAsia="Arial" w:hAnsi="Arial"/>
                <w:sz w:val="18"/>
                <w:szCs w:val="18"/>
                <w:color w:val="auto"/>
                <w:w w:val="86"/>
              </w:rPr>
              <w:t>Secured</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jc w:val="center"/>
              <w:ind w:left="70"/>
              <w:spacing w:after="0"/>
              <w:rPr>
                <w:sz w:val="20"/>
                <w:szCs w:val="20"/>
                <w:color w:val="auto"/>
              </w:rPr>
            </w:pPr>
            <w:r>
              <w:rPr>
                <w:rFonts w:ascii="Arial" w:cs="Arial" w:eastAsia="Arial" w:hAnsi="Arial"/>
                <w:sz w:val="18"/>
                <w:szCs w:val="18"/>
                <w:color w:val="auto"/>
                <w:w w:val="89"/>
              </w:rPr>
              <w:t>Loans to</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230"/>
              <w:spacing w:after="0"/>
              <w:rPr>
                <w:sz w:val="20"/>
                <w:szCs w:val="20"/>
                <w:color w:val="auto"/>
              </w:rPr>
            </w:pPr>
            <w:r>
              <w:rPr>
                <w:rFonts w:ascii="Arial" w:cs="Arial" w:eastAsia="Arial" w:hAnsi="Arial"/>
                <w:sz w:val="18"/>
                <w:szCs w:val="18"/>
                <w:color w:val="auto"/>
                <w:w w:val="89"/>
              </w:rPr>
              <w:t>Loans to</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120" w:type="dxa"/>
            <w:vAlign w:val="bottom"/>
            <w:gridSpan w:val="2"/>
          </w:tcPr>
          <w:p>
            <w:pPr>
              <w:jc w:val="center"/>
              <w:ind w:right="130"/>
              <w:spacing w:after="0"/>
              <w:rPr>
                <w:sz w:val="20"/>
                <w:szCs w:val="20"/>
                <w:color w:val="auto"/>
              </w:rPr>
            </w:pPr>
            <w:r>
              <w:rPr>
                <w:rFonts w:ascii="Arial" w:cs="Arial" w:eastAsia="Arial" w:hAnsi="Arial"/>
                <w:sz w:val="18"/>
                <w:szCs w:val="18"/>
                <w:color w:val="auto"/>
                <w:w w:val="85"/>
              </w:rPr>
              <w:t>Purchased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jc w:val="center"/>
              <w:ind w:left="90"/>
              <w:spacing w:after="0"/>
              <w:rPr>
                <w:sz w:val="20"/>
                <w:szCs w:val="20"/>
                <w:color w:val="auto"/>
              </w:rPr>
            </w:pPr>
            <w:r>
              <w:rPr>
                <w:rFonts w:ascii="Arial" w:cs="Arial" w:eastAsia="Arial" w:hAnsi="Arial"/>
                <w:sz w:val="18"/>
                <w:szCs w:val="18"/>
                <w:color w:val="auto"/>
                <w:w w:val="94"/>
              </w:rPr>
              <w:t>Broker-</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jc w:val="center"/>
              <w:ind w:right="110"/>
              <w:spacing w:after="0"/>
              <w:rPr>
                <w:sz w:val="20"/>
                <w:szCs w:val="20"/>
                <w:color w:val="auto"/>
              </w:rPr>
            </w:pPr>
            <w:r>
              <w:rPr>
                <w:rFonts w:ascii="Arial" w:cs="Arial" w:eastAsia="Arial" w:hAnsi="Arial"/>
                <w:sz w:val="18"/>
                <w:szCs w:val="18"/>
                <w:color w:val="auto"/>
                <w:w w:val="85"/>
              </w:rPr>
              <w:t>Purchased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230"/>
              <w:spacing w:after="0"/>
              <w:rPr>
                <w:sz w:val="20"/>
                <w:szCs w:val="20"/>
                <w:color w:val="auto"/>
              </w:rPr>
            </w:pPr>
            <w:r>
              <w:rPr>
                <w:rFonts w:ascii="Arial" w:cs="Arial" w:eastAsia="Arial" w:hAnsi="Arial"/>
                <w:sz w:val="18"/>
                <w:szCs w:val="18"/>
                <w:color w:val="auto"/>
                <w:w w:val="91"/>
              </w:rPr>
              <w:t>Broker-</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310"/>
              <w:spacing w:after="0"/>
              <w:rPr>
                <w:sz w:val="20"/>
                <w:szCs w:val="20"/>
                <w:color w:val="auto"/>
              </w:rPr>
            </w:pPr>
            <w:r>
              <w:rPr>
                <w:rFonts w:ascii="Arial" w:cs="Arial" w:eastAsia="Arial" w:hAnsi="Arial"/>
                <w:sz w:val="18"/>
                <w:szCs w:val="18"/>
                <w:color w:val="auto"/>
                <w:w w:val="90"/>
              </w:rPr>
              <w:t>(1)</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Originated</w:t>
            </w:r>
          </w:p>
        </w:tc>
        <w:tc>
          <w:tcPr>
            <w:tcW w:w="860" w:type="dxa"/>
            <w:vAlign w:val="bottom"/>
          </w:tcPr>
          <w:p>
            <w:pPr>
              <w:jc w:val="center"/>
              <w:ind w:left="70"/>
              <w:spacing w:after="0"/>
              <w:rPr>
                <w:sz w:val="20"/>
                <w:szCs w:val="20"/>
                <w:color w:val="auto"/>
              </w:rPr>
            </w:pPr>
            <w:r>
              <w:rPr>
                <w:rFonts w:ascii="Arial" w:cs="Arial" w:eastAsia="Arial" w:hAnsi="Arial"/>
                <w:sz w:val="18"/>
                <w:szCs w:val="18"/>
                <w:color w:val="auto"/>
                <w:w w:val="87"/>
              </w:rPr>
              <w:t>Dealers</w:t>
            </w:r>
          </w:p>
        </w:tc>
        <w:tc>
          <w:tcPr>
            <w:tcW w:w="160" w:type="dxa"/>
            <w:vAlign w:val="bottom"/>
          </w:tcPr>
          <w:p>
            <w:pPr>
              <w:spacing w:after="0"/>
              <w:rPr>
                <w:sz w:val="20"/>
                <w:szCs w:val="20"/>
                <w:color w:val="auto"/>
              </w:rPr>
            </w:pPr>
          </w:p>
        </w:tc>
        <w:tc>
          <w:tcPr>
            <w:tcW w:w="1240" w:type="dxa"/>
            <w:vAlign w:val="bottom"/>
            <w:gridSpan w:val="4"/>
          </w:tcPr>
          <w:p>
            <w:pPr>
              <w:ind w:left="160"/>
              <w:spacing w:after="0"/>
              <w:rPr>
                <w:sz w:val="20"/>
                <w:szCs w:val="20"/>
                <w:color w:val="auto"/>
              </w:rPr>
            </w:pPr>
            <w:r>
              <w:rPr>
                <w:rFonts w:ascii="Arial" w:cs="Arial" w:eastAsia="Arial" w:hAnsi="Arial"/>
                <w:sz w:val="18"/>
                <w:szCs w:val="18"/>
                <w:color w:val="auto"/>
              </w:rPr>
              <w:t>Total LASG</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310"/>
              <w:spacing w:after="0"/>
              <w:rPr>
                <w:sz w:val="20"/>
                <w:szCs w:val="20"/>
                <w:color w:val="auto"/>
              </w:rPr>
            </w:pPr>
            <w:r>
              <w:rPr>
                <w:rFonts w:ascii="Arial" w:cs="Arial" w:eastAsia="Arial" w:hAnsi="Arial"/>
                <w:sz w:val="18"/>
                <w:szCs w:val="18"/>
                <w:color w:val="auto"/>
                <w:w w:val="99"/>
              </w:rPr>
              <w:t>(1)</w:t>
            </w: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Originated</w:t>
            </w:r>
          </w:p>
        </w:tc>
        <w:tc>
          <w:tcPr>
            <w:tcW w:w="180" w:type="dxa"/>
            <w:vAlign w:val="bottom"/>
          </w:tcPr>
          <w:p>
            <w:pPr>
              <w:spacing w:after="0"/>
              <w:rPr>
                <w:sz w:val="20"/>
                <w:szCs w:val="20"/>
                <w:color w:val="auto"/>
              </w:rPr>
            </w:pPr>
          </w:p>
        </w:tc>
        <w:tc>
          <w:tcPr>
            <w:tcW w:w="980" w:type="dxa"/>
            <w:vAlign w:val="bottom"/>
          </w:tcPr>
          <w:p>
            <w:pPr>
              <w:jc w:val="center"/>
              <w:ind w:right="230"/>
              <w:spacing w:after="0"/>
              <w:rPr>
                <w:sz w:val="20"/>
                <w:szCs w:val="20"/>
                <w:color w:val="auto"/>
              </w:rPr>
            </w:pPr>
            <w:r>
              <w:rPr>
                <w:rFonts w:ascii="Arial" w:cs="Arial" w:eastAsia="Arial" w:hAnsi="Arial"/>
                <w:sz w:val="18"/>
                <w:szCs w:val="18"/>
                <w:color w:val="auto"/>
                <w:w w:val="87"/>
              </w:rPr>
              <w:t>Dealers</w:t>
            </w:r>
          </w:p>
        </w:tc>
        <w:tc>
          <w:tcPr>
            <w:tcW w:w="1120" w:type="dxa"/>
            <w:vAlign w:val="bottom"/>
            <w:gridSpan w:val="3"/>
          </w:tcPr>
          <w:p>
            <w:pPr>
              <w:ind w:left="80"/>
              <w:spacing w:after="0"/>
              <w:rPr>
                <w:sz w:val="20"/>
                <w:szCs w:val="20"/>
                <w:color w:val="auto"/>
              </w:rPr>
            </w:pPr>
            <w:r>
              <w:rPr>
                <w:rFonts w:ascii="Arial" w:cs="Arial" w:eastAsia="Arial" w:hAnsi="Arial"/>
                <w:sz w:val="18"/>
                <w:szCs w:val="18"/>
                <w:color w:val="auto"/>
              </w:rPr>
              <w:t>Total LASG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gridSpan w:val="3"/>
          </w:tcPr>
          <w:p>
            <w:pPr>
              <w:spacing w:after="0"/>
              <w:rPr>
                <w:sz w:val="20"/>
                <w:szCs w:val="20"/>
                <w:color w:val="auto"/>
              </w:rPr>
            </w:pPr>
            <w:r>
              <w:rPr>
                <w:rFonts w:ascii="Arial" w:cs="Arial" w:eastAsia="Arial" w:hAnsi="Arial"/>
                <w:sz w:val="18"/>
                <w:szCs w:val="18"/>
                <w:color w:val="auto"/>
              </w:rPr>
              <w:t>in</w:t>
            </w: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purchased or</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8"/>
              </w:rPr>
              <w:t>originated during the period:</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38,493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72,894</w:t>
            </w:r>
          </w:p>
        </w:tc>
        <w:tc>
          <w:tcPr>
            <w:tcW w:w="86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10"/>
              <w:spacing w:after="0"/>
              <w:rPr>
                <w:sz w:val="20"/>
                <w:szCs w:val="20"/>
                <w:color w:val="auto"/>
              </w:rPr>
            </w:pPr>
            <w:r>
              <w:rPr>
                <w:rFonts w:ascii="Arial" w:cs="Arial" w:eastAsia="Arial" w:hAnsi="Arial"/>
                <w:sz w:val="18"/>
                <w:szCs w:val="18"/>
                <w:color w:val="auto"/>
              </w:rPr>
              <w:t>111,387</w:t>
            </w:r>
          </w:p>
        </w:tc>
        <w:tc>
          <w:tcPr>
            <w:tcW w:w="2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ind w:left="300"/>
              <w:spacing w:after="0"/>
              <w:rPr>
                <w:sz w:val="20"/>
                <w:szCs w:val="20"/>
                <w:color w:val="auto"/>
              </w:rPr>
            </w:pPr>
            <w:r>
              <w:rPr>
                <w:rFonts w:ascii="Arial" w:cs="Arial" w:eastAsia="Arial" w:hAnsi="Arial"/>
                <w:sz w:val="18"/>
                <w:szCs w:val="18"/>
                <w:color w:val="auto"/>
              </w:rPr>
              <w:t>8,609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81,806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90,415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33,021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72,894</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105,915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7,861</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81,806</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89,667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 returns during the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Yield</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11.29%</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6.83%</w:t>
            </w:r>
          </w:p>
        </w:tc>
        <w:tc>
          <w:tcPr>
            <w:tcW w:w="8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8.65%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w w:val="94"/>
              </w:rPr>
              <w:t>11.89%</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6.44%</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Return (2)</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11.95%</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color w:val="auto"/>
                <w:w w:val="92"/>
              </w:rPr>
              <w:t>Nine Months Ended March 31,</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2017</w:t>
            </w: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jc w:val="center"/>
              <w:ind w:left="30"/>
              <w:spacing w:after="0" w:line="195" w:lineRule="exact"/>
              <w:rPr>
                <w:sz w:val="20"/>
                <w:szCs w:val="20"/>
                <w:color w:val="auto"/>
              </w:rPr>
            </w:pPr>
            <w:r>
              <w:rPr>
                <w:rFonts w:ascii="Arial" w:cs="Arial" w:eastAsia="Arial" w:hAnsi="Arial"/>
                <w:sz w:val="18"/>
                <w:szCs w:val="18"/>
                <w:color w:val="auto"/>
                <w:w w:val="86"/>
              </w:rPr>
              <w:t>Secured</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270"/>
              <w:spacing w:after="0" w:line="195" w:lineRule="exact"/>
              <w:rPr>
                <w:sz w:val="20"/>
                <w:szCs w:val="20"/>
                <w:color w:val="auto"/>
              </w:rPr>
            </w:pPr>
            <w:r>
              <w:rPr>
                <w:rFonts w:ascii="Arial" w:cs="Arial" w:eastAsia="Arial" w:hAnsi="Arial"/>
                <w:sz w:val="18"/>
                <w:szCs w:val="18"/>
                <w:color w:val="auto"/>
                <w:w w:val="86"/>
              </w:rPr>
              <w:t>Secured</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jc w:val="center"/>
              <w:ind w:left="50"/>
              <w:spacing w:after="0"/>
              <w:rPr>
                <w:sz w:val="20"/>
                <w:szCs w:val="20"/>
                <w:color w:val="auto"/>
              </w:rPr>
            </w:pPr>
            <w:r>
              <w:rPr>
                <w:rFonts w:ascii="Arial" w:cs="Arial" w:eastAsia="Arial" w:hAnsi="Arial"/>
                <w:sz w:val="18"/>
                <w:szCs w:val="18"/>
                <w:color w:val="auto"/>
                <w:w w:val="92"/>
              </w:rPr>
              <w:t>Loans to</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270"/>
              <w:spacing w:after="0"/>
              <w:rPr>
                <w:sz w:val="20"/>
                <w:szCs w:val="20"/>
                <w:color w:val="auto"/>
              </w:rPr>
            </w:pPr>
            <w:r>
              <w:rPr>
                <w:rFonts w:ascii="Arial" w:cs="Arial" w:eastAsia="Arial" w:hAnsi="Arial"/>
                <w:sz w:val="18"/>
                <w:szCs w:val="18"/>
                <w:color w:val="auto"/>
                <w:w w:val="89"/>
              </w:rPr>
              <w:t>Loans to</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120" w:type="dxa"/>
            <w:vAlign w:val="bottom"/>
            <w:gridSpan w:val="2"/>
          </w:tcPr>
          <w:p>
            <w:pPr>
              <w:jc w:val="center"/>
              <w:ind w:right="130"/>
              <w:spacing w:after="0"/>
              <w:rPr>
                <w:sz w:val="20"/>
                <w:szCs w:val="20"/>
                <w:color w:val="auto"/>
              </w:rPr>
            </w:pPr>
            <w:r>
              <w:rPr>
                <w:rFonts w:ascii="Arial" w:cs="Arial" w:eastAsia="Arial" w:hAnsi="Arial"/>
                <w:sz w:val="18"/>
                <w:szCs w:val="18"/>
                <w:color w:val="auto"/>
                <w:w w:val="85"/>
              </w:rPr>
              <w:t>Purchased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jc w:val="center"/>
              <w:ind w:left="50"/>
              <w:spacing w:after="0"/>
              <w:rPr>
                <w:sz w:val="20"/>
                <w:szCs w:val="20"/>
                <w:color w:val="auto"/>
              </w:rPr>
            </w:pPr>
            <w:r>
              <w:rPr>
                <w:rFonts w:ascii="Arial" w:cs="Arial" w:eastAsia="Arial" w:hAnsi="Arial"/>
                <w:sz w:val="18"/>
                <w:szCs w:val="18"/>
                <w:color w:val="auto"/>
                <w:w w:val="94"/>
              </w:rPr>
              <w:t>Broker-</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jc w:val="center"/>
              <w:ind w:right="150"/>
              <w:spacing w:after="0"/>
              <w:rPr>
                <w:sz w:val="20"/>
                <w:szCs w:val="20"/>
                <w:color w:val="auto"/>
              </w:rPr>
            </w:pPr>
            <w:r>
              <w:rPr>
                <w:rFonts w:ascii="Arial" w:cs="Arial" w:eastAsia="Arial" w:hAnsi="Arial"/>
                <w:sz w:val="18"/>
                <w:szCs w:val="18"/>
                <w:color w:val="auto"/>
                <w:w w:val="85"/>
              </w:rPr>
              <w:t>Purchased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250"/>
              <w:spacing w:after="0"/>
              <w:rPr>
                <w:sz w:val="20"/>
                <w:szCs w:val="20"/>
                <w:color w:val="auto"/>
              </w:rPr>
            </w:pPr>
            <w:r>
              <w:rPr>
                <w:rFonts w:ascii="Arial" w:cs="Arial" w:eastAsia="Arial" w:hAnsi="Arial"/>
                <w:sz w:val="18"/>
                <w:szCs w:val="18"/>
                <w:color w:val="auto"/>
                <w:w w:val="94"/>
              </w:rPr>
              <w:t>Broker-</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310"/>
              <w:spacing w:after="0"/>
              <w:rPr>
                <w:sz w:val="20"/>
                <w:szCs w:val="20"/>
                <w:color w:val="auto"/>
              </w:rPr>
            </w:pPr>
            <w:r>
              <w:rPr>
                <w:rFonts w:ascii="Arial" w:cs="Arial" w:eastAsia="Arial" w:hAnsi="Arial"/>
                <w:sz w:val="18"/>
                <w:szCs w:val="18"/>
                <w:color w:val="auto"/>
                <w:w w:val="90"/>
              </w:rPr>
              <w:t>(1)</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Originated</w:t>
            </w:r>
          </w:p>
        </w:tc>
        <w:tc>
          <w:tcPr>
            <w:tcW w:w="860" w:type="dxa"/>
            <w:vAlign w:val="bottom"/>
          </w:tcPr>
          <w:p>
            <w:pPr>
              <w:jc w:val="center"/>
              <w:ind w:left="50"/>
              <w:spacing w:after="0"/>
              <w:rPr>
                <w:sz w:val="20"/>
                <w:szCs w:val="20"/>
                <w:color w:val="auto"/>
              </w:rPr>
            </w:pPr>
            <w:r>
              <w:rPr>
                <w:rFonts w:ascii="Arial" w:cs="Arial" w:eastAsia="Arial" w:hAnsi="Arial"/>
                <w:sz w:val="18"/>
                <w:szCs w:val="18"/>
                <w:color w:val="auto"/>
                <w:w w:val="90"/>
              </w:rPr>
              <w:t>Dealers</w:t>
            </w:r>
          </w:p>
        </w:tc>
        <w:tc>
          <w:tcPr>
            <w:tcW w:w="160" w:type="dxa"/>
            <w:vAlign w:val="bottom"/>
          </w:tcPr>
          <w:p>
            <w:pPr>
              <w:spacing w:after="0"/>
              <w:rPr>
                <w:sz w:val="20"/>
                <w:szCs w:val="20"/>
                <w:color w:val="auto"/>
              </w:rPr>
            </w:pPr>
          </w:p>
        </w:tc>
        <w:tc>
          <w:tcPr>
            <w:tcW w:w="1240" w:type="dxa"/>
            <w:vAlign w:val="bottom"/>
            <w:gridSpan w:val="4"/>
          </w:tcPr>
          <w:p>
            <w:pPr>
              <w:ind w:left="140"/>
              <w:spacing w:after="0"/>
              <w:rPr>
                <w:sz w:val="20"/>
                <w:szCs w:val="20"/>
                <w:color w:val="auto"/>
              </w:rPr>
            </w:pPr>
            <w:r>
              <w:rPr>
                <w:rFonts w:ascii="Arial" w:cs="Arial" w:eastAsia="Arial" w:hAnsi="Arial"/>
                <w:sz w:val="18"/>
                <w:szCs w:val="18"/>
                <w:color w:val="auto"/>
              </w:rPr>
              <w:t>Total LASG</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350"/>
              <w:spacing w:after="0"/>
              <w:rPr>
                <w:sz w:val="20"/>
                <w:szCs w:val="20"/>
                <w:color w:val="auto"/>
              </w:rPr>
            </w:pPr>
            <w:r>
              <w:rPr>
                <w:rFonts w:ascii="Arial" w:cs="Arial" w:eastAsia="Arial" w:hAnsi="Arial"/>
                <w:sz w:val="18"/>
                <w:szCs w:val="18"/>
                <w:color w:val="auto"/>
                <w:w w:val="99"/>
              </w:rPr>
              <w:t>(1)</w:t>
            </w: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Originated</w:t>
            </w:r>
          </w:p>
        </w:tc>
        <w:tc>
          <w:tcPr>
            <w:tcW w:w="180" w:type="dxa"/>
            <w:vAlign w:val="bottom"/>
          </w:tcPr>
          <w:p>
            <w:pPr>
              <w:spacing w:after="0"/>
              <w:rPr>
                <w:sz w:val="20"/>
                <w:szCs w:val="20"/>
                <w:color w:val="auto"/>
              </w:rPr>
            </w:pPr>
          </w:p>
        </w:tc>
        <w:tc>
          <w:tcPr>
            <w:tcW w:w="980" w:type="dxa"/>
            <w:vAlign w:val="bottom"/>
          </w:tcPr>
          <w:p>
            <w:pPr>
              <w:jc w:val="center"/>
              <w:ind w:right="250"/>
              <w:spacing w:after="0"/>
              <w:rPr>
                <w:sz w:val="20"/>
                <w:szCs w:val="20"/>
                <w:color w:val="auto"/>
              </w:rPr>
            </w:pPr>
            <w:r>
              <w:rPr>
                <w:rFonts w:ascii="Arial" w:cs="Arial" w:eastAsia="Arial" w:hAnsi="Arial"/>
                <w:sz w:val="18"/>
                <w:szCs w:val="18"/>
                <w:color w:val="auto"/>
                <w:w w:val="90"/>
              </w:rPr>
              <w:t>Dealers</w:t>
            </w:r>
          </w:p>
        </w:tc>
        <w:tc>
          <w:tcPr>
            <w:tcW w:w="1120" w:type="dxa"/>
            <w:vAlign w:val="bottom"/>
            <w:gridSpan w:val="3"/>
          </w:tcPr>
          <w:p>
            <w:pPr>
              <w:ind w:left="60"/>
              <w:spacing w:after="0"/>
              <w:rPr>
                <w:sz w:val="20"/>
                <w:szCs w:val="20"/>
                <w:color w:val="auto"/>
              </w:rPr>
            </w:pPr>
            <w:r>
              <w:rPr>
                <w:rFonts w:ascii="Arial" w:cs="Arial" w:eastAsia="Arial" w:hAnsi="Arial"/>
                <w:sz w:val="18"/>
                <w:szCs w:val="18"/>
                <w:color w:val="auto"/>
              </w:rPr>
              <w:t>Total LASG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gridSpan w:val="3"/>
          </w:tcPr>
          <w:p>
            <w:pPr>
              <w:spacing w:after="0"/>
              <w:rPr>
                <w:sz w:val="20"/>
                <w:szCs w:val="20"/>
                <w:color w:val="auto"/>
              </w:rPr>
            </w:pPr>
            <w:r>
              <w:rPr>
                <w:rFonts w:ascii="Arial" w:cs="Arial" w:eastAsia="Arial" w:hAnsi="Arial"/>
                <w:sz w:val="18"/>
                <w:szCs w:val="18"/>
                <w:color w:val="auto"/>
              </w:rPr>
              <w:t>in</w:t>
            </w:r>
          </w:p>
        </w:tc>
        <w:tc>
          <w:tcPr>
            <w:tcW w:w="11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thousands)</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purchased or</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8"/>
              </w:rPr>
              <w:t>originated during the period:</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81,016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157,958</w:t>
            </w:r>
          </w:p>
        </w:tc>
        <w:tc>
          <w:tcPr>
            <w:tcW w:w="86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238,974</w:t>
            </w:r>
          </w:p>
        </w:tc>
        <w:tc>
          <w:tcPr>
            <w:tcW w:w="180" w:type="dxa"/>
            <w:vAlign w:val="bottom"/>
          </w:tcPr>
          <w:p>
            <w:pPr>
              <w:spacing w:after="0"/>
              <w:rPr>
                <w:sz w:val="18"/>
                <w:szCs w:val="18"/>
                <w:color w:val="auto"/>
              </w:rPr>
            </w:pPr>
          </w:p>
        </w:tc>
        <w:tc>
          <w:tcPr>
            <w:tcW w:w="2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76,511</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169,831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246,342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71,474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157,958</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229,432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67,747</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169,831</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237,578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 returns during the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Yield</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6.56%</w:t>
            </w:r>
          </w:p>
        </w:tc>
        <w:tc>
          <w:tcPr>
            <w:tcW w:w="8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8.60%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11.77%</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0.82%</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Return (2)</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w w:val="96"/>
              </w:rPr>
              <w:t>Total loans as of period end: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Unpaid principal balance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289,852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381,990</w:t>
            </w:r>
          </w:p>
        </w:tc>
        <w:tc>
          <w:tcPr>
            <w:tcW w:w="8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671,842</w:t>
            </w:r>
          </w:p>
        </w:tc>
        <w:tc>
          <w:tcPr>
            <w:tcW w:w="1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268,651</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299,340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567,991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Net investment basis</w:t>
            </w:r>
          </w:p>
        </w:tc>
        <w:tc>
          <w:tcPr>
            <w:tcW w:w="20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254,700</w:t>
            </w:r>
          </w:p>
        </w:tc>
        <w:tc>
          <w:tcPr>
            <w:tcW w:w="24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381,990</w:t>
            </w:r>
          </w:p>
        </w:tc>
        <w:tc>
          <w:tcPr>
            <w:tcW w:w="8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636,690</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237,569</w:t>
            </w:r>
          </w:p>
        </w:tc>
        <w:tc>
          <w:tcPr>
            <w:tcW w:w="26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299,340</w:t>
            </w:r>
          </w:p>
        </w:tc>
        <w:tc>
          <w:tcPr>
            <w:tcW w:w="18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536,909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Period end purchased loan balances include loans held for sale of $0 and $973 thousand at March 31, 2018 and March 31, 2017, respectively.</w:t>
      </w:r>
    </w:p>
    <w:p>
      <w:pPr>
        <w:spacing w:after="0" w:line="34" w:lineRule="exact"/>
        <w:rPr>
          <w:rFonts w:ascii="Arial" w:cs="Arial" w:eastAsia="Arial" w:hAnsi="Arial"/>
          <w:sz w:val="17"/>
          <w:szCs w:val="17"/>
          <w:color w:val="auto"/>
        </w:rPr>
      </w:pPr>
    </w:p>
    <w:p>
      <w:pPr>
        <w:jc w:val="both"/>
        <w:ind w:firstLine="8"/>
        <w:spacing w:after="0" w:line="302" w:lineRule="auto"/>
        <w:tabs>
          <w:tab w:leader="none" w:pos="2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total return on purchased loans represents scheduled accretion, accelerated accretion, gains on asset sales, and other noninterest income recorded during the period divided by the average invested balance, which includes purchased loans held for sale, on an annualized basis. The total return does not include the effect of purchased loan charge-offs or recoveries during the period. Total return is considered a non-GAAP financial measure.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Due from Banks, Short-Term Investments and Available-for-Sale Securities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Cash and cash equivalents were $222.1 million as of March 31, 2018, an increase of $58.8 million, or 36.0%, from $163.3 million at June 30, 2017. The increase is primarily due to the increase in deposits, offset by the increase in loans in the period.</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Available-for-sale securities totaled $89.7 million as of March 31, 2018, compared to $96.7 million as of June 30, 2017, representing a decrease of $7.0 million, or 7.2%, primarily due to principal payments on mortgage-backed securities. Included in available-for-sale securities are securities issued by government agencies and government-sponsored enterprises, as well as an investment of $5.1 million in a CRA qualified fund that seeks to invest in securities either issued or guaranteed by the U.S. government or its agencies, as well as an investment of $1.5 million in a CRA qualified fund that primarily invests in the federally guaranteed portion of SBA 7(a) loans. At March 31, 2018, no securities were pledged for outstanding borrowings.</w:t>
      </w:r>
    </w:p>
    <w:p>
      <w:pPr>
        <w:sectPr>
          <w:pgSz w:w="11900" w:h="16838" w:orient="portrait"/>
          <w:cols w:equalWidth="0" w:num="1">
            <w:col w:w="11420"/>
          </w:cols>
          <w:pgMar w:left="240" w:top="118" w:right="239" w:bottom="703"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703" w:gutter="0" w:footer="0" w:header="0"/>
          <w:type w:val="continuous"/>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portfolio (excluding loans held-for-sale) by lending division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390"/>
              <w:spacing w:after="0"/>
              <w:rPr>
                <w:sz w:val="20"/>
                <w:szCs w:val="20"/>
                <w:color w:val="auto"/>
              </w:rPr>
            </w:pPr>
            <w:r>
              <w:rPr>
                <w:rFonts w:ascii="Arial" w:cs="Arial" w:eastAsia="Arial" w:hAnsi="Arial"/>
                <w:sz w:val="18"/>
                <w:szCs w:val="18"/>
                <w:color w:val="auto"/>
                <w:w w:val="92"/>
              </w:rPr>
              <w:t>March 31, 2018</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5"/>
        </w:trPr>
        <w:tc>
          <w:tcPr>
            <w:tcW w:w="3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spacing w:after="0" w:line="195" w:lineRule="exact"/>
              <w:rPr>
                <w:sz w:val="20"/>
                <w:szCs w:val="20"/>
                <w:color w:val="auto"/>
              </w:rPr>
            </w:pPr>
            <w:r>
              <w:rPr>
                <w:rFonts w:ascii="Arial" w:cs="Arial" w:eastAsia="Arial" w:hAnsi="Arial"/>
                <w:sz w:val="18"/>
                <w:szCs w:val="18"/>
                <w:color w:val="auto"/>
                <w:w w:val="90"/>
              </w:rPr>
              <w:t>Percent of</w:t>
            </w:r>
          </w:p>
        </w:tc>
        <w:tc>
          <w:tcPr>
            <w:tcW w:w="160" w:type="dxa"/>
            <w:vAlign w:val="bottom"/>
          </w:tcPr>
          <w:p>
            <w:pPr>
              <w:spacing w:after="0"/>
              <w:rPr>
                <w:sz w:val="16"/>
                <w:szCs w:val="16"/>
                <w:color w:val="auto"/>
              </w:rPr>
            </w:pPr>
          </w:p>
        </w:tc>
      </w:tr>
      <w:tr>
        <w:trPr>
          <w:trHeight w:val="230"/>
        </w:trPr>
        <w:tc>
          <w:tcPr>
            <w:tcW w:w="3980" w:type="dxa"/>
            <w:vAlign w:val="bottom"/>
          </w:tcPr>
          <w:p>
            <w:pPr>
              <w:spacing w:after="0"/>
              <w:rPr>
                <w:sz w:val="20"/>
                <w:szCs w:val="20"/>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auto"/>
                <w:w w:val="98"/>
              </w:rPr>
              <w:t>Community Banking Division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LASG</w:t>
            </w:r>
          </w:p>
        </w:tc>
        <w:tc>
          <w:tcPr>
            <w:tcW w:w="1160" w:type="dxa"/>
            <w:vAlign w:val="bottom"/>
            <w:gridSpan w:val="3"/>
          </w:tcPr>
          <w:p>
            <w:pPr>
              <w:ind w:left="20"/>
              <w:spacing w:after="0"/>
              <w:rPr>
                <w:sz w:val="20"/>
                <w:szCs w:val="20"/>
                <w:color w:val="auto"/>
              </w:rPr>
            </w:pPr>
            <w:r>
              <w:rPr>
                <w:rFonts w:ascii="Arial" w:cs="Arial" w:eastAsia="Arial" w:hAnsi="Arial"/>
                <w:sz w:val="18"/>
                <w:szCs w:val="18"/>
                <w:color w:val="auto"/>
              </w:rPr>
              <w:t>SBA Division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Total</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Total</w:t>
            </w:r>
          </w:p>
        </w:tc>
      </w:tr>
      <w:tr>
        <w:trPr>
          <w:trHeight w:val="210"/>
        </w:trPr>
        <w:tc>
          <w:tcPr>
            <w:tcW w:w="39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20" w:type="dxa"/>
            <w:vAlign w:val="bottom"/>
          </w:tcPr>
          <w:p>
            <w:pPr>
              <w:ind w:left="20"/>
              <w:spacing w:after="0"/>
              <w:rPr>
                <w:sz w:val="20"/>
                <w:szCs w:val="20"/>
                <w:color w:val="auto"/>
              </w:rPr>
            </w:pPr>
            <w:r>
              <w:rPr>
                <w:rFonts w:ascii="Arial" w:cs="Arial" w:eastAsia="Arial" w:hAnsi="Arial"/>
                <w:sz w:val="18"/>
                <w:szCs w:val="18"/>
                <w:color w:val="auto"/>
              </w:rPr>
              <w:t>in</w:t>
            </w:r>
          </w:p>
        </w:tc>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80" w:type="dxa"/>
            <w:vAlign w:val="bottom"/>
            <w:shd w:val="clear" w:color="auto" w:fill="CCEEFF"/>
          </w:tcPr>
          <w:p>
            <w:pPr>
              <w:jc w:val="center"/>
              <w:ind w:right="2630"/>
              <w:spacing w:after="0"/>
              <w:rPr>
                <w:sz w:val="20"/>
                <w:szCs w:val="20"/>
                <w:color w:val="auto"/>
              </w:rPr>
            </w:pPr>
            <w:r>
              <w:rPr>
                <w:rFonts w:ascii="Arial" w:cs="Arial" w:eastAsia="Arial" w:hAnsi="Arial"/>
                <w:sz w:val="18"/>
                <w:szCs w:val="18"/>
                <w:color w:val="auto"/>
                <w:w w:val="92"/>
              </w:rPr>
              <w:t>Originated loans:</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70,865</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6,272</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77,265</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9.46%</w:t>
            </w: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8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8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20,147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131,419</w:t>
            </w:r>
          </w:p>
        </w:tc>
        <w:tc>
          <w:tcPr>
            <w:tcW w:w="5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18,621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170,187</w:t>
            </w:r>
          </w:p>
        </w:tc>
        <w:tc>
          <w:tcPr>
            <w:tcW w:w="2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20.84%</w:t>
            </w: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owner occupied</w:t>
            </w:r>
          </w:p>
        </w:tc>
        <w:tc>
          <w:tcPr>
            <w:tcW w:w="8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77,877</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25,511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115,408</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14.14%</w:t>
            </w: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8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11,277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166,422</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184,009</w:t>
            </w:r>
          </w:p>
        </w:tc>
        <w:tc>
          <w:tcPr>
            <w:tcW w:w="2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22.54%</w:t>
            </w: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0.43%</w:t>
            </w:r>
          </w:p>
        </w:tc>
      </w:tr>
      <w:tr>
        <w:trPr>
          <w:trHeight w:val="20"/>
        </w:trPr>
        <w:tc>
          <w:tcPr>
            <w:tcW w:w="39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980" w:type="dxa"/>
            <w:vAlign w:val="bottom"/>
          </w:tcPr>
          <w:p>
            <w:pPr>
              <w:jc w:val="center"/>
              <w:ind w:right="2610"/>
              <w:spacing w:after="0"/>
              <w:rPr>
                <w:sz w:val="20"/>
                <w:szCs w:val="20"/>
                <w:color w:val="auto"/>
              </w:rPr>
            </w:pPr>
            <w:r>
              <w:rPr>
                <w:rFonts w:ascii="Arial" w:cs="Arial" w:eastAsia="Arial" w:hAnsi="Arial"/>
                <w:sz w:val="18"/>
                <w:szCs w:val="18"/>
                <w:color w:val="auto"/>
                <w:w w:val="90"/>
              </w:rPr>
              <w:t>Subtotal</w:t>
            </w:r>
          </w:p>
        </w:tc>
        <w:tc>
          <w:tcPr>
            <w:tcW w:w="8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129,156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381,990</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50,583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561,729</w:t>
            </w:r>
          </w:p>
        </w:tc>
        <w:tc>
          <w:tcPr>
            <w:tcW w:w="2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68.80%</w:t>
            </w:r>
          </w:p>
        </w:tc>
      </w:tr>
      <w:tr>
        <w:trPr>
          <w:trHeight w:val="210"/>
        </w:trPr>
        <w:tc>
          <w:tcPr>
            <w:tcW w:w="3980" w:type="dxa"/>
            <w:vAlign w:val="bottom"/>
            <w:shd w:val="clear" w:color="auto" w:fill="CCEEFF"/>
          </w:tcPr>
          <w:p>
            <w:pPr>
              <w:jc w:val="center"/>
              <w:ind w:right="2670"/>
              <w:spacing w:after="0"/>
              <w:rPr>
                <w:sz w:val="20"/>
                <w:szCs w:val="20"/>
                <w:color w:val="auto"/>
              </w:rPr>
            </w:pPr>
            <w:r>
              <w:rPr>
                <w:rFonts w:ascii="Arial" w:cs="Arial" w:eastAsia="Arial" w:hAnsi="Arial"/>
                <w:sz w:val="18"/>
                <w:szCs w:val="18"/>
                <w:color w:val="auto"/>
                <w:w w:val="87"/>
              </w:rPr>
              <w:t>Purchased loans:</w:t>
            </w:r>
          </w:p>
        </w:tc>
        <w:tc>
          <w:tcPr>
            <w:tcW w:w="8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8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8,597</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8,597</w:t>
            </w:r>
          </w:p>
        </w:tc>
        <w:tc>
          <w:tcPr>
            <w:tcW w:w="2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8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93</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8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133,236</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133,236</w:t>
            </w:r>
          </w:p>
        </w:tc>
        <w:tc>
          <w:tcPr>
            <w:tcW w:w="2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16.32%</w:t>
            </w: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owner occupied</w:t>
            </w:r>
          </w:p>
        </w:tc>
        <w:tc>
          <w:tcPr>
            <w:tcW w:w="8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111,734</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111,734</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13.69%</w:t>
            </w: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8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1,040</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1,040</w:t>
            </w:r>
          </w:p>
        </w:tc>
        <w:tc>
          <w:tcPr>
            <w:tcW w:w="2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r>
      <w:tr>
        <w:trPr>
          <w:trHeight w:val="20"/>
        </w:trPr>
        <w:tc>
          <w:tcPr>
            <w:tcW w:w="3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80" w:type="dxa"/>
            <w:vAlign w:val="bottom"/>
            <w:shd w:val="clear" w:color="auto" w:fill="CCEEFF"/>
          </w:tcPr>
          <w:p>
            <w:pPr>
              <w:jc w:val="center"/>
              <w:ind w:right="2610"/>
              <w:spacing w:after="0"/>
              <w:rPr>
                <w:sz w:val="20"/>
                <w:szCs w:val="20"/>
                <w:color w:val="auto"/>
              </w:rPr>
            </w:pPr>
            <w:r>
              <w:rPr>
                <w:rFonts w:ascii="Arial" w:cs="Arial" w:eastAsia="Arial" w:hAnsi="Arial"/>
                <w:sz w:val="18"/>
                <w:szCs w:val="18"/>
                <w:color w:val="auto"/>
                <w:w w:val="90"/>
              </w:rPr>
              <w:t>Subtotal</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254,700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254,700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31.20%</w:t>
            </w:r>
          </w:p>
        </w:tc>
      </w:tr>
      <w:tr>
        <w:trPr>
          <w:trHeight w:val="20"/>
        </w:trPr>
        <w:tc>
          <w:tcPr>
            <w:tcW w:w="39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980" w:type="dxa"/>
            <w:vAlign w:val="bottom"/>
          </w:tcPr>
          <w:p>
            <w:pPr>
              <w:ind w:left="340"/>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129,156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636,690</w:t>
            </w:r>
          </w:p>
        </w:tc>
        <w:tc>
          <w:tcPr>
            <w:tcW w:w="2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50,583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816,429</w:t>
            </w:r>
          </w:p>
        </w:tc>
        <w:tc>
          <w:tcPr>
            <w:tcW w:w="2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3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39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390"/>
              <w:spacing w:after="0"/>
              <w:rPr>
                <w:sz w:val="20"/>
                <w:szCs w:val="20"/>
                <w:color w:val="auto"/>
              </w:rPr>
            </w:pPr>
            <w:r>
              <w:rPr>
                <w:rFonts w:ascii="Arial" w:cs="Arial" w:eastAsia="Arial" w:hAnsi="Arial"/>
                <w:sz w:val="18"/>
                <w:szCs w:val="18"/>
                <w:color w:val="auto"/>
                <w:w w:val="87"/>
              </w:rPr>
              <w:t>June 30, 2017</w:t>
            </w: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5"/>
        </w:trPr>
        <w:tc>
          <w:tcPr>
            <w:tcW w:w="3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spacing w:after="0" w:line="195" w:lineRule="exact"/>
              <w:rPr>
                <w:sz w:val="20"/>
                <w:szCs w:val="20"/>
                <w:color w:val="auto"/>
              </w:rPr>
            </w:pPr>
            <w:r>
              <w:rPr>
                <w:rFonts w:ascii="Arial" w:cs="Arial" w:eastAsia="Arial" w:hAnsi="Arial"/>
                <w:sz w:val="18"/>
                <w:szCs w:val="18"/>
                <w:color w:val="auto"/>
                <w:w w:val="90"/>
              </w:rPr>
              <w:t>Percent of</w:t>
            </w:r>
          </w:p>
        </w:tc>
        <w:tc>
          <w:tcPr>
            <w:tcW w:w="160" w:type="dxa"/>
            <w:vAlign w:val="bottom"/>
          </w:tcPr>
          <w:p>
            <w:pPr>
              <w:spacing w:after="0"/>
              <w:rPr>
                <w:sz w:val="16"/>
                <w:szCs w:val="16"/>
                <w:color w:val="auto"/>
              </w:rPr>
            </w:pPr>
          </w:p>
        </w:tc>
      </w:tr>
      <w:tr>
        <w:trPr>
          <w:trHeight w:val="230"/>
        </w:trPr>
        <w:tc>
          <w:tcPr>
            <w:tcW w:w="3980" w:type="dxa"/>
            <w:vAlign w:val="bottom"/>
          </w:tcPr>
          <w:p>
            <w:pPr>
              <w:spacing w:after="0"/>
              <w:rPr>
                <w:sz w:val="20"/>
                <w:szCs w:val="20"/>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auto"/>
                <w:w w:val="98"/>
              </w:rPr>
              <w:t>Community Banking Division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LASG</w:t>
            </w:r>
          </w:p>
        </w:tc>
        <w:tc>
          <w:tcPr>
            <w:tcW w:w="1160" w:type="dxa"/>
            <w:vAlign w:val="bottom"/>
            <w:gridSpan w:val="3"/>
          </w:tcPr>
          <w:p>
            <w:pPr>
              <w:ind w:left="20"/>
              <w:spacing w:after="0"/>
              <w:rPr>
                <w:sz w:val="20"/>
                <w:szCs w:val="20"/>
                <w:color w:val="auto"/>
              </w:rPr>
            </w:pPr>
            <w:r>
              <w:rPr>
                <w:rFonts w:ascii="Arial" w:cs="Arial" w:eastAsia="Arial" w:hAnsi="Arial"/>
                <w:sz w:val="18"/>
                <w:szCs w:val="18"/>
                <w:color w:val="auto"/>
              </w:rPr>
              <w:t>SBA Division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Total</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Total</w:t>
            </w:r>
          </w:p>
        </w:tc>
      </w:tr>
      <w:tr>
        <w:trPr>
          <w:trHeight w:val="210"/>
        </w:trPr>
        <w:tc>
          <w:tcPr>
            <w:tcW w:w="39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20" w:type="dxa"/>
            <w:vAlign w:val="bottom"/>
          </w:tcPr>
          <w:p>
            <w:pPr>
              <w:ind w:left="20"/>
              <w:spacing w:after="0"/>
              <w:rPr>
                <w:sz w:val="20"/>
                <w:szCs w:val="20"/>
                <w:color w:val="auto"/>
              </w:rPr>
            </w:pPr>
            <w:r>
              <w:rPr>
                <w:rFonts w:ascii="Arial" w:cs="Arial" w:eastAsia="Arial" w:hAnsi="Arial"/>
                <w:sz w:val="18"/>
                <w:szCs w:val="18"/>
                <w:color w:val="auto"/>
              </w:rPr>
              <w:t>in</w:t>
            </w:r>
          </w:p>
        </w:tc>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80" w:type="dxa"/>
            <w:vAlign w:val="bottom"/>
            <w:shd w:val="clear" w:color="auto" w:fill="CCEEFF"/>
          </w:tcPr>
          <w:p>
            <w:pPr>
              <w:jc w:val="center"/>
              <w:ind w:right="2630"/>
              <w:spacing w:after="0"/>
              <w:rPr>
                <w:sz w:val="20"/>
                <w:szCs w:val="20"/>
                <w:color w:val="auto"/>
              </w:rPr>
            </w:pPr>
            <w:r>
              <w:rPr>
                <w:rFonts w:ascii="Arial" w:cs="Arial" w:eastAsia="Arial" w:hAnsi="Arial"/>
                <w:sz w:val="18"/>
                <w:szCs w:val="18"/>
                <w:color w:val="auto"/>
                <w:w w:val="92"/>
              </w:rPr>
              <w:t>Originated loans:</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81,538</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2,092</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83,759</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10.75%</w:t>
            </w: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8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13,931</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8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23,638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90,154</w:t>
            </w:r>
          </w:p>
        </w:tc>
        <w:tc>
          <w:tcPr>
            <w:tcW w:w="5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23,720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137,512</w:t>
            </w:r>
          </w:p>
        </w:tc>
        <w:tc>
          <w:tcPr>
            <w:tcW w:w="2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17.65%</w:t>
            </w: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owner occupied</w:t>
            </w:r>
          </w:p>
        </w:tc>
        <w:tc>
          <w:tcPr>
            <w:tcW w:w="8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83,446</w:t>
            </w:r>
          </w:p>
        </w:tc>
        <w:tc>
          <w:tcPr>
            <w:tcW w:w="5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21,820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118,768</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15.24%</w:t>
            </w: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8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12,349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154,823</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174,468</w:t>
            </w:r>
          </w:p>
        </w:tc>
        <w:tc>
          <w:tcPr>
            <w:tcW w:w="2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22.39%</w:t>
            </w: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0.56%</w:t>
            </w:r>
          </w:p>
        </w:tc>
      </w:tr>
      <w:tr>
        <w:trPr>
          <w:trHeight w:val="20"/>
        </w:trPr>
        <w:tc>
          <w:tcPr>
            <w:tcW w:w="39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980" w:type="dxa"/>
            <w:vAlign w:val="bottom"/>
          </w:tcPr>
          <w:p>
            <w:pPr>
              <w:jc w:val="center"/>
              <w:ind w:right="2610"/>
              <w:spacing w:after="0"/>
              <w:rPr>
                <w:sz w:val="20"/>
                <w:szCs w:val="20"/>
                <w:color w:val="auto"/>
              </w:rPr>
            </w:pPr>
            <w:r>
              <w:rPr>
                <w:rFonts w:ascii="Arial" w:cs="Arial" w:eastAsia="Arial" w:hAnsi="Arial"/>
                <w:sz w:val="18"/>
                <w:szCs w:val="18"/>
                <w:color w:val="auto"/>
                <w:w w:val="90"/>
              </w:rPr>
              <w:t>Subtotal</w:t>
            </w:r>
          </w:p>
        </w:tc>
        <w:tc>
          <w:tcPr>
            <w:tcW w:w="8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149,327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330,515</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52,965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532,807</w:t>
            </w:r>
          </w:p>
        </w:tc>
        <w:tc>
          <w:tcPr>
            <w:tcW w:w="2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68.38%</w:t>
            </w:r>
          </w:p>
        </w:tc>
      </w:tr>
      <w:tr>
        <w:trPr>
          <w:trHeight w:val="210"/>
        </w:trPr>
        <w:tc>
          <w:tcPr>
            <w:tcW w:w="3980" w:type="dxa"/>
            <w:vAlign w:val="bottom"/>
            <w:shd w:val="clear" w:color="auto" w:fill="CCEEFF"/>
          </w:tcPr>
          <w:p>
            <w:pPr>
              <w:jc w:val="center"/>
              <w:ind w:right="2670"/>
              <w:spacing w:after="0"/>
              <w:rPr>
                <w:sz w:val="20"/>
                <w:szCs w:val="20"/>
                <w:color w:val="auto"/>
              </w:rPr>
            </w:pPr>
            <w:r>
              <w:rPr>
                <w:rFonts w:ascii="Arial" w:cs="Arial" w:eastAsia="Arial" w:hAnsi="Arial"/>
                <w:sz w:val="18"/>
                <w:szCs w:val="18"/>
                <w:color w:val="auto"/>
                <w:w w:val="87"/>
              </w:rPr>
              <w:t>Purchased loans:</w:t>
            </w:r>
          </w:p>
        </w:tc>
        <w:tc>
          <w:tcPr>
            <w:tcW w:w="8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8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3,478</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3,478</w:t>
            </w:r>
          </w:p>
        </w:tc>
        <w:tc>
          <w:tcPr>
            <w:tcW w:w="2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0.45%</w:t>
            </w: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8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134,970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134,970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17.32%</w:t>
            </w: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Commercial real estate: owner occupied</w:t>
            </w:r>
          </w:p>
        </w:tc>
        <w:tc>
          <w:tcPr>
            <w:tcW w:w="8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106,754</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106,754</w:t>
            </w:r>
          </w:p>
        </w:tc>
        <w:tc>
          <w:tcPr>
            <w:tcW w:w="2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13.70%</w:t>
            </w: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r>
      <w:tr>
        <w:trPr>
          <w:trHeight w:val="20"/>
        </w:trPr>
        <w:tc>
          <w:tcPr>
            <w:tcW w:w="39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980" w:type="dxa"/>
            <w:vAlign w:val="bottom"/>
          </w:tcPr>
          <w:p>
            <w:pPr>
              <w:jc w:val="center"/>
              <w:ind w:right="2610"/>
              <w:spacing w:after="0"/>
              <w:rPr>
                <w:sz w:val="20"/>
                <w:szCs w:val="20"/>
                <w:color w:val="auto"/>
              </w:rPr>
            </w:pPr>
            <w:r>
              <w:rPr>
                <w:rFonts w:ascii="Arial" w:cs="Arial" w:eastAsia="Arial" w:hAnsi="Arial"/>
                <w:sz w:val="18"/>
                <w:szCs w:val="18"/>
                <w:color w:val="auto"/>
                <w:w w:val="90"/>
              </w:rPr>
              <w:t>Subtotal</w:t>
            </w:r>
          </w:p>
        </w:tc>
        <w:tc>
          <w:tcPr>
            <w:tcW w:w="8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246,388</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246,388</w:t>
            </w:r>
          </w:p>
        </w:tc>
        <w:tc>
          <w:tcPr>
            <w:tcW w:w="2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31.62%</w:t>
            </w:r>
          </w:p>
        </w:tc>
      </w:tr>
      <w:tr>
        <w:trPr>
          <w:trHeight w:val="20"/>
        </w:trPr>
        <w:tc>
          <w:tcPr>
            <w:tcW w:w="3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576,903</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52,965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779,195</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39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Assets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Loans are classified as nonperforming when 90 or more days past due, unless a loan is well-secured and in the process of collection. Loans less than 90 days past due, for which collection of principal or interest is considered doubtful, also may be designated as nonperforming. In both situations, accrual of interest ceases. The Company typically maintains such loans as nonperforming until the respective borrowers have demonstrated a sustained period of payment performance.</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cases where a borrower experiences financial difficulties and the Company makes certain concessionary modifications, the loan is classified as a troubled debt restructuring (“TDR”). Concessionary modifications may include adjustments to interest rates, extensions of maturity, or other actions intended to minimize economic loss and avoid foreclosure or repossession of collateral.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8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Other nonperforming assets include other real estate owned (“OREO”) and other personal property securing loans repossessed by the Bank. The real estate and personal property collateral for commercial and consumer loans is recorded at fair value less estimated costs to sell upon repossession. Revenues and expenses are recognized in the period when received or incurred on OREO and in-substance foreclosures. Gains and losses on disposition are recognized in noninterest income.</w:t>
      </w:r>
    </w:p>
    <w:p>
      <w:pPr>
        <w:sectPr>
          <w:pgSz w:w="11900" w:h="16838" w:orient="portrait"/>
          <w:cols w:equalWidth="0" w:num="1">
            <w:col w:w="11420"/>
          </w:cols>
          <w:pgMar w:left="240" w:top="118" w:right="239" w:bottom="100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000" w:gutter="0" w:footer="0" w:header="0"/>
          <w:type w:val="continuous"/>
        </w:sectPr>
      </w:pPr>
    </w:p>
    <w:bookmarkStart w:id="35" w:name="page36"/>
    <w:bookmarkEnd w:id="3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following table details the Company's nonperforming assets and other credit quality indicators as of March 31, 2018 and June 30, 2017. Management believes that, based on their carrying amounts, nonperforming assets are well secured based on the estimated fair value of underlying collateral.</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7"/>
          </w:tcPr>
          <w:p>
            <w:pPr>
              <w:jc w:val="center"/>
              <w:ind w:left="630"/>
              <w:spacing w:after="0"/>
              <w:rPr>
                <w:sz w:val="20"/>
                <w:szCs w:val="20"/>
                <w:color w:val="auto"/>
              </w:rPr>
            </w:pPr>
            <w:r>
              <w:rPr>
                <w:rFonts w:ascii="Arial" w:cs="Arial" w:eastAsia="Arial" w:hAnsi="Arial"/>
                <w:sz w:val="18"/>
                <w:szCs w:val="18"/>
                <w:color w:val="auto"/>
                <w:w w:val="91"/>
              </w:rPr>
              <w:t>Nonperforming Assets at March 31, 2018</w:t>
            </w: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Originated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Purchased</w:t>
            </w:r>
          </w:p>
        </w:tc>
        <w:tc>
          <w:tcPr>
            <w:tcW w:w="580" w:type="dxa"/>
            <w:vAlign w:val="bottom"/>
          </w:tcPr>
          <w:p>
            <w:pPr>
              <w:spacing w:after="0"/>
              <w:rPr>
                <w:sz w:val="18"/>
                <w:szCs w:val="18"/>
                <w:color w:val="auto"/>
              </w:rPr>
            </w:pPr>
          </w:p>
        </w:tc>
        <w:tc>
          <w:tcPr>
            <w:tcW w:w="980" w:type="dxa"/>
            <w:vAlign w:val="bottom"/>
          </w:tcPr>
          <w:p>
            <w:pPr>
              <w:jc w:val="right"/>
              <w:ind w:right="51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7"/>
              </w:rPr>
              <w:t>(Dollars in thousands)</w:t>
            </w: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3,116</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1,408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7,561</w:t>
            </w:r>
          </w:p>
        </w:tc>
        <w:tc>
          <w:tcPr>
            <w:tcW w:w="5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8,063</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1"/>
              </w:rPr>
              <w:t>Real estate owned and other repossessed collateral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822</w:t>
            </w:r>
          </w:p>
        </w:tc>
        <w:tc>
          <w:tcPr>
            <w:tcW w:w="5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5,677</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8,884</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800" w:type="dxa"/>
            <w:vAlign w:val="bottom"/>
          </w:tcPr>
          <w:p>
            <w:pPr>
              <w:spacing w:after="0" w:line="196" w:lineRule="exact"/>
              <w:rPr>
                <w:sz w:val="20"/>
                <w:szCs w:val="20"/>
                <w:color w:val="auto"/>
              </w:rPr>
            </w:pPr>
            <w:r>
              <w:rPr>
                <w:rFonts w:ascii="Arial" w:cs="Arial" w:eastAsia="Arial" w:hAnsi="Arial"/>
                <w:sz w:val="18"/>
                <w:szCs w:val="18"/>
                <w:color w:val="auto"/>
              </w:rPr>
              <w:t>Ratio of nonperforming loans to total loans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assets to total assets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Ratio of loans past due to total loans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that are current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4"/>
              </w:rPr>
              <w:t>Commercial loans risk rated substandard or worse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Troubled debt restructurings: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On accrual status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 nonaccrual status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7"/>
          </w:tcPr>
          <w:p>
            <w:pPr>
              <w:jc w:val="center"/>
              <w:ind w:left="650"/>
              <w:spacing w:after="0"/>
              <w:rPr>
                <w:sz w:val="20"/>
                <w:szCs w:val="20"/>
                <w:color w:val="auto"/>
              </w:rPr>
            </w:pPr>
            <w:r>
              <w:rPr>
                <w:rFonts w:ascii="Arial" w:cs="Arial" w:eastAsia="Arial" w:hAnsi="Arial"/>
                <w:sz w:val="18"/>
                <w:szCs w:val="18"/>
                <w:color w:val="auto"/>
                <w:w w:val="90"/>
              </w:rPr>
              <w:t>Nonperforming Assets at June 30, 2017</w:t>
            </w:r>
          </w:p>
        </w:tc>
        <w:tc>
          <w:tcPr>
            <w:tcW w:w="9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Originated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Purchased</w:t>
            </w:r>
          </w:p>
        </w:tc>
        <w:tc>
          <w:tcPr>
            <w:tcW w:w="580" w:type="dxa"/>
            <w:vAlign w:val="bottom"/>
          </w:tcPr>
          <w:p>
            <w:pPr>
              <w:spacing w:after="0"/>
              <w:rPr>
                <w:sz w:val="18"/>
                <w:szCs w:val="18"/>
                <w:color w:val="auto"/>
              </w:rPr>
            </w:pPr>
          </w:p>
        </w:tc>
        <w:tc>
          <w:tcPr>
            <w:tcW w:w="980" w:type="dxa"/>
            <w:vAlign w:val="bottom"/>
          </w:tcPr>
          <w:p>
            <w:pPr>
              <w:jc w:val="right"/>
              <w:ind w:right="51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7"/>
              </w:rPr>
              <w:t>(Dollars in thousands)</w:t>
            </w: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3,337</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1,056</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6,364</w:t>
            </w:r>
          </w:p>
        </w:tc>
        <w:tc>
          <w:tcPr>
            <w:tcW w:w="5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7,452</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1"/>
              </w:rPr>
              <w:t>Real estate owned and other repossessed collateral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822</w:t>
            </w:r>
          </w:p>
        </w:tc>
        <w:tc>
          <w:tcPr>
            <w:tcW w:w="5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6,515</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8,274</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14,789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800" w:type="dxa"/>
            <w:vAlign w:val="bottom"/>
          </w:tcPr>
          <w:p>
            <w:pPr>
              <w:spacing w:after="0" w:line="196" w:lineRule="exact"/>
              <w:rPr>
                <w:sz w:val="20"/>
                <w:szCs w:val="20"/>
                <w:color w:val="auto"/>
              </w:rPr>
            </w:pPr>
            <w:r>
              <w:rPr>
                <w:rFonts w:ascii="Arial" w:cs="Arial" w:eastAsia="Arial" w:hAnsi="Arial"/>
                <w:sz w:val="18"/>
                <w:szCs w:val="18"/>
                <w:color w:val="auto"/>
              </w:rPr>
              <w:t>Ratio of nonperforming loans to total loans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assets to total assets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Ratio of loans past due to total loans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that are current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4"/>
              </w:rPr>
              <w:t>Commercial loans risk rated substandard or worse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Troubled debt restructurings: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On accrual status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Nonaccrual status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March 31, 2018, nonperforming assets totaled $14.6 million, or 1.25% of total assets, as compared to $14.8 million, or 1.37% of total assets, as of June 30,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connection with the application of the acquisition method of accounting for the merger on December 29, 2010, the allowance for loan losses was reduced to zero when the loan portfolio was marked to its then current fair value. Since that date, the Company has provided for an allowance for loan losses as new loans are originated or in the event that credit exposure in the pre-merger loan portfolio or other acquired loans exceeds the exposure estimated when initial fair values were determined.</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allowance for loan losses was $4.7 million as of March 31, 2018, compared to $3.7 million as of June 30, 2017. The increase in the period is primarily the result of the effect of increased qualitative factors discussed in Note 4, “Loans, Allowance for Loan Losses and Credit Quality,” as well as changes in the composition of the loan portfolio and an increase in specific reserve on one loan relationship.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ratios related to the allowance for loan losses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0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March 31, 2018</w:t>
            </w:r>
          </w:p>
        </w:tc>
        <w:tc>
          <w:tcPr>
            <w:tcW w:w="260" w:type="dxa"/>
            <w:vAlign w:val="bottom"/>
          </w:tcPr>
          <w:p>
            <w:pPr>
              <w:spacing w:after="0"/>
              <w:rPr>
                <w:sz w:val="20"/>
                <w:szCs w:val="20"/>
                <w:color w:val="auto"/>
              </w:rPr>
            </w:pPr>
          </w:p>
        </w:tc>
        <w:tc>
          <w:tcPr>
            <w:tcW w:w="17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June 30, 2017</w:t>
            </w:r>
          </w:p>
        </w:tc>
        <w:tc>
          <w:tcPr>
            <w:tcW w:w="240" w:type="dxa"/>
            <w:vAlign w:val="bottom"/>
          </w:tcPr>
          <w:p>
            <w:pPr>
              <w:spacing w:after="0"/>
              <w:rPr>
                <w:sz w:val="20"/>
                <w:szCs w:val="20"/>
                <w:color w:val="auto"/>
              </w:rPr>
            </w:pPr>
          </w:p>
        </w:tc>
        <w:tc>
          <w:tcPr>
            <w:tcW w:w="19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March 31, 2017</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 loans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34.46%</w:t>
            </w:r>
          </w:p>
        </w:tc>
        <w:tc>
          <w:tcPr>
            <w:tcW w:w="196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1"/>
              </w:rPr>
              <w:t>26.25%</w:t>
            </w:r>
          </w:p>
        </w:tc>
        <w:tc>
          <w:tcPr>
            <w:tcW w:w="222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22.77%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Allowance for loan losses to total loans</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0.57%</w:t>
            </w:r>
          </w:p>
        </w:tc>
        <w:tc>
          <w:tcPr>
            <w:tcW w:w="196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0.47%</w:t>
            </w:r>
          </w:p>
        </w:tc>
        <w:tc>
          <w:tcPr>
            <w:tcW w:w="222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0.46%</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Last twelve months of net-charge offs to average loans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0.03%</w:t>
            </w:r>
          </w:p>
        </w:tc>
        <w:tc>
          <w:tcPr>
            <w:tcW w:w="19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0"/>
              </w:rPr>
              <w:t>0.04%</w:t>
            </w:r>
          </w:p>
        </w:tc>
        <w:tc>
          <w:tcPr>
            <w:tcW w:w="22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0.05%</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management believes that it uses the best information available to make its determinations with respect to the allowance, there can be no assurance that the Company will not have to increase its provision for loan losses in the future as a result of changing economic conditions, adverse markets for real estate or other factors.</w:t>
      </w:r>
    </w:p>
    <w:p>
      <w:pPr>
        <w:sectPr>
          <w:pgSz w:w="11900" w:h="16838" w:orient="portrait"/>
          <w:cols w:equalWidth="0" w:num="1">
            <w:col w:w="11400"/>
          </w:cols>
          <w:pgMar w:left="240" w:top="118" w:right="259" w:bottom="15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50" w:gutter="0" w:footer="0" w:header="0"/>
          <w:type w:val="continuous"/>
        </w:sectPr>
      </w:pPr>
    </w:p>
    <w:bookmarkStart w:id="36" w:name="page37"/>
    <w:bookmarkEnd w:id="3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Premises and equipment, net, decreased by $175 thousand, or 2.5%, to $6.8 million at March 31, 2018, compared to $6.9 million at June 30, 2017. The decrease was primarily due to depreciation and amortization.</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Intangible assets totaled $975 thousand and $1.3 million at March 31, 2018 and June 30, 2017, respectively. The $325 thousand decrease was the result of intangible asset amortization during the period.</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Loan servicing rights totaled $3.0 million and $2.8 million at March 31, 2018 and June 30, 2017, respectively. The $152 thousand increase was the result of SBA loans sold during the nine months ended March 31, 2018, offset by the revaluation of the servicing rights performed on a quarterly basis and amortization.</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cash surrender value of the Company’s bank-owned life insurance (“BOLI”) assets increased $331 thousand, or 2.1% to $16.5 million at March 31, 2018, compared to $16.2 million at June 30, 2017. Increases in cash surrender value are recognized in noninterest income and are not subject to income taxes. Borrowing on, or surrendering a policy, may subject the Company to income tax expense on the increase in cash surrender value. For these reasons, management considers BOLI an illiquid asset. BOLI represented 10.1% of the Company’s regulatory total capital at March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 FHLBB Advances, Subordinated Debt, Liquidity, Capital, and Stock Repurchases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principal source of funding is its core deposit accounts. At March 31, 2018, non-maturity accounts and non-brokered insured time deposits represented 100% of total deposits.</w:t>
      </w:r>
    </w:p>
    <w:p>
      <w:pPr>
        <w:spacing w:after="0" w:line="17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Total deposits increased $86.4 million, or 9.7%, to $976.3 million as of March 31, 2018 from $889.9 million as of June 30, 2017. The increase was attributable primarily to an increase in money market accounts of $115.7 million, or 30.9% due an ableBanking promotion, offset by a decrease in time deposits of $25.7 million, or 7.6%.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total deposits at March 31, 2018 and June 30, 2017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4"/>
          </w:tcPr>
          <w:p>
            <w:pPr>
              <w:jc w:val="right"/>
              <w:ind w:right="980"/>
              <w:spacing w:after="0"/>
              <w:rPr>
                <w:sz w:val="20"/>
                <w:szCs w:val="20"/>
                <w:color w:val="auto"/>
              </w:rPr>
            </w:pPr>
            <w:r>
              <w:rPr>
                <w:rFonts w:ascii="Arial" w:cs="Arial" w:eastAsia="Arial" w:hAnsi="Arial"/>
                <w:sz w:val="18"/>
                <w:szCs w:val="18"/>
                <w:color w:val="auto"/>
              </w:rPr>
              <w:t>March 31, 2018</w:t>
            </w:r>
          </w:p>
        </w:tc>
        <w:tc>
          <w:tcPr>
            <w:tcW w:w="220" w:type="dxa"/>
            <w:vAlign w:val="bottom"/>
          </w:tcPr>
          <w:p>
            <w:pPr>
              <w:spacing w:after="0"/>
              <w:rPr>
                <w:sz w:val="20"/>
                <w:szCs w:val="20"/>
                <w:color w:val="auto"/>
              </w:rPr>
            </w:pPr>
          </w:p>
        </w:tc>
        <w:tc>
          <w:tcPr>
            <w:tcW w:w="2580" w:type="dxa"/>
            <w:vAlign w:val="bottom"/>
            <w:gridSpan w:val="4"/>
          </w:tcPr>
          <w:p>
            <w:pPr>
              <w:jc w:val="right"/>
              <w:ind w:right="980"/>
              <w:spacing w:after="0"/>
              <w:rPr>
                <w:sz w:val="20"/>
                <w:szCs w:val="20"/>
                <w:color w:val="auto"/>
              </w:rPr>
            </w:pPr>
            <w:r>
              <w:rPr>
                <w:rFonts w:ascii="Arial" w:cs="Arial" w:eastAsia="Arial" w:hAnsi="Arial"/>
                <w:sz w:val="18"/>
                <w:szCs w:val="18"/>
                <w:color w:val="auto"/>
              </w:rPr>
              <w:t>June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Percent of Total</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Percent of Total</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5"/>
          </w:tcPr>
          <w:p>
            <w:pPr>
              <w:jc w:val="right"/>
              <w:ind w:right="740"/>
              <w:spacing w:after="0"/>
              <w:rPr>
                <w:sz w:val="20"/>
                <w:szCs w:val="20"/>
                <w:color w:val="auto"/>
              </w:rPr>
            </w:pPr>
            <w:r>
              <w:rPr>
                <w:rFonts w:ascii="Arial" w:cs="Arial" w:eastAsia="Arial" w:hAnsi="Arial"/>
                <w:sz w:val="18"/>
                <w:szCs w:val="18"/>
                <w:color w:val="auto"/>
              </w:rPr>
              <w:t>(Dollars in thousands)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66,054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69,827</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NOW accounts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70,089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7.18%</w:t>
            </w: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71,247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Regular and other savings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38,578</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37,170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Money market deposits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490,236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50.21%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374,569</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non-certificate accounts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664,957</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552,814</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Term certificates of $250 thousand or less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310,822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31.84%</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337,037</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Term certificates greater than $250 thousand</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Total certificate accounts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311,323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31.89%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337,037</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deposits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976,280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889,850</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FHLBB Advances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Advances from the Federal Home Loan Bank of Boston (“FHLBB”) were $15.0 million at March 31, 2018, compared to $20.0 million at June 30, 2017. The decrease of $5.0 million was due to a matured advance in the quarter ended December 31, 2017. As of March 31, 2018, the Company had pledged certain residential real estate loans and commercial real estate loans to secure outstanding advances and provide additional borrowing capacity. As of March 31, 2018, no securities were pledged for outstanding borrowings.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Debt</w:t>
      </w:r>
    </w:p>
    <w:p>
      <w:pPr>
        <w:spacing w:after="0" w:line="225"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On June 29, 2016, the Company entered into a Subordinated Note Purchase Agreement with certain institutional accredited investors pursuant to which the Company issued subordinated notes equal to $15.05 million in aggregate principal amount with an interest rate of 6.75% fixed-to-floating maturing in 2026 (“subordinated notes”). The subordinated notes, net of issuance costs, totaled $14.7 million at March 31, 2018, compared to $14.6 million at June 30, 2017.</w:t>
      </w:r>
    </w:p>
    <w:p>
      <w:pPr>
        <w:spacing w:after="0" w:line="14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Company had junior subordinated debentures issued to affiliated trusts totaling $9.2 million and $9.0 million at March 31, 2018 and June 30, 2017, respectively. The unpaid principal balance of the junior subordinated debentures totaled $16.5 million at both March 31, 2018 and June 30, 2017.</w:t>
      </w:r>
    </w:p>
    <w:p>
      <w:pPr>
        <w:sectPr>
          <w:pgSz w:w="11900" w:h="16838" w:orient="portrait"/>
          <w:cols w:equalWidth="0" w:num="1">
            <w:col w:w="11400"/>
          </w:cols>
          <w:pgMar w:left="240" w:top="118" w:right="259"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37" w:name="page38"/>
    <w:bookmarkEnd w:id="3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summary of unused borrowing capacity of the Company at March 31, 2018, in addition to traditional retail deposit products:</w:t>
      </w:r>
    </w:p>
    <w:p>
      <w:pPr>
        <w:spacing w:after="0" w:line="23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3"/>
              </w:rPr>
              <w:t>As of March 31,</w:t>
            </w:r>
          </w:p>
        </w:tc>
        <w:tc>
          <w:tcPr>
            <w:tcW w:w="5420" w:type="dxa"/>
            <w:vAlign w:val="bottom"/>
          </w:tcPr>
          <w:p>
            <w:pPr>
              <w:spacing w:after="0"/>
              <w:rPr>
                <w:sz w:val="18"/>
                <w:szCs w:val="18"/>
                <w:color w:val="auto"/>
              </w:rPr>
            </w:pPr>
          </w:p>
        </w:tc>
      </w:tr>
      <w:tr>
        <w:trPr>
          <w:trHeight w:val="230"/>
        </w:trPr>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2018</w:t>
            </w:r>
          </w:p>
        </w:tc>
        <w:tc>
          <w:tcPr>
            <w:tcW w:w="5420" w:type="dxa"/>
            <w:vAlign w:val="bottom"/>
          </w:tcPr>
          <w:p>
            <w:pPr>
              <w:spacing w:after="0"/>
              <w:rPr>
                <w:sz w:val="20"/>
                <w:szCs w:val="20"/>
                <w:color w:val="auto"/>
              </w:rPr>
            </w:pPr>
          </w:p>
        </w:tc>
      </w:tr>
      <w:tr>
        <w:trPr>
          <w:trHeight w:val="195"/>
        </w:trPr>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6"/>
              </w:rPr>
              <w:t>(Dollars in</w:t>
            </w:r>
          </w:p>
        </w:tc>
        <w:tc>
          <w:tcPr>
            <w:tcW w:w="5420" w:type="dxa"/>
            <w:vAlign w:val="bottom"/>
          </w:tcPr>
          <w:p>
            <w:pPr>
              <w:spacing w:after="0"/>
              <w:rPr>
                <w:sz w:val="16"/>
                <w:szCs w:val="16"/>
                <w:color w:val="auto"/>
              </w:rPr>
            </w:pPr>
          </w:p>
        </w:tc>
      </w:tr>
      <w:tr>
        <w:trPr>
          <w:trHeight w:val="230"/>
        </w:trPr>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87"/>
              </w:rPr>
              <w:t>thousands)</w:t>
            </w:r>
          </w:p>
        </w:tc>
        <w:tc>
          <w:tcPr>
            <w:tcW w:w="5420" w:type="dxa"/>
            <w:vAlign w:val="bottom"/>
          </w:tcPr>
          <w:p>
            <w:pPr>
              <w:spacing w:after="0"/>
              <w:rPr>
                <w:sz w:val="20"/>
                <w:szCs w:val="20"/>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Brokered time deposits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291,035</w:t>
            </w:r>
          </w:p>
        </w:tc>
        <w:tc>
          <w:tcPr>
            <w:tcW w:w="5420" w:type="dxa"/>
            <w:vAlign w:val="bottom"/>
            <w:tcBorders>
              <w:lef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Subject to policy limitation of 25% of total assets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Federal Home Loan Bank of Boston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46,848</w:t>
            </w:r>
          </w:p>
        </w:tc>
        <w:tc>
          <w:tcPr>
            <w:tcW w:w="5420" w:type="dxa"/>
            <w:vAlign w:val="bottom"/>
          </w:tcPr>
          <w:p>
            <w:pPr>
              <w:ind w:left="120"/>
              <w:spacing w:after="0"/>
              <w:rPr>
                <w:sz w:val="20"/>
                <w:szCs w:val="20"/>
                <w:color w:val="auto"/>
              </w:rPr>
            </w:pPr>
            <w:r>
              <w:rPr>
                <w:rFonts w:ascii="Arial" w:cs="Arial" w:eastAsia="Arial" w:hAnsi="Arial"/>
                <w:sz w:val="18"/>
                <w:szCs w:val="18"/>
                <w:color w:val="auto"/>
                <w:w w:val="99"/>
              </w:rPr>
              <w:t>Unused advance capacity subject to eligible and qualified collateral</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7"/>
              </w:rPr>
              <w:t>Federal Discount Window Borrower-in-Custody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5420" w:type="dxa"/>
            <w:vAlign w:val="bottom"/>
            <w:tcBorders>
              <w:lef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Unused credit line subject to the pledge of loans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Other available lines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17,500</w:t>
            </w:r>
          </w:p>
        </w:tc>
        <w:tc>
          <w:tcPr>
            <w:tcW w:w="5420" w:type="dxa"/>
            <w:vAlign w:val="bottom"/>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unused borrowing capacity</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356,607</w:t>
            </w:r>
          </w:p>
        </w:tc>
        <w:tc>
          <w:tcPr>
            <w:tcW w:w="5420" w:type="dxa"/>
            <w:vAlign w:val="bottom"/>
            <w:tcBorders>
              <w:left w:val="single" w:sz="8" w:color="CCEEFF"/>
            </w:tcBorders>
            <w:shd w:val="clear" w:color="auto" w:fill="CCEEFF"/>
          </w:tcPr>
          <w:p>
            <w:pPr>
              <w:spacing w:after="0"/>
              <w:rPr>
                <w:sz w:val="19"/>
                <w:szCs w:val="19"/>
                <w:color w:val="auto"/>
              </w:rPr>
            </w:pPr>
          </w:p>
        </w:tc>
      </w:tr>
      <w:tr>
        <w:trPr>
          <w:trHeight w:val="20"/>
        </w:trPr>
        <w:tc>
          <w:tcPr>
            <w:tcW w:w="3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5420" w:type="dxa"/>
            <w:vAlign w:val="bottom"/>
            <w:tcBorders>
              <w:top w:val="single" w:sz="8" w:color="CCEEFF"/>
              <w:left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Retail deposits and other core deposit sources including deposit listing services are used by the Bank to manage its overall liquidity position. While we currently do not seek wholesale funding such as FHLBB advances and brokered deposits, the ability to raise them remains an important part of our liquidity contingency planning. While we closely monitor and forecast our liquidity position, it is affected by asset growth, deposit withdrawals and meeting other contractual obligations and commitments. The accuracy of our forecast assumptions may increase or decrease our overall available liquidity. To utilize the FHLBB advance capacity, the purchase of additional capital stock of the FHLBB may be required.</w:t>
      </w:r>
    </w:p>
    <w:p>
      <w:pPr>
        <w:spacing w:after="0" w:line="17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At March 31, 2018, the Company had $444.8 million of immediately accessible liquidity, defined as cash that the Bank reasonably believes could be raised within seven days through collateralized borrowings, brokered deposits or security sales. This position represented 38.1% of total assets. The Company also had $222.1 million of cash and cash equivalents at March 31, 2018.</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believes that there are adequate funding sources to meet its liquidity needs for the foreseeable future. Primary funding sources are the repayment of principal and interest on loans, the renewal of time deposits, the potential for growth in the deposit base, and the credit availability from the FHLBB. Management does not believe that the terms and conditions that will be present at the renewal of these funding sources will significantly impact the Company’s operations, due to its management of the maturities of its assets and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unpaid principal balance and carrying amount of junior subordinated debentures totaled $16.5 million and $9.2 million, respectively, as of March 31, 2018. The unpaid principal balance and carrying amount of subordinated debt totaled $15.1 million and $14.7 million, respectively, as of March 31, 2018. The junior subordinated debt represents qualifying Tier 1 capital for the Company, up to a maximum of 25% of total Tier 1 capital, and the and subordinated debt represents qualifying Tier 2 capital for the Company. At March 31, 2018, the carrying amounts of the junior subordinated debt, net of the Company’s $496 thousand investment in the affiliated trusts, qualified as Tier 1 capital, and the subordinated debt qualified as Tier 2 capital.</w:t>
      </w:r>
    </w:p>
    <w:p>
      <w:pPr>
        <w:spacing w:after="0" w:line="17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At March 31, 2018, shareholders’ equity was $133.8 million, an increase of $11.0 million, or 9.0% from June 30, 2017. Book value per outstanding common share was $14.99 at March 31, 2018 and $13.90 at June 30, 2017. Tier 1 capital to total average assets of the Company was 12.9% as of March 31, 2018 and 12.8% at June 30, 2017.</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the capital rules, risk-based capital ratios are calculated by dividing Tier 1 and total capital, respectively, by risk-weighted assets. Assets and off-balance sheet credit equivalents are assigned to one of several risk-weight categories, based primarily on relative risk. The rules require banks and bank holding companies to maintain a minimum common equity Tier 1 capital ratio of 4.5%, a minimum Tier 1 capital ratio of 6%, a total capital ratio of 8% and a leverage ratio of 4%. Additionally, subject to a transition schedule, the capital rules require a bank holding company to establish a capital conservation buffer of Tier 1 capital in an amount above the minimum risk-based capital requirements for "adequately capitalized" institutions equal to 2.5% of total risk weighted assets, or face restrictions on the ability to pay dividends, pay discretionary bonuses, and to engage in share repurchases.</w:t>
      </w:r>
    </w:p>
    <w:p>
      <w:pPr>
        <w:spacing w:after="0" w:line="17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 bank holding company, such as the Company, is considered "well capitalized" if the bank holding company (i) has a total capital ratio of at least 10%, (ii) has a Tier 1 risk-based capital ratio of at least 6%, and (iii) is not subject to any written agreement order, capital directive or prompt corrective action directive to meet and maintain a specific capital level for any capital measure. In addition, the FDIC has amended its prompt corrective action rules to reflect the revisions made by the revised capital rules described above. Under the FDIC's revised rules, which became effective January 1, 2015, an insured state nonmember bank is considered "well capitalized" if it (i) has a total capital ratio of 10.0% or greater; (ii) a Tier 1 risk-based capital ratio of 8.0% or greater;</w:t>
      </w:r>
    </w:p>
    <w:p>
      <w:pPr>
        <w:spacing w:after="0" w:line="2" w:lineRule="exact"/>
        <w:rPr>
          <w:sz w:val="20"/>
          <w:szCs w:val="20"/>
          <w:color w:val="auto"/>
        </w:rPr>
      </w:pPr>
    </w:p>
    <w:p>
      <w:pPr>
        <w:ind w:right="240" w:firstLine="8"/>
        <w:spacing w:after="0" w:line="290" w:lineRule="auto"/>
        <w:tabs>
          <w:tab w:leader="none" w:pos="3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common Tier 1 equity ratio of 6.5% or greater, (iv) a leverage capital ratio of 5.0% or greater; and (iv) is not subject to any written agreement, order, capital directive, or prompt corrective action directive to meet and maintain a specific capital level for any capital measure.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and the Bank are considered "well capitalized" under all regulatory definitions. The Company's and the Bank's regulatory capital ratios are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Minimum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8"/>
          </w:tcPr>
          <w:p>
            <w:pPr>
              <w:jc w:val="center"/>
              <w:ind w:right="380"/>
              <w:spacing w:after="0"/>
              <w:rPr>
                <w:sz w:val="20"/>
                <w:szCs w:val="20"/>
                <w:color w:val="auto"/>
              </w:rPr>
            </w:pPr>
            <w:r>
              <w:rPr>
                <w:rFonts w:ascii="Arial" w:cs="Arial" w:eastAsia="Arial" w:hAnsi="Arial"/>
                <w:sz w:val="18"/>
                <w:szCs w:val="18"/>
                <w:color w:val="auto"/>
                <w:w w:val="95"/>
              </w:rPr>
              <w:t>Minimum To Be Well</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Capital Ratio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8"/>
          </w:tcPr>
          <w:p>
            <w:pPr>
              <w:jc w:val="center"/>
              <w:ind w:right="360"/>
              <w:spacing w:after="0"/>
              <w:rPr>
                <w:sz w:val="20"/>
                <w:szCs w:val="20"/>
                <w:color w:val="auto"/>
              </w:rPr>
            </w:pPr>
            <w:r>
              <w:rPr>
                <w:rFonts w:ascii="Arial" w:cs="Arial" w:eastAsia="Arial" w:hAnsi="Arial"/>
                <w:sz w:val="18"/>
                <w:szCs w:val="18"/>
                <w:color w:val="auto"/>
                <w:w w:val="92"/>
              </w:rPr>
              <w:t>Capitalized Under</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with Capital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6"/>
          </w:tcPr>
          <w:p>
            <w:pPr>
              <w:jc w:val="right"/>
              <w:ind w:right="480"/>
              <w:spacing w:after="0"/>
              <w:rPr>
                <w:sz w:val="20"/>
                <w:szCs w:val="20"/>
                <w:color w:val="auto"/>
              </w:rPr>
            </w:pPr>
            <w:r>
              <w:rPr>
                <w:rFonts w:ascii="Arial" w:cs="Arial" w:eastAsia="Arial" w:hAnsi="Arial"/>
                <w:sz w:val="18"/>
                <w:szCs w:val="18"/>
                <w:color w:val="auto"/>
              </w:rPr>
              <w:t>Minimum Capital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8"/>
          </w:tcPr>
          <w:p>
            <w:pPr>
              <w:jc w:val="center"/>
              <w:ind w:right="380"/>
              <w:spacing w:after="0"/>
              <w:rPr>
                <w:sz w:val="20"/>
                <w:szCs w:val="20"/>
                <w:color w:val="auto"/>
              </w:rPr>
            </w:pPr>
            <w:r>
              <w:rPr>
                <w:rFonts w:ascii="Arial" w:cs="Arial" w:eastAsia="Arial" w:hAnsi="Arial"/>
                <w:sz w:val="18"/>
                <w:szCs w:val="18"/>
                <w:color w:val="auto"/>
                <w:w w:val="92"/>
              </w:rPr>
              <w:t>Prompt Corrective</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Conservation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ind w:left="660"/>
              <w:spacing w:after="0"/>
              <w:rPr>
                <w:sz w:val="20"/>
                <w:szCs w:val="20"/>
                <w:color w:val="auto"/>
              </w:rPr>
            </w:pPr>
            <w:r>
              <w:rPr>
                <w:rFonts w:ascii="Arial" w:cs="Arial" w:eastAsia="Arial" w:hAnsi="Arial"/>
                <w:sz w:val="18"/>
                <w:szCs w:val="18"/>
                <w:color w:val="auto"/>
              </w:rPr>
              <w:t>Actual</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6"/>
          </w:tcPr>
          <w:p>
            <w:pPr>
              <w:jc w:val="right"/>
              <w:ind w:right="620"/>
              <w:spacing w:after="0"/>
              <w:rPr>
                <w:sz w:val="20"/>
                <w:szCs w:val="20"/>
                <w:color w:val="auto"/>
              </w:rPr>
            </w:pPr>
            <w:r>
              <w:rPr>
                <w:rFonts w:ascii="Arial" w:cs="Arial" w:eastAsia="Arial" w:hAnsi="Arial"/>
                <w:sz w:val="18"/>
                <w:szCs w:val="18"/>
                <w:color w:val="auto"/>
              </w:rPr>
              <w:t>Requirements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8"/>
          </w:tcPr>
          <w:p>
            <w:pPr>
              <w:jc w:val="center"/>
              <w:ind w:right="380"/>
              <w:spacing w:after="0"/>
              <w:rPr>
                <w:sz w:val="20"/>
                <w:szCs w:val="20"/>
                <w:color w:val="auto"/>
              </w:rPr>
            </w:pPr>
            <w:r>
              <w:rPr>
                <w:rFonts w:ascii="Arial" w:cs="Arial" w:eastAsia="Arial" w:hAnsi="Arial"/>
                <w:sz w:val="18"/>
                <w:szCs w:val="18"/>
                <w:color w:val="auto"/>
                <w:w w:val="94"/>
              </w:rPr>
              <w:t>Action Provisions</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Buffer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Amount</w:t>
            </w:r>
          </w:p>
        </w:tc>
        <w:tc>
          <w:tcPr>
            <w:tcW w:w="7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Ratio</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96"/>
              </w:rPr>
              <w:t>Amount</w:t>
            </w:r>
          </w:p>
        </w:tc>
        <w:tc>
          <w:tcPr>
            <w:tcW w:w="9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5"/>
              </w:rPr>
              <w:t>Ratio</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3"/>
              </w:rPr>
              <w:t>Amount</w:t>
            </w:r>
          </w:p>
        </w:tc>
        <w:tc>
          <w:tcPr>
            <w:tcW w:w="900" w:type="dxa"/>
            <w:vAlign w:val="bottom"/>
            <w:tcBorders>
              <w:top w:val="single" w:sz="8" w:color="auto"/>
            </w:tcBorders>
            <w:gridSpan w:val="5"/>
          </w:tcPr>
          <w:p>
            <w:pPr>
              <w:ind w:left="260"/>
              <w:spacing w:after="0"/>
              <w:rPr>
                <w:sz w:val="20"/>
                <w:szCs w:val="20"/>
                <w:color w:val="auto"/>
              </w:rPr>
            </w:pPr>
            <w:r>
              <w:rPr>
                <w:rFonts w:ascii="Arial" w:cs="Arial" w:eastAsia="Arial" w:hAnsi="Arial"/>
                <w:sz w:val="18"/>
                <w:szCs w:val="18"/>
                <w:color w:val="auto"/>
              </w:rPr>
              <w:t>Ratio</w:t>
            </w:r>
          </w:p>
        </w:tc>
        <w:tc>
          <w:tcPr>
            <w:tcW w:w="220" w:type="dxa"/>
            <w:vAlign w:val="bottom"/>
          </w:tcPr>
          <w:p>
            <w:pPr>
              <w:spacing w:after="0"/>
              <w:rPr>
                <w:sz w:val="18"/>
                <w:szCs w:val="18"/>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Ratio</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March 31, 2018: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gridSpan w:val="8"/>
            <w:shd w:val="clear" w:color="auto" w:fill="CCEEFF"/>
          </w:tcPr>
          <w:p>
            <w:pPr>
              <w:jc w:val="center"/>
              <w:ind w:left="550"/>
              <w:spacing w:after="0"/>
              <w:rPr>
                <w:sz w:val="20"/>
                <w:szCs w:val="20"/>
                <w:color w:val="auto"/>
              </w:rPr>
            </w:pPr>
            <w:r>
              <w:rPr>
                <w:rFonts w:ascii="Arial" w:cs="Arial" w:eastAsia="Arial" w:hAnsi="Arial"/>
                <w:sz w:val="18"/>
                <w:szCs w:val="18"/>
                <w:color w:val="auto"/>
                <w:w w:val="91"/>
              </w:rPr>
              <w:t>(Dollars in thousands)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w w:val="94"/>
              </w:rPr>
              <w:t>Common equity tier 1 capital to risk weighted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2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134,818</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16.48%</w:t>
            </w:r>
          </w:p>
        </w:tc>
        <w:tc>
          <w:tcPr>
            <w:tcW w:w="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36,804</w:t>
            </w:r>
          </w:p>
        </w:tc>
        <w:tc>
          <w:tcPr>
            <w:tcW w:w="102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&gt;4.5%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151,522</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18.53%</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36,806</w:t>
            </w:r>
          </w:p>
        </w:tc>
        <w:tc>
          <w:tcPr>
            <w:tcW w:w="1020" w:type="dxa"/>
            <w:vAlign w:val="bottom"/>
            <w:gridSpan w:val="4"/>
          </w:tcPr>
          <w:p>
            <w:pPr>
              <w:jc w:val="right"/>
              <w:ind w:right="120"/>
              <w:spacing w:after="0" w:line="176" w:lineRule="exact"/>
              <w:rPr>
                <w:sz w:val="20"/>
                <w:szCs w:val="20"/>
                <w:color w:val="auto"/>
              </w:rPr>
            </w:pPr>
            <w:r>
              <w:rPr>
                <w:rFonts w:ascii="Arial" w:cs="Arial" w:eastAsia="Arial" w:hAnsi="Arial"/>
                <w:sz w:val="18"/>
                <w:szCs w:val="18"/>
                <w:color w:val="auto"/>
              </w:rPr>
              <w:t>&gt;4.5%</w:t>
            </w:r>
          </w:p>
        </w:tc>
        <w:tc>
          <w:tcPr>
            <w:tcW w:w="2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53,165</w:t>
            </w:r>
          </w:p>
        </w:tc>
        <w:tc>
          <w:tcPr>
            <w:tcW w:w="1120" w:type="dxa"/>
            <w:vAlign w:val="bottom"/>
            <w:gridSpan w:val="6"/>
          </w:tcPr>
          <w:p>
            <w:pPr>
              <w:jc w:val="right"/>
              <w:ind w:right="220"/>
              <w:spacing w:after="0" w:line="176" w:lineRule="exact"/>
              <w:rPr>
                <w:sz w:val="20"/>
                <w:szCs w:val="20"/>
                <w:color w:val="auto"/>
              </w:rPr>
            </w:pPr>
            <w:r>
              <w:rPr>
                <w:rFonts w:ascii="Arial" w:cs="Arial" w:eastAsia="Arial" w:hAnsi="Arial"/>
                <w:sz w:val="18"/>
                <w:szCs w:val="18"/>
                <w:color w:val="auto"/>
              </w:rPr>
              <w:t>&gt;6.5%</w:t>
            </w: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162,923</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19.92%</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65,430</w:t>
            </w:r>
          </w:p>
        </w:tc>
        <w:tc>
          <w:tcPr>
            <w:tcW w:w="102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&gt;8.0%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156,250</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19.10%</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65,434</w:t>
            </w:r>
          </w:p>
        </w:tc>
        <w:tc>
          <w:tcPr>
            <w:tcW w:w="1020" w:type="dxa"/>
            <w:vAlign w:val="bottom"/>
            <w:gridSpan w:val="4"/>
          </w:tcPr>
          <w:p>
            <w:pPr>
              <w:jc w:val="right"/>
              <w:ind w:right="120"/>
              <w:spacing w:after="0" w:line="176" w:lineRule="exact"/>
              <w:rPr>
                <w:sz w:val="20"/>
                <w:szCs w:val="20"/>
                <w:color w:val="auto"/>
              </w:rPr>
            </w:pPr>
            <w:r>
              <w:rPr>
                <w:rFonts w:ascii="Arial" w:cs="Arial" w:eastAsia="Arial" w:hAnsi="Arial"/>
                <w:sz w:val="18"/>
                <w:szCs w:val="18"/>
                <w:color w:val="auto"/>
              </w:rPr>
              <w:t>&gt;8.0%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81,792</w:t>
            </w:r>
          </w:p>
        </w:tc>
        <w:tc>
          <w:tcPr>
            <w:tcW w:w="1120" w:type="dxa"/>
            <w:vAlign w:val="bottom"/>
            <w:gridSpan w:val="6"/>
          </w:tcPr>
          <w:p>
            <w:pPr>
              <w:jc w:val="right"/>
              <w:ind w:right="220"/>
              <w:spacing w:after="0" w:line="176" w:lineRule="exact"/>
              <w:rPr>
                <w:sz w:val="20"/>
                <w:szCs w:val="20"/>
                <w:color w:val="auto"/>
              </w:rPr>
            </w:pPr>
            <w:r>
              <w:rPr>
                <w:rFonts w:ascii="Arial" w:cs="Arial" w:eastAsia="Arial" w:hAnsi="Arial"/>
                <w:sz w:val="18"/>
                <w:szCs w:val="18"/>
                <w:color w:val="auto"/>
              </w:rPr>
              <w:t>&gt;10.0%</w:t>
            </w: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Tier 1 capital to risk weighted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143,504</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17.55%</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49,072</w:t>
            </w:r>
          </w:p>
        </w:tc>
        <w:tc>
          <w:tcPr>
            <w:tcW w:w="102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&gt;6.0%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151,522</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18.53%</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49,075</w:t>
            </w:r>
          </w:p>
        </w:tc>
        <w:tc>
          <w:tcPr>
            <w:tcW w:w="1020" w:type="dxa"/>
            <w:vAlign w:val="bottom"/>
            <w:gridSpan w:val="4"/>
          </w:tcPr>
          <w:p>
            <w:pPr>
              <w:jc w:val="right"/>
              <w:ind w:right="120"/>
              <w:spacing w:after="0" w:line="176" w:lineRule="exact"/>
              <w:rPr>
                <w:sz w:val="20"/>
                <w:szCs w:val="20"/>
                <w:color w:val="auto"/>
              </w:rPr>
            </w:pPr>
            <w:r>
              <w:rPr>
                <w:rFonts w:ascii="Arial" w:cs="Arial" w:eastAsia="Arial" w:hAnsi="Arial"/>
                <w:sz w:val="18"/>
                <w:szCs w:val="18"/>
                <w:color w:val="auto"/>
              </w:rPr>
              <w:t>&gt;6.0%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65,434</w:t>
            </w:r>
          </w:p>
        </w:tc>
        <w:tc>
          <w:tcPr>
            <w:tcW w:w="1120" w:type="dxa"/>
            <w:vAlign w:val="bottom"/>
            <w:gridSpan w:val="6"/>
          </w:tcPr>
          <w:p>
            <w:pPr>
              <w:jc w:val="right"/>
              <w:ind w:right="220"/>
              <w:spacing w:after="0" w:line="176" w:lineRule="exact"/>
              <w:rPr>
                <w:sz w:val="20"/>
                <w:szCs w:val="20"/>
                <w:color w:val="auto"/>
              </w:rPr>
            </w:pPr>
            <w:r>
              <w:rPr>
                <w:rFonts w:ascii="Arial" w:cs="Arial" w:eastAsia="Arial" w:hAnsi="Arial"/>
                <w:sz w:val="18"/>
                <w:szCs w:val="18"/>
                <w:color w:val="auto"/>
              </w:rPr>
              <w:t>&gt;8.0%</w:t>
            </w: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143,504</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12.88%</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44,572</w:t>
            </w:r>
          </w:p>
        </w:tc>
        <w:tc>
          <w:tcPr>
            <w:tcW w:w="102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&gt;4.0%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151,522</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13.58%</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44,634</w:t>
            </w:r>
          </w:p>
        </w:tc>
        <w:tc>
          <w:tcPr>
            <w:tcW w:w="1020" w:type="dxa"/>
            <w:vAlign w:val="bottom"/>
            <w:gridSpan w:val="4"/>
          </w:tcPr>
          <w:p>
            <w:pPr>
              <w:jc w:val="right"/>
              <w:ind w:right="120"/>
              <w:spacing w:after="0" w:line="176" w:lineRule="exact"/>
              <w:rPr>
                <w:sz w:val="20"/>
                <w:szCs w:val="20"/>
                <w:color w:val="auto"/>
              </w:rPr>
            </w:pPr>
            <w:r>
              <w:rPr>
                <w:rFonts w:ascii="Arial" w:cs="Arial" w:eastAsia="Arial" w:hAnsi="Arial"/>
                <w:sz w:val="18"/>
                <w:szCs w:val="18"/>
                <w:color w:val="auto"/>
              </w:rPr>
              <w:t>&gt;4.0%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55,792</w:t>
            </w:r>
          </w:p>
        </w:tc>
        <w:tc>
          <w:tcPr>
            <w:tcW w:w="1120" w:type="dxa"/>
            <w:vAlign w:val="bottom"/>
            <w:gridSpan w:val="6"/>
          </w:tcPr>
          <w:p>
            <w:pPr>
              <w:jc w:val="right"/>
              <w:ind w:right="220"/>
              <w:spacing w:after="0" w:line="176" w:lineRule="exact"/>
              <w:rPr>
                <w:sz w:val="20"/>
                <w:szCs w:val="20"/>
                <w:color w:val="auto"/>
              </w:rPr>
            </w:pPr>
            <w:r>
              <w:rPr>
                <w:rFonts w:ascii="Arial" w:cs="Arial" w:eastAsia="Arial" w:hAnsi="Arial"/>
                <w:sz w:val="18"/>
                <w:szCs w:val="18"/>
                <w:color w:val="auto"/>
              </w:rPr>
              <w:t>&gt;5.0%</w:t>
            </w: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June 30, 2017: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equity tier 1 capital to risk weighted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2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123,442</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16.00%</w:t>
            </w:r>
          </w:p>
        </w:tc>
        <w:tc>
          <w:tcPr>
            <w:tcW w:w="12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34,714</w:t>
            </w:r>
          </w:p>
        </w:tc>
        <w:tc>
          <w:tcPr>
            <w:tcW w:w="1020" w:type="dxa"/>
            <w:vAlign w:val="bottom"/>
            <w:gridSpan w:val="4"/>
          </w:tcPr>
          <w:p>
            <w:pPr>
              <w:jc w:val="right"/>
              <w:ind w:right="120"/>
              <w:spacing w:after="0" w:line="176" w:lineRule="exact"/>
              <w:rPr>
                <w:sz w:val="20"/>
                <w:szCs w:val="20"/>
                <w:color w:val="auto"/>
              </w:rPr>
            </w:pPr>
            <w:r>
              <w:rPr>
                <w:rFonts w:ascii="Arial" w:cs="Arial" w:eastAsia="Arial" w:hAnsi="Arial"/>
                <w:sz w:val="18"/>
                <w:szCs w:val="18"/>
                <w:color w:val="auto"/>
              </w:rPr>
              <w:t>&gt;4.5%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138,744</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17.98%</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34,727</w:t>
            </w:r>
          </w:p>
        </w:tc>
        <w:tc>
          <w:tcPr>
            <w:tcW w:w="102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&gt;4.5%</w:t>
            </w:r>
          </w:p>
        </w:tc>
        <w:tc>
          <w:tcPr>
            <w:tcW w:w="26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50,162</w:t>
            </w:r>
          </w:p>
        </w:tc>
        <w:tc>
          <w:tcPr>
            <w:tcW w:w="1120" w:type="dxa"/>
            <w:vAlign w:val="bottom"/>
            <w:gridSpan w:val="6"/>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&gt;6.5%</w:t>
            </w:r>
          </w:p>
        </w:tc>
        <w:tc>
          <w:tcPr>
            <w:tcW w:w="11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 weighted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150,269</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19.48%</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61,715</w:t>
            </w:r>
          </w:p>
        </w:tc>
        <w:tc>
          <w:tcPr>
            <w:tcW w:w="1020" w:type="dxa"/>
            <w:vAlign w:val="bottom"/>
            <w:gridSpan w:val="4"/>
          </w:tcPr>
          <w:p>
            <w:pPr>
              <w:jc w:val="right"/>
              <w:ind w:right="120"/>
              <w:spacing w:after="0" w:line="176" w:lineRule="exact"/>
              <w:rPr>
                <w:sz w:val="20"/>
                <w:szCs w:val="20"/>
                <w:color w:val="auto"/>
              </w:rPr>
            </w:pPr>
            <w:r>
              <w:rPr>
                <w:rFonts w:ascii="Arial" w:cs="Arial" w:eastAsia="Arial" w:hAnsi="Arial"/>
                <w:sz w:val="18"/>
                <w:szCs w:val="18"/>
                <w:color w:val="auto"/>
              </w:rPr>
              <w:t>&gt;8.0%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142,447</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18.46%</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61,737</w:t>
            </w:r>
          </w:p>
        </w:tc>
        <w:tc>
          <w:tcPr>
            <w:tcW w:w="102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77,172</w:t>
            </w:r>
          </w:p>
        </w:tc>
        <w:tc>
          <w:tcPr>
            <w:tcW w:w="1120" w:type="dxa"/>
            <w:vAlign w:val="bottom"/>
            <w:gridSpan w:val="6"/>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&gt;10.0%</w:t>
            </w:r>
          </w:p>
        </w:tc>
        <w:tc>
          <w:tcPr>
            <w:tcW w:w="11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 weighted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131,958</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17.11%</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46,286</w:t>
            </w:r>
          </w:p>
        </w:tc>
        <w:tc>
          <w:tcPr>
            <w:tcW w:w="1020" w:type="dxa"/>
            <w:vAlign w:val="bottom"/>
            <w:gridSpan w:val="4"/>
          </w:tcPr>
          <w:p>
            <w:pPr>
              <w:jc w:val="right"/>
              <w:ind w:right="120"/>
              <w:spacing w:after="0" w:line="176" w:lineRule="exact"/>
              <w:rPr>
                <w:sz w:val="20"/>
                <w:szCs w:val="20"/>
                <w:color w:val="auto"/>
              </w:rPr>
            </w:pPr>
            <w:r>
              <w:rPr>
                <w:rFonts w:ascii="Arial" w:cs="Arial" w:eastAsia="Arial" w:hAnsi="Arial"/>
                <w:sz w:val="18"/>
                <w:szCs w:val="18"/>
                <w:color w:val="auto"/>
              </w:rPr>
              <w:t>&gt;6.0%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138,744</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17.98%</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46,303</w:t>
            </w:r>
          </w:p>
        </w:tc>
        <w:tc>
          <w:tcPr>
            <w:tcW w:w="102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61,737</w:t>
            </w:r>
          </w:p>
        </w:tc>
        <w:tc>
          <w:tcPr>
            <w:tcW w:w="1120" w:type="dxa"/>
            <w:vAlign w:val="bottom"/>
            <w:gridSpan w:val="6"/>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&gt;8.0%</w:t>
            </w:r>
          </w:p>
        </w:tc>
        <w:tc>
          <w:tcPr>
            <w:tcW w:w="11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131,958</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12.81%</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41,215</w:t>
            </w:r>
          </w:p>
        </w:tc>
        <w:tc>
          <w:tcPr>
            <w:tcW w:w="1020" w:type="dxa"/>
            <w:vAlign w:val="bottom"/>
            <w:gridSpan w:val="4"/>
          </w:tcPr>
          <w:p>
            <w:pPr>
              <w:jc w:val="right"/>
              <w:ind w:right="120"/>
              <w:spacing w:after="0" w:line="176" w:lineRule="exact"/>
              <w:rPr>
                <w:sz w:val="20"/>
                <w:szCs w:val="20"/>
                <w:color w:val="auto"/>
              </w:rPr>
            </w:pPr>
            <w:r>
              <w:rPr>
                <w:rFonts w:ascii="Arial" w:cs="Arial" w:eastAsia="Arial" w:hAnsi="Arial"/>
                <w:sz w:val="18"/>
                <w:szCs w:val="18"/>
                <w:color w:val="auto"/>
              </w:rPr>
              <w:t>&gt;4.0%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138,744</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13.46%</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41,238</w:t>
            </w:r>
          </w:p>
        </w:tc>
        <w:tc>
          <w:tcPr>
            <w:tcW w:w="102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&gt;4.0%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51,547</w:t>
            </w:r>
          </w:p>
        </w:tc>
        <w:tc>
          <w:tcPr>
            <w:tcW w:w="1120" w:type="dxa"/>
            <w:vAlign w:val="bottom"/>
            <w:gridSpan w:val="6"/>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&gt;5.0%</w:t>
            </w:r>
          </w:p>
        </w:tc>
        <w:tc>
          <w:tcPr>
            <w:tcW w:w="11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60"/>
        <w:spacing w:after="0" w:line="312" w:lineRule="auto"/>
        <w:rPr>
          <w:sz w:val="20"/>
          <w:szCs w:val="20"/>
          <w:color w:val="auto"/>
        </w:rPr>
      </w:pPr>
      <w:r>
        <w:rPr>
          <w:rFonts w:ascii="Arial" w:cs="Arial" w:eastAsia="Arial" w:hAnsi="Arial"/>
          <w:sz w:val="16"/>
          <w:szCs w:val="16"/>
          <w:color w:val="auto"/>
        </w:rPr>
        <w:t>In addition to the minimum regulatory capital required for capital adequacy purposes included in the table above, the Company is required to maintain a capital conservation buffer, in the form of common equity, in order to avoid restrictions on capital distributions and discretionary bonuses. The required amount of the capital conservation buffer was 1.875% on January 1, 2018 and will increase by 0.625% until it reaches 2.5% on January 1, 2019.</w:t>
      </w:r>
    </w:p>
    <w:p>
      <w:pPr>
        <w:spacing w:after="0" w:line="14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Bank may not declare or pay a cash dividend on, or repurchase, any of its capital stock from the Company if the effect thereof would cause the capital of the Bank to be reduced below the capital requirements imposed by the regulatory authorities or if such amount exceeds the otherwise allowable amount under FRB rules.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connection with the merger, as part of the regulatory approval process, the Company and the Bank made certain commitments to the Federal Reserve, the most significant of which are (i) to maintain a Tier 1 leverage ratio of at least 10%, (ii) to maintain a total capital ratio of at least 15%, (iii) to limit purchased loans to 40% of total loans, (iv) to fund 100% of the Company's loans with core deposits (defined as non-maturity deposits and non-brokered insured time deposits), and (v) to hold non-owner occupied commercial real estate loans to within 300% of total capital. The Company and the Bank are currently in compliance with all commitments to the Federal Reserve.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25"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On October 21, 2016, the Board of Directors voted to amend the existing stock repurchase program to authorize the Company to purchase an additional 500,000 shares of its common stock, representing 5.7% of the Company’s outstanding common shares. Under the existing program, implemented in April 2014, the Company has purchased 1,970,000 shares through October 25, 2016 and no shares remained available for repurchase under the program on that date, prior to the 500,000 share increase in the repurchase plan. The amended stock repurchase program will expire on October 21, 2018.</w:t>
      </w:r>
    </w:p>
    <w:p>
      <w:pPr>
        <w:sectPr>
          <w:pgSz w:w="11900" w:h="16838" w:orient="portrait"/>
          <w:cols w:equalWidth="0" w:num="1">
            <w:col w:w="11420"/>
          </w:cols>
          <w:pgMar w:left="240" w:top="118" w:right="239" w:bottom="100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000" w:gutter="0" w:footer="0" w:header="0"/>
          <w:type w:val="continuous"/>
        </w:sectPr>
      </w:pPr>
    </w:p>
    <w:bookmarkStart w:id="39" w:name="page40"/>
    <w:bookmarkEnd w:id="3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Financial Instruments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a party to financial instruments with off-balance sheet risk in the normal course of business to meet the financing needs of its customers. These financial instruments include commitments to extend credit, unused lines of credit, standby letters of credit, and commitments to fund investments. These instruments involve, to varying degrees, elements of credit and interest-rate risk in excess of the amounts recognized in the condensed consolidated balance sheet. The contract or notional amounts of these instruments reflect the extent of the Company’s involvement in particular classes of financial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See Part I. Item I. “Notes to Unaudited Consolidated Financial Statements – Note 9: Commitments and Contingencies” for further discussion.</w:t>
      </w:r>
    </w:p>
    <w:p>
      <w:pPr>
        <w:spacing w:after="0" w:line="23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240" w:top="118" w:right="57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income totaled $3.9 million for the quarter ended March 31, 2018, an increase of $471 thousand from $3.5 million for the quarter ended March 31, 2017.</w:t>
      </w:r>
    </w:p>
    <w:p>
      <w:pPr>
        <w:spacing w:after="0" w:line="24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table details the “Total Return” on purchased loans. When compared to the three months ended March 31, 2017, transactional income increased by $312 thousand. The total return on purchased loans for the three months ended March 31, 2018 was 12.16%. The increase over the prior comparable period was primarily due to the gain on loan sales in the three months ended March 31, 2018. When compared to the nine months ended March 31, 2017, transactional income increased by $742 thousand. The total return on purchased loans for the nine months ended March 31, 2018 was 11.82%. This increase over the prior comparable period was primarily due to the gain on loan sales and higher accelerated accretion in the nine months ended March 31, 2018. The following table details the total return on purchased loans:</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8"/>
                <w:szCs w:val="18"/>
                <w:color w:val="auto"/>
                <w:w w:val="89"/>
              </w:rPr>
              <w:t>Total Return on Purchased Loans</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rPr>
              <w:t>Three Months Ended March 31,</w:t>
            </w:r>
          </w:p>
        </w:tc>
        <w:tc>
          <w:tcPr>
            <w:tcW w:w="1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2018</w:t>
            </w:r>
          </w:p>
        </w:tc>
        <w:tc>
          <w:tcPr>
            <w:tcW w:w="11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2017</w:t>
            </w:r>
          </w:p>
        </w:tc>
        <w:tc>
          <w:tcPr>
            <w:tcW w:w="1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right"/>
              <w:ind w:right="660"/>
              <w:spacing w:after="0"/>
              <w:rPr>
                <w:sz w:val="20"/>
                <w:szCs w:val="20"/>
                <w:color w:val="auto"/>
              </w:rPr>
            </w:pPr>
            <w:r>
              <w:rPr>
                <w:rFonts w:ascii="Arial" w:cs="Arial" w:eastAsia="Arial" w:hAnsi="Arial"/>
                <w:sz w:val="18"/>
                <w:szCs w:val="18"/>
                <w:color w:val="auto"/>
              </w:rPr>
              <w:t>Income</w:t>
            </w:r>
          </w:p>
        </w:tc>
        <w:tc>
          <w:tcPr>
            <w:tcW w:w="1120" w:type="dxa"/>
            <w:vAlign w:val="bottom"/>
          </w:tcPr>
          <w:p>
            <w:pPr>
              <w:ind w:left="120"/>
              <w:spacing w:after="0"/>
              <w:rPr>
                <w:sz w:val="20"/>
                <w:szCs w:val="20"/>
                <w:color w:val="auto"/>
              </w:rPr>
            </w:pPr>
            <w:r>
              <w:rPr>
                <w:rFonts w:ascii="Arial" w:cs="Arial" w:eastAsia="Arial" w:hAnsi="Arial"/>
                <w:sz w:val="18"/>
                <w:szCs w:val="18"/>
                <w:color w:val="auto"/>
              </w:rPr>
              <w:t>Return (1)</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71"/>
              </w:rPr>
              <w:t>in</w:t>
            </w:r>
          </w:p>
        </w:tc>
        <w:tc>
          <w:tcPr>
            <w:tcW w:w="240" w:type="dxa"/>
            <w:vAlign w:val="bottom"/>
          </w:tcPr>
          <w:p>
            <w:pPr>
              <w:spacing w:after="0"/>
              <w:rPr>
                <w:sz w:val="18"/>
                <w:szCs w:val="18"/>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8"/>
                <w:szCs w:val="18"/>
                <w:color w:val="auto"/>
              </w:rPr>
              <w:t>Income</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Return (1)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40" w:type="dxa"/>
            <w:vAlign w:val="bottom"/>
            <w:vMerge w:val="continue"/>
          </w:tcPr>
          <w:p>
            <w:pPr>
              <w:spacing w:after="0"/>
              <w:rPr>
                <w:sz w:val="18"/>
                <w:szCs w:val="18"/>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4,914</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Transactional income: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loan sales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0.87%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Gain on sale of real estate owned</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Accelerated accretion and loan fees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2,270</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transactional 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0"/>
              <w:spacing w:after="0" w:line="210" w:lineRule="exact"/>
              <w:rPr>
                <w:sz w:val="20"/>
                <w:szCs w:val="20"/>
                <w:color w:val="auto"/>
              </w:rPr>
            </w:pPr>
            <w:r>
              <w:rPr>
                <w:rFonts w:ascii="Arial" w:cs="Arial" w:eastAsia="Arial" w:hAnsi="Arial"/>
                <w:sz w:val="14"/>
                <w:szCs w:val="14"/>
                <w:color w:val="auto"/>
              </w:rPr>
              <w:t>12.16</w:t>
            </w:r>
            <w:r>
              <w:rPr>
                <w:rFonts w:ascii="Arial" w:cs="Arial" w:eastAsia="Arial" w:hAnsi="Arial"/>
                <w:sz w:val="24"/>
                <w:szCs w:val="24"/>
                <w:color w:val="auto"/>
                <w:vertAlign w:val="superscript"/>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7,220</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line="210" w:lineRule="exact"/>
              <w:rPr>
                <w:sz w:val="20"/>
                <w:szCs w:val="20"/>
                <w:color w:val="auto"/>
              </w:rPr>
            </w:pPr>
            <w:r>
              <w:rPr>
                <w:rFonts w:ascii="Arial" w:cs="Arial" w:eastAsia="Arial" w:hAnsi="Arial"/>
                <w:sz w:val="14"/>
                <w:szCs w:val="14"/>
                <w:color w:val="auto"/>
              </w:rPr>
              <w:t>11.95</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8"/>
                <w:szCs w:val="18"/>
                <w:color w:val="auto"/>
                <w:w w:val="92"/>
              </w:rPr>
              <w:t>Nine Months Ended March 31,</w:t>
            </w: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2018</w:t>
            </w:r>
          </w:p>
        </w:tc>
        <w:tc>
          <w:tcPr>
            <w:tcW w:w="11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2017</w:t>
            </w:r>
          </w:p>
        </w:tc>
        <w:tc>
          <w:tcPr>
            <w:tcW w:w="1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right"/>
              <w:ind w:right="660"/>
              <w:spacing w:after="0"/>
              <w:rPr>
                <w:sz w:val="20"/>
                <w:szCs w:val="20"/>
                <w:color w:val="auto"/>
              </w:rPr>
            </w:pPr>
            <w:r>
              <w:rPr>
                <w:rFonts w:ascii="Arial" w:cs="Arial" w:eastAsia="Arial" w:hAnsi="Arial"/>
                <w:sz w:val="18"/>
                <w:szCs w:val="18"/>
                <w:color w:val="auto"/>
              </w:rPr>
              <w:t>Income</w:t>
            </w:r>
          </w:p>
        </w:tc>
        <w:tc>
          <w:tcPr>
            <w:tcW w:w="1120" w:type="dxa"/>
            <w:vAlign w:val="bottom"/>
          </w:tcPr>
          <w:p>
            <w:pPr>
              <w:ind w:left="120"/>
              <w:spacing w:after="0"/>
              <w:rPr>
                <w:sz w:val="20"/>
                <w:szCs w:val="20"/>
                <w:color w:val="auto"/>
              </w:rPr>
            </w:pPr>
            <w:r>
              <w:rPr>
                <w:rFonts w:ascii="Arial" w:cs="Arial" w:eastAsia="Arial" w:hAnsi="Arial"/>
                <w:sz w:val="18"/>
                <w:szCs w:val="18"/>
                <w:color w:val="auto"/>
              </w:rPr>
              <w:t>Return (1)</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71"/>
              </w:rPr>
              <w:t>in</w:t>
            </w:r>
          </w:p>
        </w:tc>
        <w:tc>
          <w:tcPr>
            <w:tcW w:w="240" w:type="dxa"/>
            <w:vAlign w:val="bottom"/>
          </w:tcPr>
          <w:p>
            <w:pPr>
              <w:spacing w:after="0"/>
              <w:rPr>
                <w:sz w:val="18"/>
                <w:szCs w:val="18"/>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8"/>
                <w:szCs w:val="18"/>
                <w:color w:val="auto"/>
              </w:rPr>
              <w:t>Income</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Return (1)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40" w:type="dxa"/>
            <w:vAlign w:val="bottom"/>
            <w:vMerge w:val="continue"/>
          </w:tcPr>
          <w:p>
            <w:pPr>
              <w:spacing w:after="0"/>
              <w:rPr>
                <w:sz w:val="18"/>
                <w:szCs w:val="18"/>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14,383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Transactional income: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loan sales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Gain on sale of real estate owned</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Accelerated accretion and loan fees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3.83%</w:t>
            </w: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6,542</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transactional 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21,048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0"/>
              <w:spacing w:after="0" w:line="210" w:lineRule="exact"/>
              <w:rPr>
                <w:sz w:val="20"/>
                <w:szCs w:val="20"/>
                <w:color w:val="auto"/>
              </w:rPr>
            </w:pPr>
            <w:r>
              <w:rPr>
                <w:rFonts w:ascii="Arial" w:cs="Arial" w:eastAsia="Arial" w:hAnsi="Arial"/>
                <w:sz w:val="14"/>
                <w:szCs w:val="14"/>
                <w:color w:val="auto"/>
              </w:rPr>
              <w:t>11.82</w:t>
            </w:r>
            <w:r>
              <w:rPr>
                <w:rFonts w:ascii="Arial" w:cs="Arial" w:eastAsia="Arial" w:hAnsi="Arial"/>
                <w:sz w:val="24"/>
                <w:szCs w:val="24"/>
                <w:color w:val="auto"/>
                <w:vertAlign w:val="superscript"/>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20,980</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line="210" w:lineRule="exact"/>
              <w:rPr>
                <w:sz w:val="20"/>
                <w:szCs w:val="20"/>
                <w:color w:val="auto"/>
              </w:rPr>
            </w:pPr>
            <w:r>
              <w:rPr>
                <w:rFonts w:ascii="Arial" w:cs="Arial" w:eastAsia="Arial" w:hAnsi="Arial"/>
                <w:sz w:val="14"/>
                <w:szCs w:val="14"/>
                <w:color w:val="auto"/>
              </w:rPr>
              <w:t>11.80</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980" w:right="20" w:hanging="324"/>
        <w:spacing w:after="0" w:line="259"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gains on real estate owned and other noninterest income recorded during the period divided by the average invested balance, which includes loans held for sale, on an annualized basis. The total return does not include the effect of purchased loan charge-offs or recoveries in the quarter. Total return is considered a non-GAAP financial measure.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2018 and 2017</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Net interest and dividend income before provision for loan losses increased by $675 thousand for the quarter ended March 31, 2018, compared to the quarter ended March 31, 2017. The increase is primarily due to higher average balances in the loan portfolio. These increases were partially offset by higher funding costs and higher average deposit balances.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gridSpan w:val="13"/>
          </w:tcPr>
          <w:p>
            <w:pPr>
              <w:spacing w:after="0"/>
              <w:rPr>
                <w:sz w:val="20"/>
                <w:szCs w:val="20"/>
                <w:color w:val="auto"/>
              </w:rPr>
            </w:pPr>
            <w:r>
              <w:rPr>
                <w:rFonts w:ascii="Arial" w:cs="Arial" w:eastAsia="Arial" w:hAnsi="Arial"/>
                <w:sz w:val="18"/>
                <w:szCs w:val="18"/>
                <w:color w:val="auto"/>
              </w:rPr>
              <w:t>The following table summarizes interest income and related yields recognized on the loan portfolios: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1"/>
              </w:rPr>
              <w:t>Interest Income and Yield on Loans</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8"/>
                <w:szCs w:val="18"/>
                <w:color w:val="auto"/>
                <w:w w:val="90"/>
              </w:rPr>
              <w:t>Three Months Ended March 31,</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2018</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2017</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140"/>
              <w:spacing w:after="0" w:line="195" w:lineRule="exact"/>
              <w:rPr>
                <w:sz w:val="20"/>
                <w:szCs w:val="20"/>
                <w:color w:val="auto"/>
              </w:rPr>
            </w:pPr>
            <w:r>
              <w:rPr>
                <w:rFonts w:ascii="Arial" w:cs="Arial" w:eastAsia="Arial" w:hAnsi="Arial"/>
                <w:sz w:val="18"/>
                <w:szCs w:val="18"/>
                <w:color w:val="auto"/>
              </w:rPr>
              <w:t>Average</w:t>
            </w:r>
          </w:p>
        </w:tc>
        <w:tc>
          <w:tcPr>
            <w:tcW w:w="200" w:type="dxa"/>
            <w:vAlign w:val="bottom"/>
          </w:tcPr>
          <w:p>
            <w:pPr>
              <w:spacing w:after="0"/>
              <w:rPr>
                <w:sz w:val="16"/>
                <w:szCs w:val="16"/>
                <w:color w:val="auto"/>
              </w:rPr>
            </w:pPr>
          </w:p>
        </w:tc>
        <w:tc>
          <w:tcPr>
            <w:tcW w:w="94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89"/>
              </w:rPr>
              <w:t>Interest</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140"/>
              <w:spacing w:after="0" w:line="195" w:lineRule="exact"/>
              <w:rPr>
                <w:sz w:val="20"/>
                <w:szCs w:val="20"/>
                <w:color w:val="auto"/>
              </w:rPr>
            </w:pPr>
            <w:r>
              <w:rPr>
                <w:rFonts w:ascii="Arial" w:cs="Arial" w:eastAsia="Arial" w:hAnsi="Arial"/>
                <w:sz w:val="18"/>
                <w:szCs w:val="18"/>
                <w:color w:val="auto"/>
              </w:rPr>
              <w:t>Average</w:t>
            </w:r>
          </w:p>
        </w:tc>
        <w:tc>
          <w:tcPr>
            <w:tcW w:w="200" w:type="dxa"/>
            <w:vAlign w:val="bottom"/>
          </w:tcPr>
          <w:p>
            <w:pPr>
              <w:spacing w:after="0"/>
              <w:rPr>
                <w:sz w:val="16"/>
                <w:szCs w:val="16"/>
                <w:color w:val="auto"/>
              </w:rPr>
            </w:pPr>
          </w:p>
        </w:tc>
        <w:tc>
          <w:tcPr>
            <w:tcW w:w="112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89"/>
              </w:rPr>
              <w:t>Interest</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Balance (1)</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Income</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Yield</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Balance (1)</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1"/>
              </w:rPr>
              <w:t>Income</w:t>
            </w:r>
          </w:p>
        </w:tc>
        <w:tc>
          <w:tcPr>
            <w:tcW w:w="200" w:type="dxa"/>
            <w:vAlign w:val="bottom"/>
          </w:tcPr>
          <w:p>
            <w:pPr>
              <w:spacing w:after="0"/>
              <w:rPr>
                <w:sz w:val="20"/>
                <w:szCs w:val="20"/>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Yield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gridSpan w:val="5"/>
          </w:tcPr>
          <w:p>
            <w:pPr>
              <w:jc w:val="center"/>
              <w:ind w:right="20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136,824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560" w:type="dxa"/>
            <w:vAlign w:val="bottom"/>
            <w:tcBorders>
              <w:left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188,748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SBA</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53,069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1,017</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44,538</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678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LASG: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360" w:type="dxa"/>
            <w:vAlign w:val="bottom"/>
          </w:tcPr>
          <w:p>
            <w:pPr>
              <w:ind w:left="160"/>
              <w:spacing w:after="0"/>
              <w:rPr>
                <w:sz w:val="20"/>
                <w:szCs w:val="20"/>
                <w:color w:val="auto"/>
              </w:rPr>
            </w:pPr>
            <w:r>
              <w:rPr>
                <w:rFonts w:ascii="Arial" w:cs="Arial" w:eastAsia="Arial" w:hAnsi="Arial"/>
                <w:sz w:val="18"/>
                <w:szCs w:val="18"/>
                <w:color w:val="auto"/>
              </w:rPr>
              <w:t>Originated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351,271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5,916</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256,778</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4,075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241,793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w:t>
            </w:r>
          </w:p>
        </w:tc>
        <w:tc>
          <w:tcPr>
            <w:tcW w:w="1560" w:type="dxa"/>
            <w:vAlign w:val="bottom"/>
            <w:tcBorders>
              <w:left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11.29%</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245,135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360" w:type="dxa"/>
            <w:vAlign w:val="bottom"/>
          </w:tcPr>
          <w:p>
            <w:pPr>
              <w:ind w:left="160"/>
              <w:spacing w:after="0" w:line="201" w:lineRule="exact"/>
              <w:rPr>
                <w:sz w:val="20"/>
                <w:szCs w:val="20"/>
                <w:color w:val="auto"/>
              </w:rPr>
            </w:pPr>
            <w:r>
              <w:rPr>
                <w:rFonts w:ascii="Arial" w:cs="Arial" w:eastAsia="Arial" w:hAnsi="Arial"/>
                <w:sz w:val="18"/>
                <w:szCs w:val="18"/>
                <w:color w:val="auto"/>
              </w:rPr>
              <w:t>Secured Loans to Broker-</w:t>
            </w:r>
          </w:p>
        </w:tc>
        <w:tc>
          <w:tcPr>
            <w:tcW w:w="1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27,933</w:t>
            </w:r>
          </w:p>
        </w:tc>
        <w:tc>
          <w:tcPr>
            <w:tcW w:w="18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78</w:t>
            </w:r>
          </w:p>
        </w:tc>
        <w:tc>
          <w:tcPr>
            <w:tcW w:w="12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2360" w:type="dxa"/>
            <w:vAlign w:val="bottom"/>
          </w:tcPr>
          <w:p>
            <w:pPr>
              <w:ind w:left="160"/>
              <w:spacing w:after="0"/>
              <w:rPr>
                <w:sz w:val="20"/>
                <w:szCs w:val="20"/>
                <w:color w:val="auto"/>
              </w:rPr>
            </w:pPr>
            <w:r>
              <w:rPr>
                <w:rFonts w:ascii="Arial" w:cs="Arial" w:eastAsia="Arial" w:hAnsi="Arial"/>
                <w:sz w:val="18"/>
                <w:szCs w:val="18"/>
                <w:color w:val="auto"/>
              </w:rPr>
              <w:t>Dealers</w:t>
            </w: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2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LASG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593,064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12,648</w:t>
            </w:r>
          </w:p>
        </w:tc>
        <w:tc>
          <w:tcPr>
            <w:tcW w:w="1560" w:type="dxa"/>
            <w:vAlign w:val="bottom"/>
            <w:tcBorders>
              <w:left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529,846</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11,337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2360" w:type="dxa"/>
            <w:vAlign w:val="bottom"/>
          </w:tcPr>
          <w:p>
            <w:pPr>
              <w:ind w:left="48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782,957</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15,408</w:t>
            </w:r>
          </w:p>
        </w:tc>
        <w:tc>
          <w:tcPr>
            <w:tcW w:w="1560" w:type="dxa"/>
            <w:vAlign w:val="bottom"/>
            <w:gridSpan w:val="3"/>
          </w:tcPr>
          <w:p>
            <w:pPr>
              <w:jc w:val="right"/>
              <w:ind w:right="100"/>
              <w:spacing w:after="0" w:line="210" w:lineRule="exact"/>
              <w:rPr>
                <w:sz w:val="20"/>
                <w:szCs w:val="20"/>
                <w:color w:val="auto"/>
              </w:rPr>
            </w:pPr>
            <w:r>
              <w:rPr>
                <w:rFonts w:ascii="Arial" w:cs="Arial" w:eastAsia="Arial" w:hAnsi="Arial"/>
                <w:sz w:val="14"/>
                <w:szCs w:val="14"/>
                <w:color w:val="auto"/>
              </w:rPr>
              <w:t>7.98</w:t>
            </w:r>
            <w:r>
              <w:rPr>
                <w:rFonts w:ascii="Arial" w:cs="Arial" w:eastAsia="Arial" w:hAnsi="Arial"/>
                <w:sz w:val="24"/>
                <w:szCs w:val="24"/>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763,132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14,417</w:t>
            </w:r>
          </w:p>
        </w:tc>
        <w:tc>
          <w:tcPr>
            <w:tcW w:w="1280" w:type="dxa"/>
            <w:vAlign w:val="bottom"/>
            <w:gridSpan w:val="2"/>
          </w:tcPr>
          <w:p>
            <w:pPr>
              <w:jc w:val="right"/>
              <w:ind w:right="20"/>
              <w:spacing w:after="0" w:line="210" w:lineRule="exact"/>
              <w:rPr>
                <w:sz w:val="20"/>
                <w:szCs w:val="20"/>
                <w:color w:val="auto"/>
              </w:rPr>
            </w:pPr>
            <w:r>
              <w:rPr>
                <w:rFonts w:ascii="Arial" w:cs="Arial" w:eastAsia="Arial" w:hAnsi="Arial"/>
                <w:sz w:val="14"/>
                <w:szCs w:val="14"/>
                <w:color w:val="auto"/>
              </w:rPr>
              <w:t>7.66</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  Includes loans held for sale.</w:t>
      </w:r>
    </w:p>
    <w:p>
      <w:pPr>
        <w:spacing w:after="0" w:line="25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Company’s interest rate spread decreased by 21 basis points and net interest margin decreased by 17 basis points for the quarter ended March 31, 2018 compared to the quarter ended March 31, 2017. The decrease was principally due to higher deposit rates and average deposit balances.</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sets forth the average balance sheets, interest income and interest expense, and average yields and costs for the three months ended March 31, 2018 and 2017.</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8"/>
                <w:szCs w:val="18"/>
                <w:color w:val="auto"/>
                <w:w w:val="91"/>
              </w:rPr>
              <w:t>Three Months Ended March 31,</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2018</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2017</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89"/>
              </w:rPr>
              <w:t>Interest</w:t>
            </w:r>
          </w:p>
        </w:tc>
        <w:tc>
          <w:tcPr>
            <w:tcW w:w="1080" w:type="dxa"/>
            <w:vAlign w:val="bottom"/>
          </w:tcPr>
          <w:p>
            <w:pPr>
              <w:ind w:left="240"/>
              <w:spacing w:after="0" w:line="195" w:lineRule="exact"/>
              <w:rPr>
                <w:sz w:val="20"/>
                <w:szCs w:val="20"/>
                <w:color w:val="auto"/>
              </w:rPr>
            </w:pPr>
            <w:r>
              <w:rPr>
                <w:rFonts w:ascii="Arial" w:cs="Arial" w:eastAsia="Arial" w:hAnsi="Arial"/>
                <w:sz w:val="18"/>
                <w:szCs w:val="18"/>
                <w:color w:val="auto"/>
              </w:rPr>
              <w:t>Average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9"/>
              </w:rPr>
              <w:t>Interest</w:t>
            </w:r>
          </w:p>
        </w:tc>
        <w:tc>
          <w:tcPr>
            <w:tcW w:w="1080" w:type="dxa"/>
            <w:vAlign w:val="bottom"/>
          </w:tcPr>
          <w:p>
            <w:pPr>
              <w:ind w:left="240"/>
              <w:spacing w:after="0" w:line="195" w:lineRule="exact"/>
              <w:rPr>
                <w:sz w:val="20"/>
                <w:szCs w:val="20"/>
                <w:color w:val="auto"/>
              </w:rPr>
            </w:pPr>
            <w:r>
              <w:rPr>
                <w:rFonts w:ascii="Arial" w:cs="Arial" w:eastAsia="Arial" w:hAnsi="Arial"/>
                <w:sz w:val="18"/>
                <w:szCs w:val="18"/>
                <w:color w:val="auto"/>
              </w:rPr>
              <w:t>Average</w:t>
            </w:r>
          </w:p>
        </w:tc>
        <w:tc>
          <w:tcPr>
            <w:tcW w:w="100" w:type="dxa"/>
            <w:vAlign w:val="bottom"/>
          </w:tcPr>
          <w:p>
            <w:pPr>
              <w:spacing w:after="0"/>
              <w:rPr>
                <w:sz w:val="16"/>
                <w:szCs w:val="16"/>
                <w:color w:val="auto"/>
              </w:rPr>
            </w:pPr>
          </w:p>
        </w:tc>
      </w:tr>
      <w:tr>
        <w:trPr>
          <w:trHeight w:val="216"/>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Average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Income/</w:t>
            </w:r>
          </w:p>
        </w:tc>
        <w:tc>
          <w:tcPr>
            <w:tcW w:w="1080" w:type="dxa"/>
            <w:vAlign w:val="bottom"/>
          </w:tcPr>
          <w:p>
            <w:pPr>
              <w:ind w:left="320"/>
              <w:spacing w:after="0"/>
              <w:rPr>
                <w:sz w:val="20"/>
                <w:szCs w:val="20"/>
                <w:color w:val="auto"/>
              </w:rPr>
            </w:pPr>
            <w:r>
              <w:rPr>
                <w:rFonts w:ascii="Arial" w:cs="Arial" w:eastAsia="Arial" w:hAnsi="Arial"/>
                <w:sz w:val="18"/>
                <w:szCs w:val="18"/>
                <w:color w:val="auto"/>
              </w:rPr>
              <w:t>Yield/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Average</w:t>
            </w:r>
          </w:p>
        </w:tc>
        <w:tc>
          <w:tcPr>
            <w:tcW w:w="16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Income/</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Yield/</w:t>
            </w:r>
          </w:p>
        </w:tc>
      </w:tr>
      <w:tr>
        <w:trPr>
          <w:trHeight w:val="230"/>
        </w:trPr>
        <w:tc>
          <w:tcPr>
            <w:tcW w:w="3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Expense</w:t>
            </w:r>
          </w:p>
        </w:tc>
        <w:tc>
          <w:tcPr>
            <w:tcW w:w="1080" w:type="dxa"/>
            <w:vAlign w:val="bottom"/>
          </w:tcPr>
          <w:p>
            <w:pPr>
              <w:ind w:left="380"/>
              <w:spacing w:after="0"/>
              <w:rPr>
                <w:sz w:val="20"/>
                <w:szCs w:val="20"/>
                <w:color w:val="auto"/>
              </w:rPr>
            </w:pPr>
            <w:r>
              <w:rPr>
                <w:rFonts w:ascii="Arial" w:cs="Arial" w:eastAsia="Arial" w:hAnsi="Arial"/>
                <w:sz w:val="18"/>
                <w:szCs w:val="18"/>
                <w:color w:val="auto"/>
              </w:rPr>
              <w:t>Rate</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Balance</w:t>
            </w:r>
          </w:p>
        </w:tc>
        <w:tc>
          <w:tcPr>
            <w:tcW w:w="16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Expense</w:t>
            </w:r>
          </w:p>
        </w:tc>
        <w:tc>
          <w:tcPr>
            <w:tcW w:w="1180" w:type="dxa"/>
            <w:vAlign w:val="bottom"/>
            <w:gridSpan w:val="2"/>
          </w:tcPr>
          <w:p>
            <w:pPr>
              <w:ind w:left="380"/>
              <w:spacing w:after="0"/>
              <w:rPr>
                <w:sz w:val="20"/>
                <w:szCs w:val="20"/>
                <w:color w:val="auto"/>
              </w:rPr>
            </w:pPr>
            <w:r>
              <w:rPr>
                <w:rFonts w:ascii="Arial" w:cs="Arial" w:eastAsia="Arial" w:hAnsi="Arial"/>
                <w:sz w:val="18"/>
                <w:szCs w:val="18"/>
                <w:color w:val="auto"/>
              </w:rPr>
              <w:t>Rate</w:t>
            </w: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securities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91,630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w:t>
            </w: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1.24%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96,868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ind w:left="320"/>
              <w:spacing w:after="0"/>
              <w:rPr>
                <w:sz w:val="20"/>
                <w:szCs w:val="20"/>
                <w:color w:val="auto"/>
              </w:rPr>
            </w:pPr>
            <w:r>
              <w:rPr>
                <w:rFonts w:ascii="Arial" w:cs="Arial" w:eastAsia="Arial" w:hAnsi="Arial"/>
                <w:sz w:val="18"/>
                <w:szCs w:val="18"/>
                <w:color w:val="auto"/>
              </w:rPr>
              <w:t>Loans (1) (2) (3)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782,957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15,408</w:t>
            </w:r>
          </w:p>
        </w:tc>
        <w:tc>
          <w:tcPr>
            <w:tcW w:w="1080" w:type="dxa"/>
            <w:vAlign w:val="bottom"/>
          </w:tcPr>
          <w:p>
            <w:pPr>
              <w:ind w:left="360"/>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763,132</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14,435</w:t>
            </w:r>
          </w:p>
        </w:tc>
        <w:tc>
          <w:tcPr>
            <w:tcW w:w="1080" w:type="dxa"/>
            <w:vAlign w:val="bottom"/>
          </w:tcPr>
          <w:p>
            <w:pPr>
              <w:ind w:left="36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 Home Loan Bank stock</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ind w:left="320"/>
              <w:spacing w:after="0"/>
              <w:rPr>
                <w:sz w:val="20"/>
                <w:szCs w:val="20"/>
                <w:color w:val="auto"/>
              </w:rPr>
            </w:pPr>
            <w:r>
              <w:rPr>
                <w:rFonts w:ascii="Arial" w:cs="Arial" w:eastAsia="Arial" w:hAnsi="Arial"/>
                <w:sz w:val="18"/>
                <w:szCs w:val="18"/>
                <w:color w:val="auto"/>
              </w:rPr>
              <w:t>Short-term investments (4)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202,283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772</w:t>
            </w:r>
          </w:p>
        </w:tc>
        <w:tc>
          <w:tcPr>
            <w:tcW w:w="1080" w:type="dxa"/>
            <w:vAlign w:val="bottom"/>
          </w:tcPr>
          <w:p>
            <w:pPr>
              <w:ind w:left="360"/>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128,082</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1080" w:type="dxa"/>
            <w:vAlign w:val="bottom"/>
          </w:tcPr>
          <w:p>
            <w:pPr>
              <w:ind w:left="360"/>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1,078,628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16,483</w:t>
            </w: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990,020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14,978</w:t>
            </w: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8"/>
                <w:szCs w:val="18"/>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2,875</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31,606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1,114,039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1,024,501</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Liabilities &amp; Shareholders' Equity:</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ind w:left="320"/>
              <w:spacing w:after="0"/>
              <w:rPr>
                <w:sz w:val="20"/>
                <w:szCs w:val="20"/>
                <w:color w:val="auto"/>
              </w:rPr>
            </w:pPr>
            <w:r>
              <w:rPr>
                <w:rFonts w:ascii="Arial" w:cs="Arial" w:eastAsia="Arial" w:hAnsi="Arial"/>
                <w:sz w:val="18"/>
                <w:szCs w:val="18"/>
                <w:color w:val="auto"/>
              </w:rPr>
              <w:t>NOW accounts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68,716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1080" w:type="dxa"/>
            <w:vAlign w:val="bottom"/>
          </w:tcPr>
          <w:p>
            <w:pPr>
              <w:ind w:left="360"/>
              <w:spacing w:after="0"/>
              <w:rPr>
                <w:sz w:val="20"/>
                <w:szCs w:val="20"/>
                <w:color w:val="auto"/>
              </w:rPr>
            </w:pPr>
            <w:r>
              <w:rPr>
                <w:rFonts w:ascii="Arial" w:cs="Arial" w:eastAsia="Arial" w:hAnsi="Arial"/>
                <w:sz w:val="18"/>
                <w:szCs w:val="18"/>
                <w:color w:val="auto"/>
              </w:rPr>
              <w:t>0.29%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69,773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accounts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1,437</w:t>
            </w: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338,662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w:t>
            </w: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ind w:left="320"/>
              <w:spacing w:after="0"/>
              <w:rPr>
                <w:sz w:val="20"/>
                <w:szCs w:val="20"/>
                <w:color w:val="auto"/>
              </w:rPr>
            </w:pPr>
            <w:r>
              <w:rPr>
                <w:rFonts w:ascii="Arial" w:cs="Arial" w:eastAsia="Arial" w:hAnsi="Arial"/>
                <w:sz w:val="18"/>
                <w:szCs w:val="18"/>
                <w:color w:val="auto"/>
              </w:rPr>
              <w:t>Savings accounts</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38,369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080" w:type="dxa"/>
            <w:vAlign w:val="bottom"/>
          </w:tcPr>
          <w:p>
            <w:pPr>
              <w:ind w:left="360"/>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36,940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1,193</w:t>
            </w: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329,442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w:t>
            </w: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16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857,302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2,696</w:t>
            </w:r>
          </w:p>
        </w:tc>
        <w:tc>
          <w:tcPr>
            <w:tcW w:w="1080" w:type="dxa"/>
            <w:vAlign w:val="bottom"/>
          </w:tcPr>
          <w:p>
            <w:pPr>
              <w:ind w:left="360"/>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774,817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1,855</w:t>
            </w:r>
          </w:p>
        </w:tc>
        <w:tc>
          <w:tcPr>
            <w:tcW w:w="220" w:type="dxa"/>
            <w:vAlign w:val="bottom"/>
          </w:tcPr>
          <w:p>
            <w:pPr>
              <w:spacing w:after="0"/>
              <w:rPr>
                <w:sz w:val="18"/>
                <w:szCs w:val="18"/>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Federal Home Loan Bank advances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20,021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ind w:left="320"/>
              <w:spacing w:after="0"/>
              <w:rPr>
                <w:sz w:val="20"/>
                <w:szCs w:val="20"/>
                <w:color w:val="auto"/>
              </w:rPr>
            </w:pPr>
            <w:r>
              <w:rPr>
                <w:rFonts w:ascii="Arial" w:cs="Arial" w:eastAsia="Arial" w:hAnsi="Arial"/>
                <w:sz w:val="18"/>
                <w:szCs w:val="18"/>
                <w:color w:val="auto"/>
              </w:rPr>
              <w:t>Subordinated debt</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23,831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1080" w:type="dxa"/>
            <w:vAlign w:val="bottom"/>
          </w:tcPr>
          <w:p>
            <w:pPr>
              <w:ind w:left="360"/>
              <w:spacing w:after="0"/>
              <w:rPr>
                <w:sz w:val="20"/>
                <w:szCs w:val="20"/>
                <w:color w:val="auto"/>
              </w:rPr>
            </w:pPr>
            <w:r>
              <w:rPr>
                <w:rFonts w:ascii="Arial" w:cs="Arial" w:eastAsia="Arial" w:hAnsi="Arial"/>
                <w:sz w:val="18"/>
                <w:szCs w:val="18"/>
                <w:color w:val="auto"/>
              </w:rPr>
              <w:t>8.93%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23,506</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475</w:t>
            </w:r>
          </w:p>
        </w:tc>
        <w:tc>
          <w:tcPr>
            <w:tcW w:w="1080" w:type="dxa"/>
            <w:vAlign w:val="bottom"/>
          </w:tcPr>
          <w:p>
            <w:pPr>
              <w:ind w:left="360"/>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lease obligations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896,830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3,349</w:t>
            </w:r>
          </w:p>
        </w:tc>
        <w:tc>
          <w:tcPr>
            <w:tcW w:w="1080" w:type="dxa"/>
            <w:vAlign w:val="bottom"/>
          </w:tcPr>
          <w:p>
            <w:pPr>
              <w:ind w:left="360"/>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819,305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2,501</w:t>
            </w:r>
          </w:p>
        </w:tc>
        <w:tc>
          <w:tcPr>
            <w:tcW w:w="220" w:type="dxa"/>
            <w:vAlign w:val="bottom"/>
          </w:tcPr>
          <w:p>
            <w:pPr>
              <w:spacing w:after="0"/>
              <w:rPr>
                <w:sz w:val="18"/>
                <w:szCs w:val="18"/>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r>
      <w:tr>
        <w:trPr>
          <w:trHeight w:val="210"/>
        </w:trPr>
        <w:tc>
          <w:tcPr>
            <w:tcW w:w="3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9"/>
              </w:rPr>
              <w:t>Demand deposits and escrow accounts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81,901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6,659</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982,753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907,865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131,286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116,636</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1,114,039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1,024,501</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197"/>
        </w:trPr>
        <w:tc>
          <w:tcPr>
            <w:tcW w:w="3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 (5)</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13,134</w:t>
            </w: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12,477</w:t>
            </w: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197"/>
        </w:trPr>
        <w:tc>
          <w:tcPr>
            <w:tcW w:w="3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spread</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8"/>
                <w:szCs w:val="18"/>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Net interest margin (6)</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the statutory tax rate.</w:t>
      </w:r>
    </w:p>
    <w:p>
      <w:pPr>
        <w:spacing w:after="0" w:line="23" w:lineRule="exact"/>
        <w:rPr>
          <w:rFonts w:ascii="Arial" w:cs="Arial" w:eastAsia="Arial" w:hAnsi="Arial"/>
          <w:sz w:val="18"/>
          <w:szCs w:val="18"/>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9" w:lineRule="exact"/>
        <w:rPr>
          <w:rFonts w:ascii="Arial" w:cs="Arial" w:eastAsia="Arial" w:hAnsi="Arial"/>
          <w:sz w:val="18"/>
          <w:szCs w:val="18"/>
          <w:color w:val="auto"/>
        </w:rPr>
      </w:pPr>
    </w:p>
    <w:p>
      <w:pPr>
        <w:ind w:left="340" w:right="660" w:hanging="8"/>
        <w:spacing w:after="0" w:line="250" w:lineRule="auto"/>
        <w:tabs>
          <w:tab w:leader="none" w:pos="5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Nonaccrual loans are included in the computation of average, but unpaid interest has not been included for purposes of determining interest income.</w:t>
      </w: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Short term investments include FHLB overnight deposits and other interest-bearing deposits.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Includes tax exempt interest income of $0 and $18 thousand for the three months ended March 31, 2018 and March 31, 2017, respectively.</w:t>
      </w:r>
    </w:p>
    <w:p>
      <w:pPr>
        <w:sectPr>
          <w:pgSz w:w="11900" w:h="16838" w:orient="portrait"/>
          <w:cols w:equalWidth="0" w:num="1">
            <w:col w:w="11280"/>
          </w:cols>
          <w:pgMar w:left="240" w:top="118" w:right="379" w:bottom="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(6) Net interest margin is calculated as net interest income divided by total interest-earning assets.</w:t>
      </w:r>
    </w:p>
    <w:p>
      <w:pPr>
        <w:sectPr>
          <w:pgSz w:w="11900" w:h="16838" w:orient="portrait"/>
          <w:cols w:equalWidth="0" w:num="1">
            <w:col w:w="9879"/>
          </w:cols>
          <w:pgMar w:left="580" w:top="125" w:right="1440" w:bottom="1440" w:gutter="0" w:footer="0" w:header="0"/>
        </w:sectPr>
      </w:pPr>
    </w:p>
    <w:p>
      <w:pPr>
        <w:spacing w:after="0" w:line="24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97790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type w:val="continuous"/>
        </w:sectPr>
      </w:pPr>
    </w:p>
    <w:bookmarkStart w:id="43" w:name="page44"/>
    <w:bookmarkEnd w:id="4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40" w:type="dxa"/>
            <w:vAlign w:val="bottom"/>
            <w:gridSpan w:val="9"/>
          </w:tcPr>
          <w:p>
            <w:pPr>
              <w:jc w:val="right"/>
              <w:ind w:right="580"/>
              <w:spacing w:after="0"/>
              <w:rPr>
                <w:sz w:val="20"/>
                <w:szCs w:val="20"/>
                <w:color w:val="auto"/>
              </w:rPr>
            </w:pPr>
            <w:r>
              <w:rPr>
                <w:rFonts w:ascii="Arial" w:cs="Arial" w:eastAsia="Arial" w:hAnsi="Arial"/>
                <w:sz w:val="18"/>
                <w:szCs w:val="18"/>
                <w:color w:val="auto"/>
                <w:w w:val="96"/>
              </w:rPr>
              <w:t>Three Months Ended March 31, 2018 compared to 2017</w:t>
            </w:r>
          </w:p>
        </w:tc>
      </w:tr>
      <w:tr>
        <w:trPr>
          <w:trHeight w:val="195"/>
        </w:trPr>
        <w:tc>
          <w:tcPr>
            <w:tcW w:w="45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340"/>
              <w:spacing w:after="0" w:line="195" w:lineRule="exact"/>
              <w:rPr>
                <w:sz w:val="20"/>
                <w:szCs w:val="20"/>
                <w:color w:val="auto"/>
              </w:rPr>
            </w:pPr>
            <w:r>
              <w:rPr>
                <w:rFonts w:ascii="Arial" w:cs="Arial" w:eastAsia="Arial" w:hAnsi="Arial"/>
                <w:sz w:val="18"/>
                <w:szCs w:val="18"/>
                <w:color w:val="auto"/>
                <w:w w:val="94"/>
              </w:rPr>
              <w:t>Change Due to</w:t>
            </w: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Volume</w:t>
            </w:r>
          </w:p>
        </w:tc>
        <w:tc>
          <w:tcPr>
            <w:tcW w:w="80" w:type="dxa"/>
            <w:vAlign w:val="bottom"/>
          </w:tcPr>
          <w:p>
            <w:pPr>
              <w:spacing w:after="0"/>
              <w:rPr>
                <w:sz w:val="20"/>
                <w:szCs w:val="20"/>
                <w:color w:val="auto"/>
              </w:rPr>
            </w:pP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w w:val="90"/>
              </w:rPr>
              <w:t>Change Due to Rate</w:t>
            </w:r>
          </w:p>
        </w:tc>
        <w:tc>
          <w:tcPr>
            <w:tcW w:w="18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Total Change</w:t>
            </w:r>
          </w:p>
        </w:tc>
      </w:tr>
      <w:tr>
        <w:trPr>
          <w:trHeight w:val="210"/>
        </w:trPr>
        <w:tc>
          <w:tcPr>
            <w:tcW w:w="4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(Dollars in thousands)</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8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r>
      <w:tr>
        <w:trPr>
          <w:trHeight w:val="216"/>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593</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973</w:t>
            </w:r>
          </w:p>
        </w:tc>
      </w:tr>
      <w:tr>
        <w:trPr>
          <w:trHeight w:val="216"/>
        </w:trPr>
        <w:tc>
          <w:tcPr>
            <w:tcW w:w="4580" w:type="dxa"/>
            <w:vAlign w:val="bottom"/>
          </w:tcPr>
          <w:p>
            <w:pPr>
              <w:ind w:left="160"/>
              <w:spacing w:after="0"/>
              <w:rPr>
                <w:sz w:val="20"/>
                <w:szCs w:val="20"/>
                <w:color w:val="auto"/>
              </w:rPr>
            </w:pPr>
            <w:r>
              <w:rPr>
                <w:rFonts w:ascii="Arial" w:cs="Arial" w:eastAsia="Arial" w:hAnsi="Arial"/>
                <w:sz w:val="18"/>
                <w:szCs w:val="18"/>
                <w:color w:val="auto"/>
              </w:rPr>
              <w:t>Federal Home Loan Bank stock</w:t>
            </w: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w:t>
            </w:r>
          </w:p>
        </w:tc>
      </w:tr>
      <w:tr>
        <w:trPr>
          <w:trHeight w:val="20"/>
        </w:trPr>
        <w:tc>
          <w:tcPr>
            <w:tcW w:w="45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580" w:type="dxa"/>
            <w:vAlign w:val="bottom"/>
          </w:tcPr>
          <w:p>
            <w:pPr>
              <w:ind w:left="320"/>
              <w:spacing w:after="0"/>
              <w:rPr>
                <w:sz w:val="20"/>
                <w:szCs w:val="20"/>
                <w:color w:val="auto"/>
              </w:rPr>
            </w:pPr>
            <w:r>
              <w:rPr>
                <w:rFonts w:ascii="Arial" w:cs="Arial" w:eastAsia="Arial" w:hAnsi="Arial"/>
                <w:sz w:val="18"/>
                <w:szCs w:val="18"/>
                <w:color w:val="auto"/>
              </w:rPr>
              <w:t>Total interest-earning assets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939</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1,505</w:t>
            </w:r>
          </w:p>
        </w:tc>
      </w:tr>
      <w:tr>
        <w:trPr>
          <w:trHeight w:val="210"/>
        </w:trPr>
        <w:tc>
          <w:tcPr>
            <w:tcW w:w="4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841</w:t>
            </w:r>
          </w:p>
        </w:tc>
      </w:tr>
      <w:tr>
        <w:trPr>
          <w:trHeight w:val="216"/>
        </w:trPr>
        <w:tc>
          <w:tcPr>
            <w:tcW w:w="458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debt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r>
      <w:tr>
        <w:trPr>
          <w:trHeight w:val="216"/>
        </w:trPr>
        <w:tc>
          <w:tcPr>
            <w:tcW w:w="4580" w:type="dxa"/>
            <w:vAlign w:val="bottom"/>
          </w:tcPr>
          <w:p>
            <w:pPr>
              <w:ind w:left="160"/>
              <w:spacing w:after="0"/>
              <w:rPr>
                <w:sz w:val="20"/>
                <w:szCs w:val="20"/>
                <w:color w:val="auto"/>
              </w:rPr>
            </w:pPr>
            <w:r>
              <w:rPr>
                <w:rFonts w:ascii="Arial" w:cs="Arial" w:eastAsia="Arial" w:hAnsi="Arial"/>
                <w:sz w:val="18"/>
                <w:szCs w:val="18"/>
                <w:color w:val="auto"/>
              </w:rPr>
              <w:t>Capital lease obligations</w:t>
            </w: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0"/>
        </w:trPr>
        <w:tc>
          <w:tcPr>
            <w:tcW w:w="4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674</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848</w:t>
            </w:r>
          </w:p>
        </w:tc>
      </w:tr>
      <w:tr>
        <w:trPr>
          <w:trHeight w:val="20"/>
        </w:trPr>
        <w:tc>
          <w:tcPr>
            <w:tcW w:w="45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580" w:type="dxa"/>
            <w:vAlign w:val="bottom"/>
          </w:tcPr>
          <w:p>
            <w:pPr>
              <w:ind w:left="320"/>
              <w:spacing w:after="0"/>
              <w:rPr>
                <w:sz w:val="20"/>
                <w:szCs w:val="20"/>
                <w:color w:val="auto"/>
              </w:rPr>
            </w:pPr>
            <w:r>
              <w:rPr>
                <w:rFonts w:ascii="Arial" w:cs="Arial" w:eastAsia="Arial" w:hAnsi="Arial"/>
                <w:sz w:val="18"/>
                <w:szCs w:val="18"/>
                <w:color w:val="auto"/>
              </w:rPr>
              <w:t>Total change in net interest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657</w:t>
            </w:r>
          </w:p>
        </w:tc>
      </w:tr>
      <w:tr>
        <w:trPr>
          <w:trHeight w:val="20"/>
        </w:trPr>
        <w:tc>
          <w:tcPr>
            <w:tcW w:w="4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2018 and 2017</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Net interest and dividend income before provision for the nine months ended March 31, 2018 and 2017 was $38.9 million and $34.1 million, respectively. The increase of $4.8 million was largely attributable to higher loan volume and interest income in the originated loan portfolio, as well as an increase in transactional income. The following table summarizes interest income and related yields recognized on the Company’s loans for the nine months ended March 31, 2018 and 2017.</w:t>
      </w:r>
    </w:p>
    <w:p>
      <w:pPr>
        <w:spacing w:after="0" w:line="200" w:lineRule="exact"/>
        <w:rPr>
          <w:sz w:val="20"/>
          <w:szCs w:val="20"/>
          <w:color w:val="auto"/>
        </w:rPr>
      </w:pP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color w:val="auto"/>
              </w:rPr>
              <w:t>Nine Months Ended March 31,</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2018</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2017</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6"/>
                <w:szCs w:val="16"/>
                <w:color w:val="auto"/>
              </w:rPr>
            </w:pPr>
          </w:p>
        </w:tc>
        <w:tc>
          <w:tcPr>
            <w:tcW w:w="118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89"/>
              </w:rPr>
              <w:t>Interest</w:t>
            </w: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420"/>
              <w:spacing w:after="0" w:line="195" w:lineRule="exact"/>
              <w:rPr>
                <w:sz w:val="20"/>
                <w:szCs w:val="20"/>
                <w:color w:val="auto"/>
              </w:rPr>
            </w:pPr>
            <w:r>
              <w:rPr>
                <w:rFonts w:ascii="Arial" w:cs="Arial" w:eastAsia="Arial" w:hAnsi="Arial"/>
                <w:sz w:val="18"/>
                <w:szCs w:val="18"/>
                <w:color w:val="auto"/>
                <w:w w:val="89"/>
              </w:rPr>
              <w:t>Interest</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Balance (1)</w:t>
            </w:r>
          </w:p>
        </w:tc>
        <w:tc>
          <w:tcPr>
            <w:tcW w:w="20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Income</w:t>
            </w:r>
          </w:p>
        </w:tc>
        <w:tc>
          <w:tcPr>
            <w:tcW w:w="1440" w:type="dxa"/>
            <w:vAlign w:val="bottom"/>
            <w:gridSpan w:val="2"/>
          </w:tcPr>
          <w:p>
            <w:pPr>
              <w:jc w:val="right"/>
              <w:ind w:right="570"/>
              <w:spacing w:after="0"/>
              <w:rPr>
                <w:sz w:val="20"/>
                <w:szCs w:val="20"/>
                <w:color w:val="auto"/>
              </w:rPr>
            </w:pPr>
            <w:r>
              <w:rPr>
                <w:rFonts w:ascii="Arial" w:cs="Arial" w:eastAsia="Arial" w:hAnsi="Arial"/>
                <w:sz w:val="18"/>
                <w:szCs w:val="18"/>
                <w:color w:val="auto"/>
              </w:rPr>
              <w:t>Yield</w:t>
            </w: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Balance (1)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Yield</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71"/>
              </w:rPr>
              <w:t>in</w:t>
            </w: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5,242</w:t>
            </w:r>
          </w:p>
        </w:tc>
        <w:tc>
          <w:tcPr>
            <w:tcW w:w="14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4.89%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199,566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SBA</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52,014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2,772</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7.10%</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36,867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1,771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LASG:</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60"/>
              <w:spacing w:after="0"/>
              <w:rPr>
                <w:sz w:val="20"/>
                <w:szCs w:val="20"/>
                <w:color w:val="auto"/>
              </w:rPr>
            </w:pPr>
            <w:r>
              <w:rPr>
                <w:rFonts w:ascii="Arial" w:cs="Arial" w:eastAsia="Arial" w:hAnsi="Arial"/>
                <w:sz w:val="18"/>
                <w:szCs w:val="18"/>
                <w:color w:val="auto"/>
              </w:rPr>
              <w:t>Originated</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340,014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16,746</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219,140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10,030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20,532</w:t>
            </w:r>
          </w:p>
        </w:tc>
        <w:tc>
          <w:tcPr>
            <w:tcW w:w="14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11.53%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236,822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20,925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02"/>
        </w:trPr>
        <w:tc>
          <w:tcPr>
            <w:tcW w:w="2420" w:type="dxa"/>
            <w:vAlign w:val="bottom"/>
          </w:tcPr>
          <w:p>
            <w:pPr>
              <w:ind w:left="160"/>
              <w:spacing w:after="0" w:line="201" w:lineRule="exact"/>
              <w:rPr>
                <w:sz w:val="20"/>
                <w:szCs w:val="20"/>
                <w:color w:val="auto"/>
              </w:rPr>
            </w:pPr>
            <w:r>
              <w:rPr>
                <w:rFonts w:ascii="Arial" w:cs="Arial" w:eastAsia="Arial" w:hAnsi="Arial"/>
                <w:sz w:val="18"/>
                <w:szCs w:val="18"/>
                <w:color w:val="auto"/>
              </w:rPr>
              <w:t>Secured Loans to Broker-</w:t>
            </w:r>
          </w:p>
        </w:tc>
        <w:tc>
          <w:tcPr>
            <w:tcW w:w="1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41,409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256</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420" w:type="dxa"/>
            <w:vAlign w:val="bottom"/>
          </w:tcPr>
          <w:p>
            <w:pPr>
              <w:ind w:left="160"/>
              <w:spacing w:after="0"/>
              <w:rPr>
                <w:sz w:val="20"/>
                <w:szCs w:val="20"/>
                <w:color w:val="auto"/>
              </w:rPr>
            </w:pPr>
            <w:r>
              <w:rPr>
                <w:rFonts w:ascii="Arial" w:cs="Arial" w:eastAsia="Arial" w:hAnsi="Arial"/>
                <w:sz w:val="18"/>
                <w:szCs w:val="18"/>
                <w:color w:val="auto"/>
              </w:rPr>
              <w:t>Dealers</w:t>
            </w: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LASG</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577,197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37,278</w:t>
            </w:r>
          </w:p>
        </w:tc>
        <w:tc>
          <w:tcPr>
            <w:tcW w:w="14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8.60%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497,371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31,211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0"/>
        </w:trPr>
        <w:tc>
          <w:tcPr>
            <w:tcW w:w="24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772,084</w:t>
            </w:r>
          </w:p>
        </w:tc>
        <w:tc>
          <w:tcPr>
            <w:tcW w:w="2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45,292</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7.81%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735,804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40,132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  Includes loans held for sale.</w:t>
      </w:r>
    </w:p>
    <w:p>
      <w:pPr>
        <w:spacing w:after="0" w:line="25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118" w:right="17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Company’s interest rate spread and net interest margin increased by 27 basis points and 29 basis points, respectively, for the nine months ended March 31, 2018 compared to the nine months ended March 31, 2017. The increase was primarily due to the increase in yield on loans from higher average balances and transactional income, offset partially by higher deposit rates and average deposit balances.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Nine Months Ended March 31,</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2018</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2017</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420"/>
              <w:spacing w:after="0" w:line="195" w:lineRule="exact"/>
              <w:rPr>
                <w:sz w:val="20"/>
                <w:szCs w:val="20"/>
                <w:color w:val="auto"/>
              </w:rPr>
            </w:pPr>
            <w:r>
              <w:rPr>
                <w:rFonts w:ascii="Arial" w:cs="Arial" w:eastAsia="Arial" w:hAnsi="Arial"/>
                <w:sz w:val="18"/>
                <w:szCs w:val="18"/>
                <w:color w:val="auto"/>
                <w:w w:val="89"/>
              </w:rPr>
              <w:t>Interest</w:t>
            </w:r>
          </w:p>
        </w:tc>
        <w:tc>
          <w:tcPr>
            <w:tcW w:w="1140" w:type="dxa"/>
            <w:vAlign w:val="bottom"/>
          </w:tcPr>
          <w:p>
            <w:pPr>
              <w:ind w:left="280"/>
              <w:spacing w:after="0" w:line="195" w:lineRule="exact"/>
              <w:rPr>
                <w:sz w:val="20"/>
                <w:szCs w:val="20"/>
                <w:color w:val="auto"/>
              </w:rPr>
            </w:pPr>
            <w:r>
              <w:rPr>
                <w:rFonts w:ascii="Arial" w:cs="Arial" w:eastAsia="Arial" w:hAnsi="Arial"/>
                <w:sz w:val="18"/>
                <w:szCs w:val="18"/>
                <w:color w:val="auto"/>
              </w:rPr>
              <w:t>Average</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9"/>
              </w:rPr>
              <w:t>Interest</w:t>
            </w:r>
          </w:p>
        </w:tc>
        <w:tc>
          <w:tcPr>
            <w:tcW w:w="1140" w:type="dxa"/>
            <w:vAlign w:val="bottom"/>
          </w:tcPr>
          <w:p>
            <w:pPr>
              <w:ind w:left="260"/>
              <w:spacing w:after="0" w:line="195" w:lineRule="exact"/>
              <w:rPr>
                <w:sz w:val="20"/>
                <w:szCs w:val="20"/>
                <w:color w:val="auto"/>
              </w:rPr>
            </w:pPr>
            <w:r>
              <w:rPr>
                <w:rFonts w:ascii="Arial" w:cs="Arial" w:eastAsia="Arial" w:hAnsi="Arial"/>
                <w:sz w:val="18"/>
                <w:szCs w:val="18"/>
                <w:color w:val="auto"/>
              </w:rPr>
              <w:t>Average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Average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Income/</w:t>
            </w:r>
          </w:p>
        </w:tc>
        <w:tc>
          <w:tcPr>
            <w:tcW w:w="1140" w:type="dxa"/>
            <w:vAlign w:val="bottom"/>
          </w:tcPr>
          <w:p>
            <w:pPr>
              <w:ind w:left="360"/>
              <w:spacing w:after="0"/>
              <w:rPr>
                <w:sz w:val="20"/>
                <w:szCs w:val="20"/>
                <w:color w:val="auto"/>
              </w:rPr>
            </w:pPr>
            <w:r>
              <w:rPr>
                <w:rFonts w:ascii="Arial" w:cs="Arial" w:eastAsia="Arial" w:hAnsi="Arial"/>
                <w:sz w:val="18"/>
                <w:szCs w:val="18"/>
                <w:color w:val="auto"/>
              </w:rPr>
              <w:t>Yield/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Average</w:t>
            </w: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Income/</w:t>
            </w: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Yield/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Expense</w:t>
            </w:r>
          </w:p>
        </w:tc>
        <w:tc>
          <w:tcPr>
            <w:tcW w:w="1140" w:type="dxa"/>
            <w:vAlign w:val="bottom"/>
          </w:tcPr>
          <w:p>
            <w:pPr>
              <w:ind w:left="400"/>
              <w:spacing w:after="0"/>
              <w:rPr>
                <w:sz w:val="20"/>
                <w:szCs w:val="20"/>
                <w:color w:val="auto"/>
              </w:rPr>
            </w:pPr>
            <w:r>
              <w:rPr>
                <w:rFonts w:ascii="Arial" w:cs="Arial" w:eastAsia="Arial" w:hAnsi="Arial"/>
                <w:sz w:val="18"/>
                <w:szCs w:val="18"/>
                <w:color w:val="auto"/>
              </w:rPr>
              <w:t>Rate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Expense</w:t>
            </w:r>
          </w:p>
        </w:tc>
        <w:tc>
          <w:tcPr>
            <w:tcW w:w="1240" w:type="dxa"/>
            <w:vAlign w:val="bottom"/>
            <w:gridSpan w:val="2"/>
          </w:tcPr>
          <w:p>
            <w:pPr>
              <w:ind w:left="400"/>
              <w:spacing w:after="0"/>
              <w:rPr>
                <w:sz w:val="20"/>
                <w:szCs w:val="20"/>
                <w:color w:val="auto"/>
              </w:rPr>
            </w:pPr>
            <w:r>
              <w:rPr>
                <w:rFonts w:ascii="Arial" w:cs="Arial" w:eastAsia="Arial" w:hAnsi="Arial"/>
                <w:sz w:val="18"/>
                <w:szCs w:val="18"/>
                <w:color w:val="auto"/>
              </w:rPr>
              <w:t>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securities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93,816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w:t>
            </w:r>
          </w:p>
        </w:tc>
        <w:tc>
          <w:tcPr>
            <w:tcW w:w="1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1.15%</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94,824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w:t>
            </w:r>
          </w:p>
        </w:tc>
        <w:tc>
          <w:tcPr>
            <w:tcW w:w="1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Loans (1) (2) (3)</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772,084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45,302</w:t>
            </w:r>
          </w:p>
        </w:tc>
        <w:tc>
          <w:tcPr>
            <w:tcW w:w="1140" w:type="dxa"/>
            <w:vAlign w:val="bottom"/>
          </w:tcPr>
          <w:p>
            <w:pPr>
              <w:ind w:left="400"/>
              <w:spacing w:after="0"/>
              <w:rPr>
                <w:sz w:val="20"/>
                <w:szCs w:val="20"/>
                <w:color w:val="auto"/>
              </w:rPr>
            </w:pPr>
            <w:r>
              <w:rPr>
                <w:rFonts w:ascii="Arial" w:cs="Arial" w:eastAsia="Arial" w:hAnsi="Arial"/>
                <w:sz w:val="18"/>
                <w:szCs w:val="18"/>
                <w:color w:val="auto"/>
              </w:rPr>
              <w:t>7.82%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735,804</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40,185</w:t>
            </w:r>
          </w:p>
        </w:tc>
        <w:tc>
          <w:tcPr>
            <w:tcW w:w="1140" w:type="dxa"/>
            <w:vAlign w:val="bottom"/>
          </w:tcPr>
          <w:p>
            <w:pPr>
              <w:ind w:left="38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 Home Loan Bank stock</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1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Short-term investments (4)</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169,073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1,753</w:t>
            </w:r>
          </w:p>
        </w:tc>
        <w:tc>
          <w:tcPr>
            <w:tcW w:w="220" w:type="dxa"/>
            <w:vAlign w:val="bottom"/>
          </w:tcPr>
          <w:p>
            <w:pPr>
              <w:spacing w:after="0"/>
              <w:rPr>
                <w:sz w:val="18"/>
                <w:szCs w:val="18"/>
                <w:color w:val="auto"/>
              </w:rPr>
            </w:pPr>
          </w:p>
        </w:tc>
        <w:tc>
          <w:tcPr>
            <w:tcW w:w="1140" w:type="dxa"/>
            <w:vAlign w:val="bottom"/>
          </w:tcPr>
          <w:p>
            <w:pPr>
              <w:ind w:left="400"/>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132,280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599</w:t>
            </w:r>
          </w:p>
        </w:tc>
        <w:tc>
          <w:tcPr>
            <w:tcW w:w="1140" w:type="dxa"/>
            <w:vAlign w:val="bottom"/>
          </w:tcPr>
          <w:p>
            <w:pPr>
              <w:ind w:left="380"/>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1,036,825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6.16%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965,158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41,602</w:t>
            </w:r>
          </w:p>
        </w:tc>
        <w:tc>
          <w:tcPr>
            <w:tcW w:w="1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2,981</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2,860</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32,554</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1,071,730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1,000,572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Liabilities &amp; Shareholders' Equity:</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NOW accounts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69,532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1140" w:type="dxa"/>
            <w:vAlign w:val="bottom"/>
          </w:tcPr>
          <w:p>
            <w:pPr>
              <w:ind w:left="400"/>
              <w:spacing w:after="0"/>
              <w:rPr>
                <w:sz w:val="20"/>
                <w:szCs w:val="20"/>
                <w:color w:val="auto"/>
              </w:rPr>
            </w:pPr>
            <w:r>
              <w:rPr>
                <w:rFonts w:ascii="Arial" w:cs="Arial" w:eastAsia="Arial" w:hAnsi="Arial"/>
                <w:sz w:val="18"/>
                <w:szCs w:val="18"/>
                <w:color w:val="auto"/>
              </w:rPr>
              <w:t>0.29%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70,814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1140" w:type="dxa"/>
            <w:vAlign w:val="bottom"/>
          </w:tcPr>
          <w:p>
            <w:pPr>
              <w:ind w:left="380"/>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accounts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394,364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3,564</w:t>
            </w:r>
          </w:p>
        </w:tc>
        <w:tc>
          <w:tcPr>
            <w:tcW w:w="1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314,259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2,242</w:t>
            </w:r>
          </w:p>
        </w:tc>
        <w:tc>
          <w:tcPr>
            <w:tcW w:w="1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Savings accounts</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37,418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140" w:type="dxa"/>
            <w:vAlign w:val="bottom"/>
          </w:tcPr>
          <w:p>
            <w:pPr>
              <w:ind w:left="400"/>
              <w:spacing w:after="0"/>
              <w:rPr>
                <w:sz w:val="20"/>
                <w:szCs w:val="20"/>
                <w:color w:val="auto"/>
              </w:rPr>
            </w:pPr>
            <w:r>
              <w:rPr>
                <w:rFonts w:ascii="Arial" w:cs="Arial" w:eastAsia="Arial" w:hAnsi="Arial"/>
                <w:sz w:val="18"/>
                <w:szCs w:val="18"/>
                <w:color w:val="auto"/>
              </w:rPr>
              <w:t>0.15%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35,964</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140" w:type="dxa"/>
            <w:vAlign w:val="bottom"/>
          </w:tcPr>
          <w:p>
            <w:pPr>
              <w:ind w:left="38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deposits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327,664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2,976</w:t>
            </w:r>
          </w:p>
        </w:tc>
        <w:tc>
          <w:tcPr>
            <w:tcW w:w="1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813,582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7,001</w:t>
            </w:r>
          </w:p>
        </w:tc>
        <w:tc>
          <w:tcPr>
            <w:tcW w:w="220" w:type="dxa"/>
            <w:vAlign w:val="bottom"/>
          </w:tcPr>
          <w:p>
            <w:pPr>
              <w:spacing w:after="0"/>
              <w:rPr>
                <w:sz w:val="18"/>
                <w:szCs w:val="18"/>
                <w:color w:val="auto"/>
              </w:rPr>
            </w:pPr>
          </w:p>
        </w:tc>
        <w:tc>
          <w:tcPr>
            <w:tcW w:w="1140" w:type="dxa"/>
            <w:vAlign w:val="bottom"/>
          </w:tcPr>
          <w:p>
            <w:pPr>
              <w:ind w:left="400"/>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748,701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5,407</w:t>
            </w:r>
          </w:p>
        </w:tc>
        <w:tc>
          <w:tcPr>
            <w:tcW w:w="1140" w:type="dxa"/>
            <w:vAlign w:val="bottom"/>
          </w:tcPr>
          <w:p>
            <w:pPr>
              <w:ind w:left="380"/>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 Home Loan Bank advances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w:t>
            </w:r>
          </w:p>
        </w:tc>
        <w:tc>
          <w:tcPr>
            <w:tcW w:w="1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25,768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w:t>
            </w:r>
          </w:p>
        </w:tc>
        <w:tc>
          <w:tcPr>
            <w:tcW w:w="1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Subordinated debt</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23,745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1,550</w:t>
            </w:r>
          </w:p>
        </w:tc>
        <w:tc>
          <w:tcPr>
            <w:tcW w:w="1140" w:type="dxa"/>
            <w:vAlign w:val="bottom"/>
          </w:tcPr>
          <w:p>
            <w:pPr>
              <w:ind w:left="400"/>
              <w:spacing w:after="0"/>
              <w:rPr>
                <w:sz w:val="20"/>
                <w:szCs w:val="20"/>
                <w:color w:val="auto"/>
              </w:rPr>
            </w:pPr>
            <w:r>
              <w:rPr>
                <w:rFonts w:ascii="Arial" w:cs="Arial" w:eastAsia="Arial" w:hAnsi="Arial"/>
                <w:sz w:val="18"/>
                <w:szCs w:val="18"/>
                <w:color w:val="auto"/>
              </w:rPr>
              <w:t>8.70%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23,431</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1,401</w:t>
            </w:r>
          </w:p>
        </w:tc>
        <w:tc>
          <w:tcPr>
            <w:tcW w:w="1140" w:type="dxa"/>
            <w:vAlign w:val="bottom"/>
          </w:tcPr>
          <w:p>
            <w:pPr>
              <w:ind w:left="38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lease obligations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interest-bearing liabilities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855,685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9,020</w:t>
            </w:r>
          </w:p>
        </w:tc>
        <w:tc>
          <w:tcPr>
            <w:tcW w:w="220" w:type="dxa"/>
            <w:vAlign w:val="bottom"/>
          </w:tcPr>
          <w:p>
            <w:pPr>
              <w:spacing w:after="0"/>
              <w:rPr>
                <w:sz w:val="18"/>
                <w:szCs w:val="18"/>
                <w:color w:val="auto"/>
              </w:rPr>
            </w:pPr>
          </w:p>
        </w:tc>
        <w:tc>
          <w:tcPr>
            <w:tcW w:w="1140" w:type="dxa"/>
            <w:vAlign w:val="bottom"/>
          </w:tcPr>
          <w:p>
            <w:pPr>
              <w:ind w:left="400"/>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798,924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7,481</w:t>
            </w:r>
          </w:p>
        </w:tc>
        <w:tc>
          <w:tcPr>
            <w:tcW w:w="1140" w:type="dxa"/>
            <w:vAlign w:val="bottom"/>
          </w:tcPr>
          <w:p>
            <w:pPr>
              <w:ind w:left="38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 and escrow accounts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79,352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943,661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886,014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1,071,730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1,000,572</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 (5)</w:t>
            </w: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38,913</w:t>
            </w:r>
          </w:p>
        </w:tc>
        <w:tc>
          <w:tcPr>
            <w:tcW w:w="1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34,121</w:t>
            </w: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spread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interest margin (6)</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ind w:left="400"/>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ind w:left="38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the statutory tax rate.</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Nonaccrual loans are included in the computation of average, but unpaid interest has not been included for purposes of determining interest income.</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 term investments include FHLB overnight deposits and other interest-bearing deposits.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tax exempt interest income of $10 thousand and $53 thousand for the nine months ended March 31, 2018 and March 31, 2017, respectively.</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changes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58"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10"/>
          </w:tcPr>
          <w:p>
            <w:pPr>
              <w:jc w:val="right"/>
              <w:ind w:right="620"/>
              <w:spacing w:after="0"/>
              <w:rPr>
                <w:sz w:val="20"/>
                <w:szCs w:val="20"/>
                <w:color w:val="auto"/>
              </w:rPr>
            </w:pPr>
            <w:r>
              <w:rPr>
                <w:rFonts w:ascii="Arial" w:cs="Arial" w:eastAsia="Arial" w:hAnsi="Arial"/>
                <w:sz w:val="18"/>
                <w:szCs w:val="18"/>
                <w:color w:val="auto"/>
                <w:w w:val="98"/>
              </w:rPr>
              <w:t>Nine Months Ended March 31, 2018 compared to 2017</w:t>
            </w:r>
          </w:p>
        </w:tc>
      </w:tr>
      <w:tr>
        <w:trPr>
          <w:trHeight w:val="195"/>
        </w:trPr>
        <w:tc>
          <w:tcPr>
            <w:tcW w:w="5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340"/>
              <w:spacing w:after="0" w:line="195" w:lineRule="exact"/>
              <w:rPr>
                <w:sz w:val="20"/>
                <w:szCs w:val="20"/>
                <w:color w:val="auto"/>
              </w:rPr>
            </w:pPr>
            <w:r>
              <w:rPr>
                <w:rFonts w:ascii="Arial" w:cs="Arial" w:eastAsia="Arial" w:hAnsi="Arial"/>
                <w:sz w:val="18"/>
                <w:szCs w:val="18"/>
                <w:color w:val="auto"/>
                <w:w w:val="94"/>
              </w:rPr>
              <w:t>Change Due to</w:t>
            </w: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Volume</w:t>
            </w:r>
          </w:p>
        </w:tc>
        <w:tc>
          <w:tcPr>
            <w:tcW w:w="100" w:type="dxa"/>
            <w:vAlign w:val="bottom"/>
          </w:tcPr>
          <w:p>
            <w:pPr>
              <w:spacing w:after="0"/>
              <w:rPr>
                <w:sz w:val="20"/>
                <w:szCs w:val="20"/>
                <w:color w:val="auto"/>
              </w:rPr>
            </w:pP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Change Due to Rate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Total Change</w:t>
            </w:r>
          </w:p>
        </w:tc>
      </w:tr>
      <w:tr>
        <w:trPr>
          <w:trHeight w:val="210"/>
        </w:trPr>
        <w:tc>
          <w:tcPr>
            <w:tcW w:w="5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(Dollars 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5,117</w:t>
            </w: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Federal Home Loan Bank stock</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w:t>
            </w:r>
          </w:p>
        </w:tc>
      </w:tr>
      <w:tr>
        <w:trPr>
          <w:trHeight w:val="20"/>
        </w:trPr>
        <w:tc>
          <w:tcPr>
            <w:tcW w:w="5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140" w:type="dxa"/>
            <w:vAlign w:val="bottom"/>
          </w:tcPr>
          <w:p>
            <w:pPr>
              <w:ind w:left="320"/>
              <w:spacing w:after="0"/>
              <w:rPr>
                <w:sz w:val="20"/>
                <w:szCs w:val="20"/>
                <w:color w:val="auto"/>
              </w:rPr>
            </w:pPr>
            <w:r>
              <w:rPr>
                <w:rFonts w:ascii="Arial" w:cs="Arial" w:eastAsia="Arial" w:hAnsi="Arial"/>
                <w:sz w:val="18"/>
                <w:szCs w:val="18"/>
                <w:color w:val="auto"/>
              </w:rPr>
              <w:t>Total interest-earning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6,331</w:t>
            </w:r>
          </w:p>
        </w:tc>
      </w:tr>
      <w:tr>
        <w:trPr>
          <w:trHeight w:val="210"/>
        </w:trPr>
        <w:tc>
          <w:tcPr>
            <w:tcW w:w="5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w:t>
            </w: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debt</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Capital lease obligations</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0"/>
        </w:trPr>
        <w:tc>
          <w:tcPr>
            <w:tcW w:w="5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w:t>
            </w:r>
          </w:p>
        </w:tc>
      </w:tr>
      <w:tr>
        <w:trPr>
          <w:trHeight w:val="20"/>
        </w:trPr>
        <w:tc>
          <w:tcPr>
            <w:tcW w:w="5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140" w:type="dxa"/>
            <w:vAlign w:val="bottom"/>
          </w:tcPr>
          <w:p>
            <w:pPr>
              <w:ind w:left="320"/>
              <w:spacing w:after="0"/>
              <w:rPr>
                <w:sz w:val="20"/>
                <w:szCs w:val="20"/>
                <w:color w:val="auto"/>
              </w:rPr>
            </w:pPr>
            <w:r>
              <w:rPr>
                <w:rFonts w:ascii="Arial" w:cs="Arial" w:eastAsia="Arial" w:hAnsi="Arial"/>
                <w:sz w:val="18"/>
                <w:szCs w:val="18"/>
                <w:color w:val="auto"/>
              </w:rPr>
              <w:t>Total change in net interest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2,832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4,792</w:t>
            </w:r>
          </w:p>
        </w:tc>
      </w:tr>
      <w:tr>
        <w:trPr>
          <w:trHeight w:val="20"/>
        </w:trPr>
        <w:tc>
          <w:tcPr>
            <w:tcW w:w="5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Quarterly, the Company determines the amount of the allowance for loan losses that is appropriate to provide for losses inherent in the Company’s loan portfolios, with the provision for loan losses determined by the net change in the allowance for loan losses. For loans accounted for under ASC 310-30, a provision for loan loss is recorded when estimates of future cash flows are lower than had been previously expected. See Part I. Item I. “Notes to Unaudited Consolidated Financial Statements — Note 4: Loans, Allowance for Loan Losses and Credit Quality” for further discussion.</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provision for loan losses for periods subsequent to the merger with FHB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pre-merger loans based on estimates of deteriorated credit quality post-merger.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2018 and 2017</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provision for loan losses for the quarter ended March 31, 2018 and 2017 was $364 thousand and $384 thousand, respectively. The decrease in the Company’s loan loss provision was primarily due to the effect of changes in the historical loss factors, as well as updates to the specific reserve on impaired loans.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2018 and 2017</w:t>
      </w:r>
    </w:p>
    <w:p>
      <w:pPr>
        <w:spacing w:after="0" w:line="22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provision for loan losses for the nine months ended March 31, 2018 and 2017 was $1.2 million for each period. The decrease of $49 thousand in the Company’s loan loss provision was due to the effect of updates to the specific reserve on impaired loans, and composition of the loan portfolio.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2018 and 2017</w:t>
      </w:r>
    </w:p>
    <w:p>
      <w:pPr>
        <w:spacing w:after="0" w:line="2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Noninterest income decreased by $426 thousand for the quarter ended March 31, 2018, compared to the quarter ended March 31, 2017, principally due to the following:</w:t>
      </w:r>
    </w:p>
    <w:p>
      <w:pPr>
        <w:spacing w:after="0" w:line="1" w:lineRule="exact"/>
        <w:rPr>
          <w:sz w:val="20"/>
          <w:szCs w:val="20"/>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decrease in gain on sale of SBA loans of $391 thousand, due to a lower volume of SBA loans sold in the quarter as a result of a change in our SBA origination model in fiscal 2018; and</w:t>
      </w:r>
    </w:p>
    <w:p>
      <w:pPr>
        <w:ind w:left="660" w:right="120" w:hanging="328"/>
        <w:spacing w:after="0" w:line="26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decrease in gain on sale of residential loans of $54 thousand, due to lower volume of residential loans sold in the quarter due to the lower volume of loans originated in the winter months.</w:t>
      </w:r>
    </w:p>
    <w:p>
      <w:pPr>
        <w:sectPr>
          <w:pgSz w:w="11900" w:h="16838" w:orient="portrait"/>
          <w:cols w:equalWidth="0" w:num="1">
            <w:col w:w="11420"/>
          </w:cols>
          <w:pgMar w:left="240" w:top="118"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6" w:name="page47"/>
    <w:bookmarkEnd w:id="4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2018 and 2017</w:t>
      </w:r>
    </w:p>
    <w:p>
      <w:pPr>
        <w:spacing w:after="0" w:line="225"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Noninterest income decreased by $1.7 million for the nine months ended March 31, 2018, compared to the nine months ended March 31, 2017, principally due to the following:</w:t>
      </w:r>
    </w:p>
    <w:p>
      <w:pPr>
        <w:spacing w:after="0" w:line="1" w:lineRule="exact"/>
        <w:rPr>
          <w:sz w:val="20"/>
          <w:szCs w:val="20"/>
          <w:color w:val="auto"/>
        </w:rPr>
      </w:pPr>
    </w:p>
    <w:p>
      <w:pPr>
        <w:ind w:left="980" w:right="420" w:hanging="324"/>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decrease in gain on sale of SBA loans of $1.5 million, due to a lower amount of SBA loans sold in the nine month period as a result of a change in our SBA origination model in fiscal 2018; and</w:t>
      </w:r>
    </w:p>
    <w:p>
      <w:pPr>
        <w:ind w:left="980" w:right="220" w:hanging="324"/>
        <w:spacing w:after="0" w:line="261"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decrease in gain on sale of residential loans held for sale of $388 thousand, due to lower volume of residential loans sold in the nine month period due to the lower volume of loans originated in the winter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2018 and 2017</w:t>
      </w:r>
    </w:p>
    <w:p>
      <w:pPr>
        <w:spacing w:after="0" w:line="22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Noninterest expense increased by $133 thousand for the quarter ended March 31, 2018, compared to the quarter ended March 31, 2017, primarily due to the following:</w:t>
      </w:r>
    </w:p>
    <w:p>
      <w:pPr>
        <w:spacing w:after="0" w:line="1" w:lineRule="exact"/>
        <w:rPr>
          <w:sz w:val="20"/>
          <w:szCs w:val="20"/>
          <w:color w:val="auto"/>
        </w:rPr>
      </w:pPr>
    </w:p>
    <w:p>
      <w:pPr>
        <w:ind w:left="660" w:right="40" w:hanging="328"/>
        <w:spacing w:after="0" w:line="28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increase of $312 thousand in other noninterest expense, primarily due to $140 thousand of expense related to the quarterly valuation of SBA servicing rights recorded in the three months ended March 31, 2018, and a $167 thousand recovery from a legacy mortgage insurance premium plan that was recorded in the three months ended March 31, 2017, with no such recovery recorded during the three months ended March 31, 2018;</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increase of $164 thousand in data processing fees, primarily due to the increased cost associated with the outsourcing of data processing; and</w:t>
      </w:r>
    </w:p>
    <w:p>
      <w:pPr>
        <w:spacing w:after="0" w:line="32" w:lineRule="exact"/>
        <w:rPr>
          <w:rFonts w:ascii="Arial" w:cs="Arial" w:eastAsia="Arial" w:hAnsi="Arial"/>
          <w:sz w:val="16"/>
          <w:szCs w:val="16"/>
          <w:color w:val="auto"/>
        </w:rPr>
      </w:pPr>
    </w:p>
    <w:p>
      <w:pPr>
        <w:ind w:left="660" w:right="18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of $126 thousand in salaries and employee benefits, primarily due to an increase in incentive compensation and a decrease in deferred salaries driven by loan originations, offset by a decrease in salaries due to a decrease in headcount.</w:t>
      </w:r>
    </w:p>
    <w:p>
      <w:pPr>
        <w:ind w:left="660" w:hanging="328"/>
        <w:spacing w:after="0" w:line="261"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increases in noninterest expense were partially offset by a decrease in loan expense of $464 thousand, largely driven by lower expense related to loan acquisition, collection, and refinance activity.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2018 and 2017</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Noninterest expense decreased by $173 thousand for the nine months ended March 31, 2018, compared to the nine months ended March 31, 2017, principally due to the following:</w:t>
      </w:r>
    </w:p>
    <w:p>
      <w:pPr>
        <w:spacing w:after="0" w:line="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decrease in loan expense of $504 thousand, largely driven by lower expense related to loan acquisition, collection, and refinance activity; and</w:t>
      </w:r>
    </w:p>
    <w:p>
      <w:pPr>
        <w:spacing w:after="0" w:line="32" w:lineRule="exact"/>
        <w:rPr>
          <w:rFonts w:ascii="Arial" w:cs="Arial" w:eastAsia="Arial" w:hAnsi="Arial"/>
          <w:sz w:val="16"/>
          <w:szCs w:val="16"/>
          <w:color w:val="auto"/>
        </w:rPr>
      </w:pPr>
    </w:p>
    <w:p>
      <w:pPr>
        <w:ind w:left="660" w:right="4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decrease in occupancy and equipment expense of $363 thousand, primarily due to a decrease in IT-related equipment expense and computer equipment depreciation expense.</w:t>
      </w:r>
    </w:p>
    <w:p>
      <w:pPr>
        <w:ind w:left="660" w:right="280" w:hanging="328"/>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decreases in noninterest expense were partially offset by an increase in data processing fees of $560 thousand, primarily due to the increased cost associated with outsourcing of data processing.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2018 and 2017</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income tax expense was $1.7 million, or an effective tax rate of 30.7%, for the three months ended March 31, 2018, compared to income tax expense of $2.1 million, or an effective tax rate of 37.5%, for the three months ended March 31, 2017. Income tax expense decreased by $335 thousand for the quarter ended March 31, 2018 compared to the quarter ended March 31, 2017, $397 thousand of which was due to a decrease in the federal corporate income tax rate as a result of the Tax Cuts and Jobs Act signed into law on December 22, 2017, offset by an increase related to a higher pre-tax net income amount.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2018 and 2017</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Company’s income tax expense was $4.7 million, or an effective tax rate of 28.6%, for the nine months ended March 31, 2018, compared to income tax expense of $4.9 million, or an effective tax rate of 37.2%, for the nine months ended March 31, 2017. Overall, income tax expense decreased by $191 thousand over the comparable periods, primarily due to the following:</w:t>
      </w:r>
    </w:p>
    <w:p>
      <w:pPr>
        <w:ind w:left="660" w:right="20" w:hanging="328"/>
        <w:spacing w:after="0" w:line="28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 increase in income before income tax offset by a decrease in the federal corporate income tax rate as a result of the Tax Cuts and Jobs Act signed into law on December 22, 2017, which resulted in a blended federal corporate income tax rate of 28.0% for the fiscal year ending June 30, 2018;</w:t>
      </w:r>
    </w:p>
    <w:p>
      <w:pPr>
        <w:spacing w:after="0" w:line="1" w:lineRule="exact"/>
        <w:rPr>
          <w:rFonts w:ascii="Arial" w:cs="Arial" w:eastAsia="Arial" w:hAnsi="Arial"/>
          <w:sz w:val="16"/>
          <w:szCs w:val="16"/>
          <w:color w:val="auto"/>
        </w:rPr>
      </w:pPr>
    </w:p>
    <w:p>
      <w:pPr>
        <w:ind w:left="660" w:right="18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in income tax expense of $498 thousand due to the revaluing of the deferred tax asset as a result of the change in the federal corporate income tax rate; and,</w:t>
      </w:r>
    </w:p>
    <w:p>
      <w:pPr>
        <w:ind w:left="660" w:right="140" w:hanging="328"/>
        <w:spacing w:after="0" w:line="295"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A decrease in income tax expense as a result of a $1.2 million income tax benefit arising from the treatment of stock options exercised or vested restricted stock awards under ASU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whereby the tax effects of exercised options or vested awards are treated as a discrete item in the reporting period in which they occur.</w:t>
      </w:r>
      <w:r>
        <w:rPr>
          <w:rFonts w:ascii="Arial" w:cs="Arial" w:eastAsia="Arial" w:hAnsi="Arial"/>
          <w:sz w:val="16"/>
          <w:szCs w:val="16"/>
          <w:i w:val="1"/>
          <w:iCs w:val="1"/>
          <w:color w:val="auto"/>
        </w:rPr>
        <w:t xml:space="preserve"> </w:t>
      </w:r>
      <w:r>
        <w:rPr>
          <w:rFonts w:ascii="Arial" w:cs="Arial" w:eastAsia="Arial" w:hAnsi="Arial"/>
          <w:sz w:val="16"/>
          <w:szCs w:val="16"/>
          <w:color w:val="auto"/>
        </w:rPr>
        <w:t>See Part I. Item I. “Notes to Unaudited Consolidated Financial Statements — Note 10: Stock-Based Compensation” for further discussion.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Market risk is the risk of loss due to adverse changes in market prices and rates, and typically encompasses exposures such as sensitivity to changes in market interest rates, foreign currency exchange rates, and commodity prices. The Company has no exposure to foreign currency exchange or commodity price movements. Because net interest income is our primary source of revenue, interest rate risk is a significant market risk to which the Company is exposed.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Interest rate risk can be defined as the exposure of future net interest income to adverse movements in interest rates. Net interest income is affected by changes in interest rates as well as by fluctuations in the level, mix and duration of the Company's assets and liabilities. Over and above the influence that interest rates have on net interest income, changes in rates also affect the volume of lending activity, the ability of borrowers to repay loans, the volume of loan prepayments, the flow and mix of deposits, and the market value of the Company's assets and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Asset/Liability Management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management has established an Asset Liability Management Committee ("ALCO"), which is responsible for managing the Company's interest rate risk in accordance with policies and limits approved by the Board of Directors. With regard to management of market risk, the ALCO is charged with managing the Company's mix of assets and funding sources to produce results that are consistent with the Company's liquidity, capital adequacy, growth, and profitability goals.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Exposure to interest rate risk is managed by Northeast through periodic evaluations of the current interest rate risk inherent in its rate-sensitive assets and liabilities, coupled with determinations of the level of risk considered appropriate given the Company's capital and liquidity requirements, business strategy, and performance objectives. Through such management, Northeast seeks to mitigate the potential volatility in its net interest income due to changes in interest rates in a manner consistent with the risk appetite established by the Board of Directors.</w:t>
      </w:r>
    </w:p>
    <w:p>
      <w:pPr>
        <w:spacing w:after="0" w:line="18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ALCO's primary tool for measuring, evaluating, and managing interest rate risk is income simulation analysis. Income simulation analysis measures the interest rate risk inherent in the Company's balance sheet at a given point in time by showing the effect of interest rate shifts on net interest income over defined time horizons. These simulations take into account the specific repricing, maturity, prepayment and call options of financial instruments that vary under different interest rate scenarios. The ALCO reviews simulation results to determine whether the exposure to a decline in net interest income remains within established tolerance levels over the simulation horizons and to develop appropriate strategies to manage this exposure. The Company considers a variety of specified rate scenarios, including instantaneous rate shocks, against static (or flat) rates when measuring interest rate risk, and evaluates results over two consecutive twelve-month periods. All changes are measured in comparison to the projected net interest income that would result from an "unchanged" scenario, where interest rates remain stable over the measured time horizon(s).</w:t>
      </w:r>
    </w:p>
    <w:p>
      <w:pPr>
        <w:spacing w:after="0" w:line="17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While the ALCO reviews simulation assumptions to ensure they are reasonable, and back-tests simulation results on a periodic basis as a monitoring tool, income simulation analysis may not always prove to be an accurate indicator of the Company's interest rate risk or future earnings. There are inherent shortcomings in income simulation, given the number and variety of assumptions that must be made to perform it. For example, the projected level of future market interest rates and the shape of future interest rate yield curves have a major impact on income simulation results. Many assumptions concerning the repricing of financial instruments, the degree to which non-maturity deposits react to changes in market rates, and the expected prepayment rates on loans, mortgage-backed securities, and callable debt securities are also inherently uncertain. In addition, as income simulation analysis assumes that the Company's balance sheet will remain static over the simulation horizon, the results do not reflect the Company's expectations for future balance sheet growth, nor changes in business strategy that the Company could implement in response to rate shifts to mitigate its loss exposures. As such, although the analysis described above provides an indication of the Company's sensitivity to interest rate changes at a point in time, these estimates are not intended to and do not provide a precise forecast of the effect of changes in market interest rates on the Company's net interest income and will differ from actual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Measuring Interest Rate Risk</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can be subject to margin compression depending on the economic environment and the shape of the yield curve. Under the Company's current balance sheet position, the Company's margin generally performs slightly better over time in a rising rate environment, while it generally decreases in a declining rate environment and when the yield curve is flattening or inverted.</w:t>
      </w:r>
    </w:p>
    <w:p>
      <w:pPr>
        <w:spacing w:after="0" w:line="18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Under a flattening yield curve scenario, margin compression occurs as the spread between the cost of funding and the yield on interest earning assets narrows. Under this scenario the degree of margin compression is highly dependent on the Company's ability to fund asset growth through lower cost deposits. However, if the curve is flattening, while short-term rates are rising, the adverse impact on margin may be somewhat delayed, as increases in the Prime Rate will initially result in the Company's asset yields re-pricing more quickly than funding costs.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Under an inverted yield curve situation, shorter-term rates exceed longer-term rates, and the impact on margin is similar but more adverse than the flat curve scenario. Again, however, the extent of the impact on margin is highly dependent on the Company's balance sheet mix.</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 declining rate environment, margin compression will eventually occur as the yield on interest earning assets decreases more rapidly than decreases in funding costs. The primary causes would be the impact of interest rate decreases (including decreases in the Prime Rate) on adjustable rate loans and the fact that decreases in deposit rates may be limited or lag decreases in the Prime Rate.</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There have been no material changes in the results of the Company's net interest income sensitivity analysis as reported in the Company's 2017 Annual Report on Form 10-K. At March 31, 2018, management continues to consider the Company's primary interest rate risk exposure to be margin compression that may result from changes in interest rates and/or changes in the mix of the Company's balance sheet components. This would include the mix of fixed versus variable rate loans and investments on the asset side, and higher cost versus lower cost deposits and overnight borrowings versus term borrowings and certificates of deposit on the liability side.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maintains controls and procedures designed to ensure that information required to be disclosed in the reports the Company files or submits under the Securities Exchange Act of 1934 (“Exchange Act”) is recorded, processed, summarized and reported within the time periods specified in the rules and forms of the Securities and Exchange Commission, and that such information is accumulated and communicated to the Company’s management, including the Chief Executive Officer and Chief Financial Officer (the Company’s principal executive officer and principal financial officer, respectively), as appropriate to allow for timely decisions regarding timely disclosure. In designing and evaluating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7"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The Company’s management, with the participation of the Chief Executive Officer and Chief Financial Officer, has evaluated the effectiveness of its disclosure controls and procedures (as defined in Rules 13a-15(e) and 15d-15(e) under the Exchange Act) as of the end of the period covered by this Quarterly Report on Form 10-Q.</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this evaluation of the Company’s disclosure controls and procedures, the Chief Executive Officer and Chief Financial Officer have concluded that these disclosure controls and procedures were effective as of March 31, 2018.</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There were no changes in the Company’s internal controls over financial reporting (as defined in Rule 13a-15(f) of the Exchange Act) that occurred during the quarter ended March 31, 2018 that have materially affected, or is reasonably likely to materially affect, the Company’s internal controls over financial reporting.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PART II – OTHER INFORMATION</w:t>
      </w:r>
    </w:p>
    <w:p>
      <w:pPr>
        <w:sectPr>
          <w:pgSz w:w="11900" w:h="16838" w:orient="portrait"/>
          <w:cols w:equalWidth="0" w:num="1">
            <w:col w:w="10820"/>
          </w:cols>
          <w:pgMar w:left="240" w:top="118" w:right="8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Proceedings</w:t>
      </w:r>
    </w:p>
    <w:p>
      <w:pPr>
        <w:spacing w:after="0" w:line="222" w:lineRule="exact"/>
        <w:rPr>
          <w:sz w:val="20"/>
          <w:szCs w:val="20"/>
          <w:color w:val="auto"/>
        </w:rPr>
      </w:pPr>
    </w:p>
    <w:p>
      <w:pPr>
        <w:sectPr>
          <w:pgSz w:w="11900" w:h="16838" w:orient="portrait"/>
          <w:cols w:equalWidth="0" w:num="2">
            <w:col w:w="540" w:space="580"/>
            <w:col w:w="9700"/>
          </w:cols>
          <w:pgMar w:left="240" w:top="118" w:right="839" w:bottom="1440" w:gutter="0" w:footer="0" w:header="0"/>
          <w:type w:val="continuous"/>
        </w:sectPr>
      </w:pPr>
    </w:p>
    <w:p>
      <w:pPr>
        <w:spacing w:after="0" w:line="4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0820"/>
          </w:cols>
          <w:pgMar w:left="240" w:top="118" w:right="8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211" w:lineRule="exact"/>
        <w:rPr>
          <w:sz w:val="20"/>
          <w:szCs w:val="20"/>
          <w:color w:val="auto"/>
        </w:rPr>
      </w:pPr>
    </w:p>
    <w:p>
      <w:pPr>
        <w:sectPr>
          <w:pgSz w:w="11900" w:h="16838" w:orient="portrait"/>
          <w:cols w:equalWidth="0" w:num="2">
            <w:col w:w="680" w:space="440"/>
            <w:col w:w="9700"/>
          </w:cols>
          <w:pgMar w:left="240" w:top="118" w:right="839" w:bottom="1440" w:gutter="0" w:footer="0" w:header="0"/>
          <w:type w:val="continuous"/>
        </w:sectPr>
      </w:pPr>
    </w:p>
    <w:p>
      <w:pPr>
        <w:spacing w:after="0" w:line="4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There have been no material changes to the risk factors disclosed in Item 1A of the Company’s 2017 Annual Report on Form 10-K.</w:t>
      </w:r>
    </w:p>
    <w:p>
      <w:pPr>
        <w:sectPr>
          <w:pgSz w:w="11900" w:h="16838" w:orient="portrait"/>
          <w:cols w:equalWidth="0" w:num="1">
            <w:col w:w="10820"/>
          </w:cols>
          <w:pgMar w:left="240" w:top="118" w:right="8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Unregistered Sales of Equity Securities and Use of Proceeds</w:t>
      </w:r>
    </w:p>
    <w:p>
      <w:pPr>
        <w:spacing w:after="0" w:line="222" w:lineRule="exact"/>
        <w:rPr>
          <w:sz w:val="20"/>
          <w:szCs w:val="20"/>
          <w:color w:val="auto"/>
        </w:rPr>
      </w:pPr>
    </w:p>
    <w:p>
      <w:pPr>
        <w:sectPr>
          <w:pgSz w:w="11900" w:h="16838" w:orient="portrait"/>
          <w:cols w:equalWidth="0" w:num="2">
            <w:col w:w="540" w:space="580"/>
            <w:col w:w="9700"/>
          </w:cols>
          <w:pgMar w:left="240" w:top="118" w:right="839" w:bottom="1440" w:gutter="0" w:footer="0" w:header="0"/>
          <w:type w:val="continuous"/>
        </w:sectPr>
      </w:pPr>
    </w:p>
    <w:p>
      <w:pPr>
        <w:spacing w:after="0" w:line="4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There were no purchases made by the Company of its common stock during the three and nine months ended March 31, 2018.</w:t>
      </w:r>
    </w:p>
    <w:p>
      <w:pPr>
        <w:sectPr>
          <w:pgSz w:w="11900" w:h="16838" w:orient="portrait"/>
          <w:cols w:equalWidth="0" w:num="1">
            <w:col w:w="10820"/>
          </w:cols>
          <w:pgMar w:left="240" w:top="118" w:right="8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Defaults Upon Senior Securities</w:t>
      </w:r>
    </w:p>
    <w:p>
      <w:pPr>
        <w:spacing w:after="0" w:line="211" w:lineRule="exact"/>
        <w:rPr>
          <w:sz w:val="20"/>
          <w:szCs w:val="20"/>
          <w:color w:val="auto"/>
        </w:rPr>
      </w:pPr>
    </w:p>
    <w:p>
      <w:pPr>
        <w:sectPr>
          <w:pgSz w:w="11900" w:h="16838" w:orient="portrait"/>
          <w:cols w:equalWidth="0" w:num="2">
            <w:col w:w="540" w:space="580"/>
            <w:col w:w="9700"/>
          </w:cols>
          <w:pgMar w:left="240" w:top="118" w:right="839" w:bottom="1440" w:gutter="0" w:footer="0" w:header="0"/>
          <w:type w:val="continuous"/>
        </w:sectPr>
      </w:pPr>
    </w:p>
    <w:p>
      <w:pPr>
        <w:spacing w:after="0" w:line="4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0820"/>
          </w:cols>
          <w:pgMar w:left="240" w:top="118" w:right="8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Mine Safety Disclosures</w:t>
      </w:r>
    </w:p>
    <w:p>
      <w:pPr>
        <w:spacing w:after="0" w:line="222" w:lineRule="exact"/>
        <w:rPr>
          <w:sz w:val="20"/>
          <w:szCs w:val="20"/>
          <w:color w:val="auto"/>
        </w:rPr>
      </w:pPr>
    </w:p>
    <w:p>
      <w:pPr>
        <w:sectPr>
          <w:pgSz w:w="11900" w:h="16838" w:orient="portrait"/>
          <w:cols w:equalWidth="0" w:num="2">
            <w:col w:w="540" w:space="580"/>
            <w:col w:w="9700"/>
          </w:cols>
          <w:pgMar w:left="240" w:top="118" w:right="839" w:bottom="1440" w:gutter="0" w:footer="0" w:header="0"/>
          <w:type w:val="continuous"/>
        </w:sectPr>
      </w:pPr>
    </w:p>
    <w:p>
      <w:pPr>
        <w:spacing w:after="0" w:line="4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820"/>
          </w:cols>
          <w:pgMar w:left="240" w:top="118" w:right="8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Information</w:t>
      </w:r>
    </w:p>
    <w:p>
      <w:pPr>
        <w:spacing w:after="0" w:line="200" w:lineRule="exact"/>
        <w:rPr>
          <w:sz w:val="20"/>
          <w:szCs w:val="20"/>
          <w:color w:val="auto"/>
        </w:rPr>
      </w:pPr>
    </w:p>
    <w:p>
      <w:pPr>
        <w:sectPr>
          <w:pgSz w:w="11900" w:h="16838" w:orient="portrait"/>
          <w:cols w:equalWidth="0" w:num="2">
            <w:col w:w="540" w:space="580"/>
            <w:col w:w="9700"/>
          </w:cols>
          <w:pgMar w:left="240" w:top="118" w:right="839" w:bottom="1440" w:gutter="0" w:footer="0" w:header="0"/>
          <w:type w:val="continuous"/>
        </w:sectPr>
      </w:pPr>
    </w:p>
    <w:p>
      <w:pPr>
        <w:spacing w:after="0" w:line="4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0820"/>
          </w:cols>
          <w:pgMar w:left="240" w:top="118" w:right="8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Exhibits</w:t>
      </w:r>
    </w:p>
    <w:p>
      <w:pPr>
        <w:spacing w:after="0" w:line="211" w:lineRule="exact"/>
        <w:rPr>
          <w:sz w:val="20"/>
          <w:szCs w:val="20"/>
          <w:color w:val="auto"/>
        </w:rPr>
      </w:pPr>
    </w:p>
    <w:p>
      <w:pPr>
        <w:sectPr>
          <w:pgSz w:w="11900" w:h="16838" w:orient="portrait"/>
          <w:cols w:equalWidth="0" w:num="2">
            <w:col w:w="540" w:space="580"/>
            <w:col w:w="9700"/>
          </w:cols>
          <w:pgMar w:left="240" w:top="118" w:right="839" w:bottom="1440" w:gutter="0" w:footer="0" w:header="0"/>
          <w:type w:val="continuous"/>
        </w:sectPr>
      </w:pPr>
    </w:p>
    <w:p>
      <w:pPr>
        <w:spacing w:after="0" w:line="41" w:lineRule="exact"/>
        <w:rPr>
          <w:sz w:val="20"/>
          <w:szCs w:val="20"/>
          <w:color w:val="auto"/>
        </w:rPr>
      </w:pPr>
    </w:p>
    <w:p>
      <w:pPr>
        <w:ind w:left="920"/>
        <w:spacing w:after="0"/>
        <w:tabs>
          <w:tab w:leader="none" w:pos="2060" w:val="left"/>
        </w:tabs>
        <w:rPr>
          <w:sz w:val="20"/>
          <w:szCs w:val="20"/>
          <w:color w:val="auto"/>
        </w:rPr>
      </w:pPr>
      <w:r>
        <w:rPr>
          <w:rFonts w:ascii="Arial" w:cs="Arial" w:eastAsia="Arial" w:hAnsi="Arial"/>
          <w:sz w:val="18"/>
          <w:szCs w:val="18"/>
          <w:u w:val="single" w:color="auto"/>
          <w:color w:val="auto"/>
        </w:rPr>
        <w:t>Exhibits No</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Description</w:t>
      </w:r>
    </w:p>
    <w:p>
      <w:pPr>
        <w:spacing w:after="0" w:line="23" w:lineRule="exact"/>
        <w:rPr>
          <w:sz w:val="20"/>
          <w:szCs w:val="20"/>
          <w:color w:val="auto"/>
        </w:rPr>
      </w:pPr>
    </w:p>
    <w:p>
      <w:pPr>
        <w:jc w:val="right"/>
        <w:spacing w:after="0"/>
        <w:tabs>
          <w:tab w:leader="none" w:pos="872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53">
        <w:r>
          <w:rPr>
            <w:rFonts w:ascii="Arial" w:cs="Arial" w:eastAsia="Arial" w:hAnsi="Arial"/>
            <w:sz w:val="16"/>
            <w:szCs w:val="16"/>
            <w:u w:val="single" w:color="auto"/>
            <w:color w:val="0000EE"/>
          </w:rPr>
          <w:t>Certification of the Chief Executive Officer pursuant to Section 302 of the Sarbanes-Oxley Act of 2002 (Rule 13a-14(a)).</w:t>
        </w:r>
      </w:hyperlink>
    </w:p>
    <w:p>
      <w:pPr>
        <w:spacing w:after="0" w:line="9" w:lineRule="exact"/>
        <w:rPr>
          <w:sz w:val="20"/>
          <w:szCs w:val="20"/>
          <w:color w:val="auto"/>
        </w:rPr>
      </w:pPr>
    </w:p>
    <w:p>
      <w:pPr>
        <w:ind w:left="208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w:t>
        </w:r>
      </w:hyperlink>
    </w:p>
    <w:p>
      <w:pPr>
        <w:spacing w:after="0" w:line="9" w:lineRule="exact"/>
        <w:rPr>
          <w:sz w:val="20"/>
          <w:szCs w:val="20"/>
          <w:color w:val="auto"/>
        </w:rPr>
      </w:pPr>
    </w:p>
    <w:p>
      <w:pPr>
        <w:ind w:left="1220"/>
        <w:spacing w:after="0"/>
        <w:tabs>
          <w:tab w:leader="none" w:pos="20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54">
        <w:r>
          <w:rPr>
            <w:rFonts w:ascii="Arial" w:cs="Arial" w:eastAsia="Arial" w:hAnsi="Arial"/>
            <w:sz w:val="16"/>
            <w:szCs w:val="16"/>
            <w:u w:val="single" w:color="auto"/>
            <w:color w:val="0000EE"/>
          </w:rPr>
          <w:t>Certification of the Chief Financial Officer pursuant to Section 302 of the Sarbanes-Oxley Act of 2002 (Rule 13a-14(a)).</w:t>
        </w:r>
      </w:hyperlink>
    </w:p>
    <w:p>
      <w:pPr>
        <w:spacing w:after="0" w:line="9" w:lineRule="exact"/>
        <w:rPr>
          <w:sz w:val="20"/>
          <w:szCs w:val="20"/>
          <w:color w:val="auto"/>
        </w:rPr>
      </w:pPr>
    </w:p>
    <w:p>
      <w:pPr>
        <w:ind w:left="208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w:t>
        </w:r>
      </w:hyperlink>
    </w:p>
    <w:p>
      <w:pPr>
        <w:spacing w:after="0" w:line="9" w:lineRule="exact"/>
        <w:rPr>
          <w:sz w:val="20"/>
          <w:szCs w:val="20"/>
          <w:color w:val="auto"/>
        </w:rPr>
      </w:pPr>
    </w:p>
    <w:p>
      <w:pPr>
        <w:ind w:left="2080" w:right="80" w:hanging="859"/>
        <w:spacing w:after="0" w:line="250"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55">
        <w:r>
          <w:rPr>
            <w:rFonts w:ascii="Arial" w:cs="Arial" w:eastAsia="Arial" w:hAnsi="Arial"/>
            <w:sz w:val="18"/>
            <w:szCs w:val="18"/>
            <w:u w:val="single" w:color="auto"/>
            <w:color w:val="0000EE"/>
          </w:rPr>
          <w:t>Certificate of the Chief Executive Officer Pursuant to 18 U.S.C. Section 1350, as adopted pursuant to Section 906 of the</w:t>
        </w:r>
      </w:hyperlink>
      <w:r>
        <w:rPr>
          <w:rFonts w:ascii="Arial" w:cs="Arial" w:eastAsia="Arial" w:hAnsi="Arial"/>
          <w:sz w:val="18"/>
          <w:szCs w:val="18"/>
          <w:u w:val="single" w:color="auto"/>
          <w:color w:val="0000EE"/>
        </w:rPr>
        <w:t xml:space="preserve"> </w:t>
      </w:r>
      <w:hyperlink w:anchor="page55">
        <w:r>
          <w:rPr>
            <w:rFonts w:ascii="Arial" w:cs="Arial" w:eastAsia="Arial" w:hAnsi="Arial"/>
            <w:sz w:val="18"/>
            <w:szCs w:val="18"/>
            <w:u w:val="single" w:color="auto"/>
            <w:color w:val="0000EE"/>
          </w:rPr>
          <w:t>Sarbanes-Oxley Act of 2002 (Rule 13a-14(b)). **</w:t>
        </w:r>
      </w:hyperlink>
    </w:p>
    <w:p>
      <w:pPr>
        <w:spacing w:after="0" w:line="1" w:lineRule="exact"/>
        <w:rPr>
          <w:sz w:val="20"/>
          <w:szCs w:val="20"/>
          <w:color w:val="auto"/>
        </w:rPr>
      </w:pPr>
    </w:p>
    <w:p>
      <w:pPr>
        <w:ind w:left="2080" w:right="140" w:hanging="859"/>
        <w:spacing w:after="0" w:line="250"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56">
        <w:r>
          <w:rPr>
            <w:rFonts w:ascii="Arial" w:cs="Arial" w:eastAsia="Arial" w:hAnsi="Arial"/>
            <w:sz w:val="18"/>
            <w:szCs w:val="18"/>
            <w:u w:val="single" w:color="auto"/>
            <w:color w:val="0000EE"/>
          </w:rPr>
          <w:t>Certificate of the Chief Financial Officer Pursuant to 18 U.S.C. Section 1350, as adopted pursuant to Section 906 of the</w:t>
        </w:r>
      </w:hyperlink>
      <w:r>
        <w:rPr>
          <w:rFonts w:ascii="Arial" w:cs="Arial" w:eastAsia="Arial" w:hAnsi="Arial"/>
          <w:sz w:val="18"/>
          <w:szCs w:val="18"/>
          <w:u w:val="single" w:color="auto"/>
          <w:color w:val="0000EE"/>
        </w:rPr>
        <w:t xml:space="preserve"> </w:t>
      </w:r>
      <w:hyperlink w:anchor="page56">
        <w:r>
          <w:rPr>
            <w:rFonts w:ascii="Arial" w:cs="Arial" w:eastAsia="Arial" w:hAnsi="Arial"/>
            <w:sz w:val="18"/>
            <w:szCs w:val="18"/>
            <w:u w:val="single" w:color="auto"/>
            <w:color w:val="0000EE"/>
          </w:rPr>
          <w:t>Sarbanes-Oxley Act of 2002 (Rule 13a-14(b)). **</w:t>
        </w:r>
      </w:hyperlink>
    </w:p>
    <w:p>
      <w:pPr>
        <w:spacing w:after="0" w:line="1" w:lineRule="exact"/>
        <w:rPr>
          <w:sz w:val="20"/>
          <w:szCs w:val="20"/>
          <w:color w:val="auto"/>
        </w:rPr>
      </w:pPr>
    </w:p>
    <w:p>
      <w:pPr>
        <w:ind w:left="2080" w:right="20" w:hanging="843"/>
        <w:spacing w:after="0" w:line="252" w:lineRule="auto"/>
        <w:tabs>
          <w:tab w:leader="none" w:pos="2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following materials from Northeast Bancorp’s Quarterly Report on Form 10-Q for the quarter ended March 31, 2018 formatted in XBRL: (i) Consolidated Balance Sheets as of March 31, 2018 and June 30, 2017; (ii) Consolidated Statements of Income for the three and nine months ended March 31, 2018 and 2017; (iii) Consolidated Statements of Comprehensive Income for the three and nine months ended March 31, 2018 and 2017; (iv) Consolidated Statements of Changes in Shareholders’ Equity for the nine months ended March 31, 2018 and 2017; (v) Consolidated Statements of Cash Flows for the nine months ended March 31, 2018 and 2017; and (v) Notes to Unaudited Consolidated Financial Statements. *</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20"/>
          </w:cols>
          <w:pgMar w:left="240" w:top="118" w:right="839" w:bottom="1440" w:gutter="0" w:footer="0" w:header="0"/>
          <w:type w:val="continuous"/>
        </w:sectPr>
      </w:pPr>
    </w:p>
    <w:bookmarkStart w:id="50" w:name="page51"/>
    <w:bookmarkEnd w:id="5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20"/>
                <w:szCs w:val="20"/>
                <w:color w:val="auto"/>
              </w:rPr>
            </w:pPr>
            <w:r>
              <w:rPr>
                <w:rFonts w:ascii="Arial" w:cs="Arial" w:eastAsia="Arial" w:hAnsi="Arial"/>
                <w:sz w:val="18"/>
                <w:szCs w:val="18"/>
                <w:color w:val="auto"/>
              </w:rPr>
              <w:t>Date: May 10, 2018</w:t>
            </w:r>
          </w:p>
        </w:tc>
        <w:tc>
          <w:tcPr>
            <w:tcW w:w="7880" w:type="dxa"/>
            <w:vAlign w:val="bottom"/>
            <w:gridSpan w:val="4"/>
          </w:tcPr>
          <w:p>
            <w:pPr>
              <w:ind w:left="3600"/>
              <w:spacing w:after="0"/>
              <w:rPr>
                <w:sz w:val="20"/>
                <w:szCs w:val="20"/>
                <w:color w:val="auto"/>
              </w:rPr>
            </w:pPr>
            <w:r>
              <w:rPr>
                <w:rFonts w:ascii="Arial" w:cs="Arial" w:eastAsia="Arial" w:hAnsi="Arial"/>
                <w:sz w:val="18"/>
                <w:szCs w:val="18"/>
                <w:b w:val="1"/>
                <w:bCs w:val="1"/>
                <w:color w:val="auto"/>
              </w:rPr>
              <w:t>NORTHEAST BANCORP</w:t>
            </w:r>
          </w:p>
        </w:tc>
      </w:tr>
      <w:tr>
        <w:trPr>
          <w:trHeight w:val="190"/>
        </w:trPr>
        <w:tc>
          <w:tcPr>
            <w:tcW w:w="3540" w:type="dxa"/>
            <w:vAlign w:val="bottom"/>
          </w:tcPr>
          <w:p>
            <w:pPr>
              <w:spacing w:after="0"/>
              <w:rPr>
                <w:sz w:val="16"/>
                <w:szCs w:val="16"/>
                <w:color w:val="auto"/>
              </w:rPr>
            </w:pPr>
          </w:p>
        </w:tc>
        <w:tc>
          <w:tcPr>
            <w:tcW w:w="7880" w:type="dxa"/>
            <w:vAlign w:val="bottom"/>
            <w:gridSpan w:val="4"/>
          </w:tcPr>
          <w:p>
            <w:pPr>
              <w:ind w:left="3340"/>
              <w:spacing w:after="0" w:line="190" w:lineRule="exact"/>
              <w:rPr>
                <w:sz w:val="20"/>
                <w:szCs w:val="20"/>
                <w:color w:val="auto"/>
              </w:rPr>
            </w:pPr>
            <w:r>
              <w:rPr>
                <w:rFonts w:ascii="Arial" w:cs="Arial" w:eastAsia="Arial" w:hAnsi="Arial"/>
                <w:sz w:val="18"/>
                <w:szCs w:val="18"/>
                <w:color w:val="auto"/>
              </w:rPr>
              <w:t>By:/s/ Richard Wayne</w:t>
            </w:r>
          </w:p>
        </w:tc>
      </w:tr>
      <w:tr>
        <w:trPr>
          <w:trHeight w:val="222"/>
        </w:trPr>
        <w:tc>
          <w:tcPr>
            <w:tcW w:w="35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3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9"/>
              </w:rPr>
              <w:t>Richard Wayne</w:t>
            </w:r>
          </w:p>
        </w:tc>
        <w:tc>
          <w:tcPr>
            <w:tcW w:w="2960" w:type="dxa"/>
            <w:vAlign w:val="bottom"/>
            <w:gridSpan w:val="2"/>
          </w:tcPr>
          <w:p>
            <w:pPr>
              <w:spacing w:after="0"/>
              <w:rPr>
                <w:sz w:val="19"/>
                <w:szCs w:val="19"/>
                <w:color w:val="auto"/>
              </w:rPr>
            </w:pPr>
          </w:p>
        </w:tc>
      </w:tr>
      <w:tr>
        <w:trPr>
          <w:trHeight w:val="230"/>
        </w:trPr>
        <w:tc>
          <w:tcPr>
            <w:tcW w:w="35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280" w:type="dxa"/>
            <w:vAlign w:val="bottom"/>
            <w:gridSpan w:val="3"/>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392"/>
        </w:trPr>
        <w:tc>
          <w:tcPr>
            <w:tcW w:w="3540" w:type="dxa"/>
            <w:vAlign w:val="bottom"/>
          </w:tcPr>
          <w:p>
            <w:pPr>
              <w:spacing w:after="0"/>
              <w:rPr>
                <w:sz w:val="24"/>
                <w:szCs w:val="24"/>
                <w:color w:val="auto"/>
              </w:rPr>
            </w:pPr>
          </w:p>
        </w:tc>
        <w:tc>
          <w:tcPr>
            <w:tcW w:w="7880" w:type="dxa"/>
            <w:vAlign w:val="bottom"/>
            <w:gridSpan w:val="4"/>
          </w:tcPr>
          <w:p>
            <w:pPr>
              <w:ind w:left="3340"/>
              <w:spacing w:after="0"/>
              <w:rPr>
                <w:sz w:val="20"/>
                <w:szCs w:val="20"/>
                <w:color w:val="auto"/>
              </w:rPr>
            </w:pPr>
            <w:r>
              <w:rPr>
                <w:rFonts w:ascii="Arial" w:cs="Arial" w:eastAsia="Arial" w:hAnsi="Arial"/>
                <w:sz w:val="18"/>
                <w:szCs w:val="18"/>
                <w:color w:val="auto"/>
              </w:rPr>
              <w:t>By:/s/ Jean-Pierre Lapointe</w:t>
            </w:r>
          </w:p>
        </w:tc>
      </w:tr>
      <w:tr>
        <w:trPr>
          <w:trHeight w:val="222"/>
        </w:trPr>
        <w:tc>
          <w:tcPr>
            <w:tcW w:w="35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7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w w:val="95"/>
              </w:rPr>
              <w:t>Jean-Pierre Lapointe</w:t>
            </w:r>
          </w:p>
        </w:tc>
        <w:tc>
          <w:tcPr>
            <w:tcW w:w="258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280" w:type="dxa"/>
            <w:vAlign w:val="bottom"/>
            <w:gridSpan w:val="3"/>
          </w:tcPr>
          <w:p>
            <w:pPr>
              <w:ind w:left="80"/>
              <w:spacing w:after="0"/>
              <w:rPr>
                <w:sz w:val="20"/>
                <w:szCs w:val="20"/>
                <w:color w:val="auto"/>
              </w:rPr>
            </w:pPr>
            <w:r>
              <w:rPr>
                <w:rFonts w:ascii="Arial" w:cs="Arial" w:eastAsia="Arial" w:hAnsi="Arial"/>
                <w:sz w:val="18"/>
                <w:szCs w:val="18"/>
                <w:color w:val="auto"/>
              </w:rPr>
              <w:t>Chief Financial Officer and Treasurer</w:t>
            </w:r>
          </w:p>
        </w:tc>
      </w:tr>
      <w:tr>
        <w:trPr>
          <w:trHeight w:val="648"/>
        </w:trPr>
        <w:tc>
          <w:tcPr>
            <w:tcW w:w="3540" w:type="dxa"/>
            <w:vAlign w:val="bottom"/>
          </w:tcPr>
          <w:p>
            <w:pPr>
              <w:spacing w:after="0"/>
              <w:rPr>
                <w:sz w:val="24"/>
                <w:szCs w:val="24"/>
                <w:color w:val="auto"/>
              </w:rPr>
            </w:pPr>
          </w:p>
        </w:tc>
        <w:tc>
          <w:tcPr>
            <w:tcW w:w="3600" w:type="dxa"/>
            <w:vAlign w:val="bottom"/>
          </w:tcPr>
          <w:p>
            <w:pPr>
              <w:jc w:val="right"/>
              <w:ind w:right="1250"/>
              <w:spacing w:after="0"/>
              <w:rPr>
                <w:sz w:val="20"/>
                <w:szCs w:val="20"/>
                <w:color w:val="auto"/>
              </w:rPr>
            </w:pPr>
            <w:r>
              <w:rPr>
                <w:rFonts w:ascii="Arial" w:cs="Arial" w:eastAsia="Arial" w:hAnsi="Arial"/>
                <w:sz w:val="18"/>
                <w:szCs w:val="18"/>
                <w:color w:val="auto"/>
              </w:rPr>
              <w:t>47</w:t>
            </w: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15"/>
        </w:trPr>
        <w:tc>
          <w:tcPr>
            <w:tcW w:w="354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NORTHEAST BANCORP</w:t>
      </w:r>
    </w:p>
    <w:p>
      <w:pPr>
        <w:spacing w:after="0" w:line="2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Index to Exhibits</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Exhibits No</w:t>
      </w:r>
      <w:r>
        <w:rPr>
          <w:rFonts w:ascii="Arial" w:cs="Arial" w:eastAsia="Arial" w:hAnsi="Arial"/>
          <w:sz w:val="18"/>
          <w:szCs w:val="18"/>
          <w:color w:val="auto"/>
        </w:rPr>
        <w:t xml:space="preserve">.  </w:t>
      </w:r>
      <w:r>
        <w:rPr>
          <w:rFonts w:ascii="Arial" w:cs="Arial" w:eastAsia="Arial" w:hAnsi="Arial"/>
          <w:sz w:val="18"/>
          <w:szCs w:val="18"/>
          <w:u w:val="single" w:color="auto"/>
          <w:color w:val="auto"/>
        </w:rPr>
        <w:t>Description</w:t>
      </w:r>
    </w:p>
    <w:p>
      <w:pPr>
        <w:spacing w:after="0" w:line="23" w:lineRule="exact"/>
        <w:rPr>
          <w:sz w:val="20"/>
          <w:szCs w:val="20"/>
          <w:color w:val="auto"/>
        </w:rPr>
      </w:pPr>
    </w:p>
    <w:p>
      <w:pPr>
        <w:ind w:left="2040" w:right="360" w:hanging="737"/>
        <w:spacing w:after="0" w:line="250" w:lineRule="auto"/>
        <w:tabs>
          <w:tab w:leader="none" w:pos="20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pursuant to Section 302 of the Sarbanes-Oxley Act of 2002 (Rule 13a-14(a)). *</w:t>
      </w:r>
    </w:p>
    <w:p>
      <w:pPr>
        <w:spacing w:after="0" w:line="1" w:lineRule="exact"/>
        <w:rPr>
          <w:sz w:val="20"/>
          <w:szCs w:val="20"/>
          <w:color w:val="auto"/>
        </w:rPr>
      </w:pPr>
    </w:p>
    <w:p>
      <w:pPr>
        <w:ind w:left="2040" w:right="420" w:hanging="737"/>
        <w:spacing w:after="0" w:line="250" w:lineRule="auto"/>
        <w:tabs>
          <w:tab w:leader="none" w:pos="20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Chief Financial Officer pursuant to Section 302 of the Sarbanes-Oxley Act of 2002 (Rule 13a-14(a)). *</w:t>
      </w:r>
    </w:p>
    <w:p>
      <w:pPr>
        <w:spacing w:after="0" w:line="1" w:lineRule="exact"/>
        <w:rPr>
          <w:sz w:val="20"/>
          <w:szCs w:val="20"/>
          <w:color w:val="auto"/>
        </w:rPr>
      </w:pPr>
    </w:p>
    <w:p>
      <w:pPr>
        <w:ind w:left="2040" w:right="240" w:hanging="737"/>
        <w:spacing w:after="0" w:line="250" w:lineRule="auto"/>
        <w:tabs>
          <w:tab w:leader="none" w:pos="20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Certificate of the Chief Executive Officer pursuant to 18 U.S.C. Section 1350, as adopted pursuant to Section 906 of the Sarbanes-Oxley Act of 2002 (Rule 13a-14(b)). **</w:t>
      </w:r>
    </w:p>
    <w:p>
      <w:pPr>
        <w:spacing w:after="0" w:line="1" w:lineRule="exact"/>
        <w:rPr>
          <w:sz w:val="20"/>
          <w:szCs w:val="20"/>
          <w:color w:val="auto"/>
        </w:rPr>
      </w:pPr>
    </w:p>
    <w:p>
      <w:pPr>
        <w:ind w:left="2040" w:right="20" w:hanging="737"/>
        <w:spacing w:after="0" w:line="250" w:lineRule="auto"/>
        <w:tabs>
          <w:tab w:leader="none" w:pos="20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Certificate of the Chief Financial Officer pursuant to 18 U.S.C. Section 1350, as adopted pursuant to Section 906 of the Sarbanes-Oxley Act of 2002 (Rule 13a-14(b)). **</w:t>
      </w:r>
    </w:p>
    <w:p>
      <w:pPr>
        <w:spacing w:after="0" w:line="1" w:lineRule="exact"/>
        <w:rPr>
          <w:sz w:val="20"/>
          <w:szCs w:val="20"/>
          <w:color w:val="auto"/>
        </w:rPr>
      </w:pPr>
    </w:p>
    <w:p>
      <w:pPr>
        <w:ind w:left="2040" w:hanging="722"/>
        <w:spacing w:after="0" w:line="252" w:lineRule="auto"/>
        <w:tabs>
          <w:tab w:leader="none" w:pos="2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following materials from Northeast Bancorp’s Quarterly Report on Form 10-Q for the quarter ended March 31 2018 formatted in XBRL: (i) Consolidated Balance Sheets as of March 31, 2018 and June 30, 2017; (ii) Consolidated Statements of Income for the three and nine months ended March 31, 2018 and 2017; (iii) Consolidated Statements of Comprehensive Income for the three and nine months ended March 31, 2018 and 2017; (iv) Consolidated Statements of Changes in Shareholders’ Equity for the nine months ended March 31, 2018 and 2017; (v) Consolidated Statements of Cash Flows for the nine months ended March 31, 2018 and 2017; and (v) Notes to Unaudited Consolidated Financial Statements. *</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660"/>
          </w:cols>
          <w:pgMar w:left="240" w:top="118" w:right="999" w:bottom="1440" w:gutter="0" w:footer="0" w:header="0"/>
        </w:sectPr>
      </w:pPr>
    </w:p>
    <w:bookmarkStart w:id="52" w:name="page53"/>
    <w:bookmarkEnd w:id="52"/>
    <w:p>
      <w:pPr>
        <w:spacing w:after="0"/>
        <w:tabs>
          <w:tab w:leader="none" w:pos="1140" w:val="left"/>
        </w:tabs>
        <w:rPr>
          <w:sz w:val="20"/>
          <w:szCs w:val="20"/>
          <w:color w:val="auto"/>
        </w:rPr>
      </w:pPr>
      <w:r>
        <w:rPr>
          <w:rFonts w:ascii="Arial" w:cs="Arial" w:eastAsia="Arial" w:hAnsi="Arial"/>
          <w:sz w:val="18"/>
          <w:szCs w:val="18"/>
          <w:b w:val="1"/>
          <w:bCs w:val="1"/>
          <w:color w:val="auto"/>
        </w:rPr>
        <w:t>Exhibit 31.1</w:t>
      </w:r>
      <w:r>
        <w:rPr>
          <w:sz w:val="20"/>
          <w:szCs w:val="20"/>
          <w:color w:val="auto"/>
        </w:rPr>
        <w:tab/>
      </w:r>
      <w:r>
        <w:rPr>
          <w:rFonts w:ascii="Arial" w:cs="Arial" w:eastAsia="Arial" w:hAnsi="Arial"/>
          <w:sz w:val="16"/>
          <w:szCs w:val="16"/>
          <w:b w:val="1"/>
          <w:bCs w:val="1"/>
          <w:color w:val="auto"/>
        </w:rPr>
        <w:t>Certification of the Chief Executive Officer</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Wayne, certify that:</w:t>
      </w:r>
    </w:p>
    <w:p>
      <w:pPr>
        <w:spacing w:after="0" w:line="225" w:lineRule="exact"/>
        <w:rPr>
          <w:sz w:val="20"/>
          <w:szCs w:val="20"/>
          <w:color w:val="auto"/>
        </w:rPr>
      </w:pPr>
    </w:p>
    <w:p>
      <w:pPr>
        <w:ind w:left="620" w:hanging="376"/>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jc w:val="both"/>
        <w:ind w:left="620" w:right="280" w:hanging="376"/>
        <w:spacing w:after="0" w:line="264" w:lineRule="auto"/>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20" w:right="240" w:hanging="376"/>
        <w:spacing w:after="0" w:line="308" w:lineRule="auto"/>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260" w:hanging="376"/>
        <w:spacing w:after="0" w:line="264" w:lineRule="auto"/>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20" w:hanging="4"/>
        <w:spacing w:after="0" w:line="264" w:lineRule="auto"/>
        <w:tabs>
          <w:tab w:leader="none" w:pos="9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20" w:right="220" w:hanging="4"/>
        <w:spacing w:after="0" w:line="264" w:lineRule="auto"/>
        <w:tabs>
          <w:tab w:leader="none" w:pos="87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20" w:right="760" w:hanging="4"/>
        <w:spacing w:after="0" w:line="342" w:lineRule="auto"/>
        <w:tabs>
          <w:tab w:leader="none" w:pos="91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20" w:right="260" w:hanging="4"/>
        <w:spacing w:after="0" w:line="264" w:lineRule="auto"/>
        <w:tabs>
          <w:tab w:leader="none" w:pos="9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20" w:right="180" w:hanging="376"/>
        <w:spacing w:after="0" w:line="308" w:lineRule="auto"/>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20" w:right="160" w:hanging="4"/>
        <w:spacing w:after="0" w:line="277"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20" w:right="120" w:hanging="4"/>
        <w:spacing w:after="0" w:line="277" w:lineRule="auto"/>
        <w:tabs>
          <w:tab w:leader="none" w:pos="9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May 10, 2018</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u w:val="single" w:color="auto"/>
          <w:color w:val="auto"/>
        </w:rPr>
        <w:t>/s/ Richard Wayne</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Richard Wayne</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360"/>
          </w:cols>
          <w:pgMar w:left="240" w:top="121" w:right="299" w:bottom="1440" w:gutter="0" w:footer="0" w:header="0"/>
        </w:sectPr>
      </w:pPr>
    </w:p>
    <w:bookmarkStart w:id="53" w:name="page54"/>
    <w:bookmarkEnd w:id="53"/>
    <w:p>
      <w:pPr>
        <w:spacing w:after="0"/>
        <w:tabs>
          <w:tab w:leader="none" w:pos="1140" w:val="left"/>
        </w:tabs>
        <w:rPr>
          <w:sz w:val="20"/>
          <w:szCs w:val="20"/>
          <w:color w:val="auto"/>
        </w:rPr>
      </w:pPr>
      <w:r>
        <w:rPr>
          <w:rFonts w:ascii="Arial" w:cs="Arial" w:eastAsia="Arial" w:hAnsi="Arial"/>
          <w:sz w:val="18"/>
          <w:szCs w:val="18"/>
          <w:b w:val="1"/>
          <w:bCs w:val="1"/>
          <w:color w:val="auto"/>
        </w:rPr>
        <w:t>Exhibit 31.2</w:t>
      </w:r>
      <w:r>
        <w:rPr>
          <w:sz w:val="20"/>
          <w:szCs w:val="20"/>
          <w:color w:val="auto"/>
        </w:rPr>
        <w:tab/>
      </w:r>
      <w:r>
        <w:rPr>
          <w:rFonts w:ascii="Arial" w:cs="Arial" w:eastAsia="Arial" w:hAnsi="Arial"/>
          <w:sz w:val="16"/>
          <w:szCs w:val="16"/>
          <w:b w:val="1"/>
          <w:bCs w:val="1"/>
          <w:color w:val="auto"/>
        </w:rPr>
        <w:t>Certification of the Chief Financial Officer</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J.P. Lapointe, certify that:</w:t>
      </w:r>
    </w:p>
    <w:p>
      <w:pPr>
        <w:spacing w:after="0" w:line="225" w:lineRule="exact"/>
        <w:rPr>
          <w:sz w:val="20"/>
          <w:szCs w:val="20"/>
          <w:color w:val="auto"/>
        </w:rPr>
      </w:pPr>
    </w:p>
    <w:p>
      <w:pPr>
        <w:ind w:left="620" w:hanging="376"/>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jc w:val="both"/>
        <w:ind w:left="620" w:right="280" w:hanging="376"/>
        <w:spacing w:after="0" w:line="264" w:lineRule="auto"/>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20" w:right="240" w:hanging="376"/>
        <w:spacing w:after="0" w:line="308" w:lineRule="auto"/>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260" w:hanging="376"/>
        <w:spacing w:after="0" w:line="264" w:lineRule="auto"/>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20" w:hanging="4"/>
        <w:spacing w:after="0" w:line="264" w:lineRule="auto"/>
        <w:tabs>
          <w:tab w:leader="none" w:pos="91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20" w:right="220" w:hanging="4"/>
        <w:spacing w:after="0" w:line="264" w:lineRule="auto"/>
        <w:tabs>
          <w:tab w:leader="none" w:pos="87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20" w:right="760" w:hanging="4"/>
        <w:spacing w:after="0" w:line="342" w:lineRule="auto"/>
        <w:tabs>
          <w:tab w:leader="none" w:pos="91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20" w:right="260" w:hanging="4"/>
        <w:spacing w:after="0" w:line="264" w:lineRule="auto"/>
        <w:tabs>
          <w:tab w:leader="none" w:pos="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20" w:right="180" w:hanging="376"/>
        <w:spacing w:after="0" w:line="308" w:lineRule="auto"/>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20" w:right="160" w:hanging="4"/>
        <w:spacing w:after="0" w:line="277"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20" w:right="120" w:hanging="4"/>
        <w:spacing w:after="0" w:line="277" w:lineRule="auto"/>
        <w:tabs>
          <w:tab w:leader="none" w:pos="91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May 10, 2018</w:t>
      </w:r>
      <w:r>
        <w:rPr>
          <w:sz w:val="20"/>
          <w:szCs w:val="20"/>
          <w:color w:val="auto"/>
        </w:rPr>
        <w:tab/>
      </w:r>
      <w:r>
        <w:rPr>
          <w:rFonts w:ascii="Arial" w:cs="Arial" w:eastAsia="Arial" w:hAnsi="Arial"/>
          <w:sz w:val="16"/>
          <w:szCs w:val="16"/>
          <w:u w:val="single" w:color="auto"/>
          <w:color w:val="auto"/>
        </w:rPr>
        <w:t>/s/ Jean-Pierre Lapointe</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Jean-Pierre Lapointe</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360"/>
          </w:cols>
          <w:pgMar w:left="240" w:top="121" w:right="299" w:bottom="1440" w:gutter="0" w:footer="0" w:header="0"/>
        </w:sectPr>
      </w:pPr>
    </w:p>
    <w:bookmarkStart w:id="54" w:name="page55"/>
    <w:bookmarkEnd w:id="54"/>
    <w:p>
      <w:pPr>
        <w:spacing w:after="0"/>
        <w:tabs>
          <w:tab w:leader="none" w:pos="1180" w:val="left"/>
        </w:tabs>
        <w:rPr>
          <w:sz w:val="20"/>
          <w:szCs w:val="20"/>
          <w:color w:val="auto"/>
        </w:rPr>
      </w:pPr>
      <w:r>
        <w:rPr>
          <w:rFonts w:ascii="Arial" w:cs="Arial" w:eastAsia="Arial" w:hAnsi="Arial"/>
          <w:sz w:val="18"/>
          <w:szCs w:val="18"/>
          <w:b w:val="1"/>
          <w:bCs w:val="1"/>
          <w:color w:val="auto"/>
        </w:rPr>
        <w:t>Exhibit 32.1.</w:t>
      </w:r>
      <w:r>
        <w:rPr>
          <w:sz w:val="20"/>
          <w:szCs w:val="20"/>
          <w:color w:val="auto"/>
        </w:rPr>
        <w:tab/>
      </w:r>
      <w:r>
        <w:rPr>
          <w:rFonts w:ascii="Arial" w:cs="Arial" w:eastAsia="Arial" w:hAnsi="Arial"/>
          <w:sz w:val="16"/>
          <w:szCs w:val="16"/>
          <w:b w:val="1"/>
          <w:bCs w:val="1"/>
          <w:color w:val="auto"/>
        </w:rPr>
        <w:t>Certificate of the Chief Executive Officer</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March 31, 2018 as filed with the Securities and Exchange Commission on the date hereof (the "Report"), I, Richard Wayne, as Chief Executive Officer of the Company, hereby certify pursuant to 18 U.S.C. 1350, as adopted pursuant to 906 of the Sarbanes-Oxley Act of 2002, that:</w:t>
      </w:r>
    </w:p>
    <w:p>
      <w:pPr>
        <w:spacing w:after="0" w:line="181" w:lineRule="exact"/>
        <w:rPr>
          <w:sz w:val="20"/>
          <w:szCs w:val="20"/>
          <w:color w:val="auto"/>
        </w:rPr>
      </w:pPr>
    </w:p>
    <w:p>
      <w:pPr>
        <w:ind w:left="680" w:hanging="294"/>
        <w:spacing w:after="0"/>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380" w:firstLine="6"/>
        <w:spacing w:after="0" w:line="277" w:lineRule="auto"/>
        <w:tabs>
          <w:tab w:leader="none" w:pos="67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87"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May 10, 2018</w:t>
      </w:r>
      <w:r>
        <w:rPr>
          <w:sz w:val="20"/>
          <w:szCs w:val="20"/>
          <w:color w:val="auto"/>
        </w:rPr>
        <w:tab/>
      </w:r>
      <w:r>
        <w:rPr>
          <w:rFonts w:ascii="Arial" w:cs="Arial" w:eastAsia="Arial" w:hAnsi="Arial"/>
          <w:sz w:val="16"/>
          <w:szCs w:val="16"/>
          <w:u w:val="single" w:color="auto"/>
          <w:color w:val="auto"/>
        </w:rPr>
        <w:t>/s/ Richard Wayne</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Richard Wayne</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340"/>
          </w:cols>
          <w:pgMar w:left="240" w:top="121" w:right="319" w:bottom="1440" w:gutter="0" w:footer="0" w:header="0"/>
        </w:sectPr>
      </w:pPr>
    </w:p>
    <w:bookmarkStart w:id="55" w:name="page56"/>
    <w:bookmarkEnd w:id="55"/>
    <w:p>
      <w:pPr>
        <w:spacing w:after="0"/>
        <w:tabs>
          <w:tab w:leader="none" w:pos="1180" w:val="left"/>
        </w:tabs>
        <w:rPr>
          <w:sz w:val="20"/>
          <w:szCs w:val="20"/>
          <w:color w:val="auto"/>
        </w:rPr>
      </w:pPr>
      <w:r>
        <w:rPr>
          <w:rFonts w:ascii="Arial" w:cs="Arial" w:eastAsia="Arial" w:hAnsi="Arial"/>
          <w:sz w:val="18"/>
          <w:szCs w:val="18"/>
          <w:b w:val="1"/>
          <w:bCs w:val="1"/>
          <w:color w:val="auto"/>
        </w:rPr>
        <w:t>Exhibit 32.2.</w:t>
      </w:r>
      <w:r>
        <w:rPr>
          <w:sz w:val="20"/>
          <w:szCs w:val="20"/>
          <w:color w:val="auto"/>
        </w:rPr>
        <w:tab/>
      </w:r>
      <w:r>
        <w:rPr>
          <w:rFonts w:ascii="Arial" w:cs="Arial" w:eastAsia="Arial" w:hAnsi="Arial"/>
          <w:sz w:val="16"/>
          <w:szCs w:val="16"/>
          <w:b w:val="1"/>
          <w:bCs w:val="1"/>
          <w:color w:val="auto"/>
        </w:rPr>
        <w:t>Certificate of the Chief Financial Officer</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March 31, 2018 as filed with the Securities and Exchange Commission on the date hereof (the "Report"), I, J.P. Lapointe, as Chief Financial Officer of the Company, hereby certify pursuant to 18 U.S.C. 1350, as adopted pursuant to 906 of the Sarbanes-Oxley Act of 2002, that:</w:t>
      </w:r>
    </w:p>
    <w:p>
      <w:pPr>
        <w:spacing w:after="0" w:line="181" w:lineRule="exact"/>
        <w:rPr>
          <w:sz w:val="20"/>
          <w:szCs w:val="20"/>
          <w:color w:val="auto"/>
        </w:rPr>
      </w:pPr>
    </w:p>
    <w:p>
      <w:pPr>
        <w:ind w:left="680" w:hanging="294"/>
        <w:spacing w:after="0"/>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380" w:firstLine="6"/>
        <w:spacing w:after="0" w:line="277" w:lineRule="auto"/>
        <w:tabs>
          <w:tab w:leader="none" w:pos="67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87"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May 10, 2018</w:t>
      </w:r>
      <w:r>
        <w:rPr>
          <w:sz w:val="20"/>
          <w:szCs w:val="20"/>
          <w:color w:val="auto"/>
        </w:rPr>
        <w:tab/>
      </w:r>
      <w:r>
        <w:rPr>
          <w:rFonts w:ascii="Arial" w:cs="Arial" w:eastAsia="Arial" w:hAnsi="Arial"/>
          <w:sz w:val="16"/>
          <w:szCs w:val="16"/>
          <w:u w:val="single" w:color="auto"/>
          <w:color w:val="auto"/>
        </w:rPr>
        <w:t>/s/ Jean-Pierre Lapointe</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Jean-Pierre Lapointe</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1340"/>
      </w:cols>
      <w:pgMar w:left="24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1."/>
      <w:numFmt w:val="decimal"/>
      <w:start w:val="2"/>
    </w:lvl>
  </w:abstractNum>
  <w:abstractNum w:abstractNumId="2">
    <w:nsid w:val="62BBD95A"/>
    <w:multiLevelType w:val="hybridMultilevel"/>
    <w:lvl w:ilvl="0">
      <w:lvlJc w:val="left"/>
      <w:lvlText w:val="%1."/>
      <w:numFmt w:val="decimal"/>
      <w:start w:val="3"/>
    </w:lvl>
  </w:abstractNum>
  <w:abstractNum w:abstractNumId="3">
    <w:nsid w:val="436C6125"/>
    <w:multiLevelType w:val="hybridMultilevel"/>
    <w:lvl w:ilvl="0">
      <w:lvlJc w:val="left"/>
      <w:lvlText w:val="%1."/>
      <w:numFmt w:val="decimal"/>
      <w:start w:val="4"/>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5"/>
    </w:lvl>
  </w:abstractNum>
  <w:abstractNum w:abstractNumId="7">
    <w:nsid w:val="2443A858"/>
    <w:multiLevelType w:val="hybridMultilevel"/>
    <w:lvl w:ilvl="0">
      <w:lvlJc w:val="left"/>
      <w:lvlText w:val="%1."/>
      <w:numFmt w:val="decimal"/>
      <w:start w:val="6"/>
    </w:lvl>
  </w:abstractNum>
  <w:abstractNum w:abstractNumId="8">
    <w:nsid w:val="2D1D5AE9"/>
    <w:multiLevelType w:val="hybridMultilevel"/>
    <w:lvl w:ilvl="0">
      <w:lvlJc w:val="left"/>
      <w:lvlText w:val="%1."/>
      <w:numFmt w:val="decimal"/>
      <w:start w:val="7"/>
    </w:lvl>
  </w:abstractNum>
  <w:abstractNum w:abstractNumId="9">
    <w:nsid w:val="6763845E"/>
    <w:multiLevelType w:val="hybridMultilevel"/>
    <w:lvl w:ilvl="0">
      <w:lvlJc w:val="left"/>
      <w:lvlText w:val="%1."/>
      <w:numFmt w:val="decimal"/>
      <w:start w:val="8"/>
    </w:lvl>
  </w:abstractNum>
  <w:abstractNum w:abstractNumId="10">
    <w:nsid w:val="75A2A8D4"/>
    <w:multiLevelType w:val="hybridMultilevel"/>
    <w:lvl w:ilvl="0">
      <w:lvlJc w:val="left"/>
      <w:lvlText w:val="%1."/>
      <w:numFmt w:val="decimal"/>
      <w:start w:val="9"/>
    </w:lvl>
  </w:abstractNum>
  <w:abstractNum w:abstractNumId="11">
    <w:nsid w:val="8EDBDAB"/>
    <w:multiLevelType w:val="hybridMultilevel"/>
    <w:lvl w:ilvl="0">
      <w:lvlJc w:val="left"/>
      <w:lvlText w:val="%1."/>
      <w:numFmt w:val="decimal"/>
      <w:start w:val="10"/>
    </w:lvl>
  </w:abstractNum>
  <w:abstractNum w:abstractNumId="12">
    <w:nsid w:val="79838CB2"/>
    <w:multiLevelType w:val="hybridMultilevel"/>
    <w:lvl w:ilvl="0">
      <w:lvlJc w:val="left"/>
      <w:lvlText w:val="%1."/>
      <w:numFmt w:val="decimal"/>
      <w:start w:val="11"/>
    </w:lvl>
  </w:abstractNum>
  <w:abstractNum w:abstractNumId="13">
    <w:nsid w:val="4353D0CD"/>
    <w:multiLevelType w:val="hybridMultilevel"/>
    <w:lvl w:ilvl="0">
      <w:lvlJc w:val="left"/>
      <w:lvlText w:val="%1."/>
      <w:numFmt w:val="decimal"/>
      <w:start w:val="12"/>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lowerRoman"/>
      <w:start w:val="3"/>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01"/>
    </w:lvl>
  </w:abstractNum>
  <w:abstractNum w:abstractNumId="32">
    <w:nsid w:val="5577F8E1"/>
    <w:multiLevelType w:val="hybridMultilevel"/>
    <w:lvl w:ilvl="0">
      <w:lvlJc w:val="left"/>
      <w:lvlText w:val="%1"/>
      <w:numFmt w:val="decimal"/>
      <w:start w:val="10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2019-12-28T22:23:06Z</dcterms:created>
  <dcterms:modified xsi:type="dcterms:W3CDTF">2019-12-28T22:23:06Z</dcterms:modified>
</cp:coreProperties>
</file>