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FORM 15</w:t>
      </w:r>
    </w:p>
    <w:p>
      <w:pPr>
        <w:spacing w:after="0" w:line="225" w:lineRule="exact"/>
        <w:rPr>
          <w:sz w:val="24"/>
          <w:szCs w:val="24"/>
          <w:color w:val="auto"/>
        </w:rPr>
      </w:pPr>
    </w:p>
    <w:p>
      <w:pPr>
        <w:jc w:val="center"/>
        <w:ind w:left="440" w:right="440"/>
        <w:spacing w:after="0" w:line="289" w:lineRule="auto"/>
        <w:rPr>
          <w:sz w:val="20"/>
          <w:szCs w:val="20"/>
          <w:color w:val="auto"/>
        </w:rPr>
      </w:pPr>
      <w:r>
        <w:rPr>
          <w:rFonts w:ascii="Arial" w:cs="Arial" w:eastAsia="Arial" w:hAnsi="Arial"/>
          <w:sz w:val="17"/>
          <w:szCs w:val="17"/>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378"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1-14588</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500 Canal Street, Lewiston, Maine 04240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Voting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each class of securities covered by this Form)</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445" w:right="239" w:bottom="1440" w:gutter="0" w:footer="0" w:header="0"/>
        </w:sectPr>
      </w:pPr>
    </w:p>
    <w:p>
      <w:pPr>
        <w:spacing w:after="0" w:line="23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138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840" w:space="500"/>
            <w:col w:w="8080"/>
          </w:cols>
          <w:pgMar w:left="240" w:top="445" w:right="239" w:bottom="1440" w:gutter="0" w:footer="0" w:header="0"/>
          <w:type w:val="continuous"/>
        </w:sectPr>
      </w:pPr>
    </w:p>
    <w:p>
      <w:pPr>
        <w:spacing w:after="0" w:line="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25" w:lineRule="exact"/>
        <w:rPr>
          <w:sz w:val="24"/>
          <w:szCs w:val="24"/>
          <w:color w:val="auto"/>
        </w:rPr>
      </w:pPr>
    </w:p>
    <w:p>
      <w:pPr>
        <w:ind w:left="120" w:right="260" w:firstLine="323"/>
        <w:spacing w:after="0" w:line="277" w:lineRule="auto"/>
        <w:rPr>
          <w:sz w:val="20"/>
          <w:szCs w:val="20"/>
          <w:color w:val="auto"/>
        </w:rPr>
      </w:pPr>
      <w:r>
        <w:rPr>
          <w:rFonts w:ascii="Arial" w:cs="Arial" w:eastAsia="Arial" w:hAnsi="Arial"/>
          <w:sz w:val="18"/>
          <w:szCs w:val="18"/>
          <w:color w:val="auto"/>
        </w:rPr>
        <w:t>Pursuant to the requirements of the Securities Exchange Act of 1934 Northeast Bancorp has caused this certification/notice to be signed on its behalf by the undersigned duly authorized person.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spacing w:after="0"/>
              <w:rPr>
                <w:sz w:val="20"/>
                <w:szCs w:val="20"/>
                <w:color w:val="auto"/>
              </w:rPr>
            </w:pPr>
            <w:r>
              <w:rPr>
                <w:rFonts w:ascii="Arial" w:cs="Arial" w:eastAsia="Arial" w:hAnsi="Arial"/>
                <w:sz w:val="18"/>
                <w:szCs w:val="18"/>
                <w:color w:val="auto"/>
              </w:rPr>
              <w:t>May 21, 2019</w:t>
            </w:r>
          </w:p>
        </w:tc>
        <w:tc>
          <w:tcPr>
            <w:tcW w:w="1000" w:type="dxa"/>
            <w:vAlign w:val="bottom"/>
          </w:tcPr>
          <w:p>
            <w:pPr>
              <w:ind w:left="580"/>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140"/>
              <w:spacing w:after="0"/>
              <w:rPr>
                <w:sz w:val="20"/>
                <w:szCs w:val="20"/>
                <w:color w:val="auto"/>
              </w:rPr>
            </w:pPr>
            <w:r>
              <w:rPr>
                <w:rFonts w:ascii="Arial" w:cs="Arial" w:eastAsia="Arial" w:hAnsi="Arial"/>
                <w:sz w:val="18"/>
                <w:szCs w:val="18"/>
                <w:color w:val="auto"/>
              </w:rPr>
              <w:t>/s/ Richard Wayne</w:t>
            </w:r>
          </w:p>
        </w:tc>
      </w:tr>
      <w:tr>
        <w:trPr>
          <w:trHeight w:val="195"/>
        </w:trPr>
        <w:tc>
          <w:tcPr>
            <w:tcW w:w="1160" w:type="dxa"/>
            <w:vAlign w:val="bottom"/>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Richard Wayne</w:t>
            </w:r>
          </w:p>
        </w:tc>
      </w:tr>
      <w:tr>
        <w:trPr>
          <w:trHeight w:val="230"/>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39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4"/>
          <w:szCs w:val="24"/>
          <w:color w:val="auto"/>
        </w:rPr>
      </w:pPr>
    </w:p>
    <w:p>
      <w:pPr>
        <w:spacing w:after="0" w:line="218"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Instruction: This form is required by Rules 12g-4, 12h-3 and 15d-6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2019-12-02T18:01:08Z</dcterms:created>
  <dcterms:modified xsi:type="dcterms:W3CDTF">2019-12-02T18:01:08Z</dcterms:modified>
</cp:coreProperties>
</file>