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jc w:val="center"/>
        <w:ind w:right="-119"/>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3"/>
              </w:rPr>
              <w:t>Maine</w:t>
            </w:r>
          </w:p>
        </w:tc>
        <w:tc>
          <w:tcPr>
            <w:tcW w:w="352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01-0425066</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1"/>
              </w:rPr>
              <w:t>500 Canal Street, Lewiston, Maine</w:t>
            </w:r>
          </w:p>
        </w:tc>
        <w:tc>
          <w:tcPr>
            <w:tcW w:w="352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04240</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(207) 786-3245</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“smaller reporting company” and “emerging growth company” in Rule 12b-2 of the Exchange Act. (Check one):</w:t>
      </w:r>
    </w:p>
    <w:p>
      <w:pPr>
        <w:sectPr>
          <w:pgSz w:w="11900" w:h="16838" w:orient="portrait"/>
          <w:cols w:equalWidth="0" w:num="1">
            <w:col w:w="11320"/>
          </w:cols>
          <w:pgMar w:left="240" w:top="692" w:right="339" w:bottom="1440" w:gutter="0" w:footer="0" w:header="0"/>
        </w:sectPr>
      </w:pPr>
    </w:p>
    <w:p>
      <w:pPr>
        <w:spacing w:after="0" w:line="149" w:lineRule="exact"/>
        <w:rPr>
          <w:sz w:val="24"/>
          <w:szCs w:val="24"/>
          <w:color w:val="auto"/>
        </w:rPr>
      </w:pPr>
    </w:p>
    <w:p>
      <w:pPr>
        <w:ind w:left="16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480" w:space="720"/>
            <w:col w:w="3120"/>
          </w:cols>
          <w:pgMar w:left="240" w:top="692" w:right="339" w:bottom="1440" w:gutter="0" w:footer="0" w:header="0"/>
          <w:type w:val="continuous"/>
        </w:sectPr>
      </w:pPr>
    </w:p>
    <w:p>
      <w:pPr>
        <w:spacing w:after="0" w:line="48" w:lineRule="exact"/>
        <w:rPr>
          <w:sz w:val="24"/>
          <w:szCs w:val="24"/>
          <w:color w:val="auto"/>
        </w:rPr>
      </w:pPr>
    </w:p>
    <w:p>
      <w:pPr>
        <w:ind w:left="1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00" w:space="720"/>
            <w:col w:w="3500"/>
          </w:cols>
          <w:pgMar w:left="240" w:top="692" w:right="339" w:bottom="1440" w:gutter="0" w:footer="0" w:header="0"/>
          <w:type w:val="continuous"/>
        </w:sectPr>
      </w:pPr>
    </w:p>
    <w:p>
      <w:pPr>
        <w:spacing w:after="0" w:line="48" w:lineRule="exact"/>
        <w:rPr>
          <w:sz w:val="24"/>
          <w:szCs w:val="24"/>
          <w:color w:val="auto"/>
        </w:rPr>
      </w:pPr>
    </w:p>
    <w:p>
      <w:pPr>
        <w:ind w:left="14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320"/>
          </w:cols>
          <w:pgMar w:left="240" w:top="692" w:right="339" w:bottom="1440" w:gutter="0" w:footer="0" w:header="0"/>
          <w:type w:val="continuous"/>
        </w:sectPr>
      </w:pPr>
    </w:p>
    <w:p>
      <w:pPr>
        <w:spacing w:after="0" w:line="28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2, 2018, the registrant had outstanding 8,235,943 shares of voting common stock, $1.00 par value per share and 811,946 shares of non-voting common stock, $1.00 par value per share.</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06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6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20" w:type="dxa"/>
            <w:vAlign w:val="bottom"/>
          </w:tcPr>
          <w:p>
            <w:pPr>
              <w:spacing w:after="0" w:line="196" w:lineRule="exact"/>
              <w:rPr>
                <w:sz w:val="20"/>
                <w:szCs w:val="20"/>
                <w:color w:val="auto"/>
              </w:rPr>
            </w:pPr>
            <w:r>
              <w:rPr>
                <w:rFonts w:ascii="Arial" w:cs="Arial" w:eastAsia="Arial" w:hAnsi="Arial"/>
                <w:sz w:val="18"/>
                <w:szCs w:val="18"/>
                <w:b w:val="1"/>
                <w:bCs w:val="1"/>
                <w:color w:val="auto"/>
              </w:rPr>
              <w:t>Item 1.</w:t>
            </w:r>
          </w:p>
        </w:tc>
        <w:tc>
          <w:tcPr>
            <w:tcW w:w="9140" w:type="dxa"/>
            <w:vAlign w:val="bottom"/>
            <w:gridSpan w:val="19"/>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Consolidated Balance Sheets September 30, 2018 and June 30, 2018</w:t>
              </w:r>
            </w:hyperlink>
          </w:p>
        </w:tc>
        <w:tc>
          <w:tcPr>
            <w:tcW w:w="396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80" w:type="dxa"/>
            <w:vAlign w:val="bottom"/>
            <w:tcBorders>
              <w:bottom w:val="single" w:sz="8" w:color="0000EE"/>
            </w:tcBorders>
            <w:gridSpan w:val="14"/>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Consolidated Statements of Income Three Months Ended September 30, 2018 and 2017</w:t>
              </w:r>
            </w:hyperlink>
          </w:p>
        </w:tc>
        <w:tc>
          <w:tcPr>
            <w:tcW w:w="246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Statements of Comprehensive Income Three Months Ended September 30, 2018 and 2017</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b w:val="1"/>
                <w:bCs w:val="1"/>
                <w:color w:val="0000EE"/>
                <w:w w:val="94"/>
              </w:rPr>
            </w:pPr>
            <w:hyperlink w:anchor="page7">
              <w:r>
                <w:rPr>
                  <w:rFonts w:ascii="Arial" w:cs="Arial" w:eastAsia="Arial" w:hAnsi="Arial"/>
                  <w:sz w:val="18"/>
                  <w:szCs w:val="18"/>
                  <w:b w:val="1"/>
                  <w:bCs w:val="1"/>
                  <w:color w:val="0000EE"/>
                  <w:w w:val="94"/>
                </w:rPr>
                <w:t>Consolidated Statements of Changes in Shareholders' Equity Three Months Ended September 30, 2018 and 2017</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Statements of Cash Flows Three Months Ended September 30, 2018 and 2017</w:t>
              </w:r>
            </w:hyperlink>
          </w:p>
        </w:tc>
        <w:tc>
          <w:tcPr>
            <w:tcW w:w="1640" w:type="dxa"/>
            <w:vAlign w:val="bottom"/>
            <w:tcBorders>
              <w:top w:val="single" w:sz="8" w:color="0000EE"/>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Unaudited Consolidated Financial Statements</w:t>
              </w:r>
            </w:hyperlink>
          </w:p>
        </w:tc>
        <w:tc>
          <w:tcPr>
            <w:tcW w:w="49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140" w:type="dxa"/>
            <w:vAlign w:val="bottom"/>
            <w:gridSpan w:val="1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Quantitative and Qualitative Disclosure about Market Risk</w:t>
              </w:r>
            </w:hyperlink>
          </w:p>
        </w:tc>
        <w:tc>
          <w:tcPr>
            <w:tcW w:w="2260" w:type="dxa"/>
            <w:vAlign w:val="bottom"/>
            <w:tcBorders>
              <w:top w:val="single" w:sz="8" w:color="0000EE"/>
            </w:tcBorders>
            <w:gridSpan w:val="3"/>
          </w:tcPr>
          <w:p>
            <w:pPr>
              <w:spacing w:after="0"/>
              <w:rPr>
                <w:sz w:val="24"/>
                <w:szCs w:val="24"/>
                <w:color w:val="auto"/>
              </w:rPr>
            </w:pPr>
          </w:p>
        </w:tc>
        <w:tc>
          <w:tcPr>
            <w:tcW w:w="232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140" w:type="dxa"/>
            <w:vAlign w:val="bottom"/>
            <w:gridSpan w:val="19"/>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0060" w:type="dxa"/>
            <w:vAlign w:val="bottom"/>
            <w:gridSpan w:val="20"/>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Other Information</w:t>
              </w:r>
            </w:hyperlink>
          </w:p>
        </w:tc>
        <w:tc>
          <w:tcPr>
            <w:tcW w:w="66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49">
              <w:r>
                <w:rPr>
                  <w:rFonts w:ascii="Arial" w:cs="Arial" w:eastAsia="Arial" w:hAnsi="Arial"/>
                  <w:sz w:val="18"/>
                  <w:szCs w:val="18"/>
                  <w:b w:val="1"/>
                  <w:bCs w:val="1"/>
                  <w:color w:val="0000EE"/>
                  <w:w w:val="86"/>
                </w:rPr>
                <w:t>Legal Proceedings</w:t>
              </w:r>
            </w:hyperlink>
          </w:p>
        </w:tc>
        <w:tc>
          <w:tcPr>
            <w:tcW w:w="774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Risk Factors</w:t>
              </w:r>
            </w:hyperlink>
          </w:p>
        </w:tc>
        <w:tc>
          <w:tcPr>
            <w:tcW w:w="816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140" w:type="dxa"/>
            <w:vAlign w:val="bottom"/>
            <w:gridSpan w:val="19"/>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Defaults Upon Senior Securities</w:t>
              </w:r>
            </w:hyperlink>
          </w:p>
        </w:tc>
        <w:tc>
          <w:tcPr>
            <w:tcW w:w="2120" w:type="dxa"/>
            <w:vAlign w:val="bottom"/>
            <w:tcBorders>
              <w:top w:val="single" w:sz="8" w:color="0000EE"/>
            </w:tcBorders>
            <w:gridSpan w:val="3"/>
          </w:tcPr>
          <w:p>
            <w:pPr>
              <w:spacing w:after="0"/>
              <w:rPr>
                <w:sz w:val="24"/>
                <w:szCs w:val="24"/>
                <w:color w:val="auto"/>
              </w:rPr>
            </w:pPr>
          </w:p>
        </w:tc>
        <w:tc>
          <w:tcPr>
            <w:tcW w:w="45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0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49">
              <w:r>
                <w:rPr>
                  <w:rFonts w:ascii="Arial" w:cs="Arial" w:eastAsia="Arial" w:hAnsi="Arial"/>
                  <w:sz w:val="18"/>
                  <w:szCs w:val="18"/>
                  <w:b w:val="1"/>
                  <w:bCs w:val="1"/>
                  <w:color w:val="0000EE"/>
                  <w:w w:val="89"/>
                </w:rPr>
                <w:t>Mine Safety Disclosures</w:t>
              </w:r>
            </w:hyperlink>
          </w:p>
        </w:tc>
        <w:tc>
          <w:tcPr>
            <w:tcW w:w="724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tcBorders>
              <w:bottom w:val="single" w:sz="8" w:color="0000EE"/>
            </w:tcBorders>
            <w:gridSpan w:val="7"/>
          </w:tcPr>
          <w:p>
            <w:pPr>
              <w:spacing w:after="0"/>
              <w:rPr>
                <w:rFonts w:ascii="Arial" w:cs="Arial" w:eastAsia="Arial" w:hAnsi="Arial"/>
                <w:sz w:val="18"/>
                <w:szCs w:val="18"/>
                <w:b w:val="1"/>
                <w:bCs w:val="1"/>
                <w:color w:val="0000EE"/>
                <w:w w:val="93"/>
              </w:rPr>
            </w:pPr>
            <w:hyperlink w:anchor="page49">
              <w:r>
                <w:rPr>
                  <w:rFonts w:ascii="Arial" w:cs="Arial" w:eastAsia="Arial" w:hAnsi="Arial"/>
                  <w:sz w:val="18"/>
                  <w:szCs w:val="18"/>
                  <w:b w:val="1"/>
                  <w:bCs w:val="1"/>
                  <w:color w:val="0000EE"/>
                  <w:w w:val="93"/>
                </w:rPr>
                <w:t>Other Information</w:t>
              </w:r>
            </w:hyperlink>
          </w:p>
        </w:tc>
        <w:tc>
          <w:tcPr>
            <w:tcW w:w="770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Exhibits</w:t>
              </w:r>
            </w:hyperlink>
          </w:p>
        </w:tc>
        <w:tc>
          <w:tcPr>
            <w:tcW w:w="8500" w:type="dxa"/>
            <w:vAlign w:val="bottom"/>
            <w:gridSpan w:val="1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b w:val="1"/>
                <w:bCs w:val="1"/>
                <w:color w:val="0000EE"/>
                <w:w w:val="85"/>
              </w:rPr>
            </w:pPr>
            <w:hyperlink w:anchor="page50">
              <w:r>
                <w:rPr>
                  <w:rFonts w:ascii="Arial" w:cs="Arial" w:eastAsia="Arial" w:hAnsi="Arial"/>
                  <w:sz w:val="18"/>
                  <w:szCs w:val="18"/>
                  <w:b w:val="1"/>
                  <w:bCs w:val="1"/>
                  <w:color w:val="0000EE"/>
                  <w:w w:val="85"/>
                </w:rPr>
                <w:t>Signatures</w:t>
              </w:r>
            </w:hyperlink>
          </w:p>
        </w:tc>
        <w:tc>
          <w:tcPr>
            <w:tcW w:w="832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53"/>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0" w:type="dxa"/>
            <w:vAlign w:val="bottom"/>
            <w:gridSpan w:val="11"/>
          </w:tcPr>
          <w:p>
            <w:pPr>
              <w:ind w:left="40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9" w:lineRule="exact"/>
        <w:rPr>
          <w:sz w:val="20"/>
          <w:szCs w:val="20"/>
          <w:color w:val="auto"/>
        </w:rPr>
      </w:pPr>
    </w:p>
    <w:p>
      <w:pPr>
        <w:jc w:val="right"/>
        <w:ind w:right="340"/>
        <w:spacing w:after="0"/>
        <w:tabs>
          <w:tab w:leader="none" w:pos="980" w:val="left"/>
        </w:tabs>
        <w:rPr>
          <w:sz w:val="20"/>
          <w:szCs w:val="20"/>
          <w:color w:val="auto"/>
        </w:rPr>
      </w:pPr>
      <w:r>
        <w:rPr>
          <w:rFonts w:ascii="Arial" w:cs="Arial" w:eastAsia="Arial" w:hAnsi="Arial"/>
          <w:sz w:val="18"/>
          <w:szCs w:val="18"/>
          <w:u w:val="single" w:color="auto"/>
          <w:color w:val="auto"/>
        </w:rPr>
        <w:t>September 30, 2018</w:t>
      </w:r>
      <w:r>
        <w:rPr>
          <w:sz w:val="20"/>
          <w:szCs w:val="20"/>
          <w:color w:val="auto"/>
        </w:rPr>
        <w:tab/>
      </w:r>
      <w:r>
        <w:rPr>
          <w:rFonts w:ascii="Arial" w:cs="Arial" w:eastAsia="Arial" w:hAnsi="Arial"/>
          <w:sz w:val="15"/>
          <w:szCs w:val="15"/>
          <w:color w:val="auto"/>
        </w:rPr>
        <w:t>June 30, 2018</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due from banks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cash and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2,668</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3,889</w:t>
            </w:r>
          </w:p>
        </w:tc>
      </w:tr>
      <w:tr>
        <w:trPr>
          <w:trHeight w:val="230"/>
        </w:trPr>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203,049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153,513</w:t>
            </w:r>
          </w:p>
        </w:tc>
      </w:tr>
      <w:tr>
        <w:trPr>
          <w:trHeight w:val="210"/>
        </w:trPr>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205,717</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157,402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-290830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18" w:right="239" w:bottom="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debt securities, at fair value</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Equity securities, at fair value</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 securities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 held for sale</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Loans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191,286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Less: Allowance for loan losses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Servicing rights, net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1,213,717</w:t>
            </w: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1,157,736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67,500</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Savings and interest checking</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109,564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Time</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deposits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Subordinated debt</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24,043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15,240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$1.00 par value, 1,000,000 shares authorized; no shares issued and outstanding at September</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2018 and June 30, 2018</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1"/>
              </w:rPr>
              <w:t>Voting common stock, $1.00 par value, 25,000,000 shares authorized; 8,226,648 and 8,056,527 shares issued</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and outstanding at September 30, 2018 and June 30, 2018, respectively</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Non-voting common stock, $1.00 par value, 3,000,000 shares authorized; 820,742 and 882,314 shares issued</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at September 30, 2018 and June 30, 2018, respectively</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77,075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143,391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1,213,717</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1,157,736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0219"/>
          </w:cols>
          <w:pgMar w:left="240" w:top="125" w:right="1440" w:bottom="1440" w:gutter="0" w:footer="0" w:header="0"/>
        </w:sect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ind w:left="100"/>
              <w:spacing w:after="0"/>
              <w:rPr>
                <w:sz w:val="20"/>
                <w:szCs w:val="20"/>
                <w:color w:val="auto"/>
              </w:rPr>
            </w:pPr>
            <w:r>
              <w:rPr>
                <w:rFonts w:ascii="Arial" w:cs="Arial" w:eastAsia="Arial" w:hAnsi="Arial"/>
                <w:sz w:val="18"/>
                <w:szCs w:val="18"/>
                <w:color w:val="auto"/>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17,525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investment securities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4,408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Fees for other services to customers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loans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loss on equity securities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w w:val="99"/>
              </w:rPr>
              <w:t>Loss on real estate owned, other repossessed collateral and premises and equipment,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5,509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4,534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8,995,925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9,183,729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9,089,936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300" w:type="dxa"/>
            <w:vAlign w:val="bottom"/>
            <w:gridSpan w:val="7"/>
          </w:tcPr>
          <w:p>
            <w:pPr>
              <w:ind w:left="300"/>
              <w:spacing w:after="0"/>
              <w:rPr>
                <w:sz w:val="20"/>
                <w:szCs w:val="20"/>
                <w:color w:val="auto"/>
              </w:rPr>
            </w:pPr>
            <w:r>
              <w:rPr>
                <w:rFonts w:ascii="Arial" w:cs="Arial" w:eastAsia="Arial" w:hAnsi="Arial"/>
                <w:sz w:val="18"/>
                <w:szCs w:val="18"/>
                <w:color w:val="auto"/>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Available-for-sale debt securities: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 in net unrealized loss on available-for-sale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Derivatives and hedging activities:</w:t>
      </w:r>
    </w:p>
    <w:p>
      <w:pPr>
        <w:spacing w:after="0" w:line="9" w:lineRule="exact"/>
        <w:rPr>
          <w:sz w:val="20"/>
          <w:szCs w:val="20"/>
          <w:color w:val="auto"/>
        </w:rPr>
      </w:pPr>
    </w:p>
    <w:p>
      <w:pPr>
        <w:ind w:left="340" w:right="2880"/>
        <w:spacing w:after="0" w:line="294" w:lineRule="auto"/>
        <w:rPr>
          <w:sz w:val="20"/>
          <w:szCs w:val="20"/>
          <w:color w:val="auto"/>
        </w:rPr>
      </w:pPr>
      <w:r>
        <w:rPr>
          <w:rFonts w:ascii="Arial" w:cs="Arial" w:eastAsia="Arial" w:hAnsi="Arial"/>
          <w:sz w:val="16"/>
          <w:szCs w:val="16"/>
          <w:color w:val="auto"/>
        </w:rPr>
        <w:t>Change in accumulated loss on effective cash flow hedges Reclassification adjustments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4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11"/>
        </w:trPr>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9"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Total derivatives and hedging activities</w:t>
            </w:r>
          </w:p>
        </w:tc>
        <w:tc>
          <w:tcPr>
            <w:tcW w:w="1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Total other comprehensive income, before tax</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related to other comprehensive income</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4,883</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118" w:right="239" w:bottom="1124"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Non-voting</w:t>
            </w:r>
          </w:p>
        </w:tc>
      </w:tr>
      <w:tr>
        <w:trPr>
          <w:trHeight w:val="230"/>
        </w:trPr>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Preferred Stock</w:t>
            </w:r>
          </w:p>
        </w:tc>
        <w:tc>
          <w:tcPr>
            <w:tcW w:w="2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Voting Common Stock</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Accumulated</w:t>
      </w:r>
    </w:p>
    <w:p>
      <w:pPr>
        <w:spacing w:after="0" w:line="23" w:lineRule="exact"/>
        <w:rPr>
          <w:sz w:val="20"/>
          <w:szCs w:val="20"/>
          <w:color w:val="auto"/>
        </w:rPr>
      </w:pPr>
    </w:p>
    <w:p>
      <w:pPr>
        <w:ind w:left="2060"/>
        <w:spacing w:after="0"/>
        <w:tabs>
          <w:tab w:leader="none" w:pos="3300" w:val="left"/>
        </w:tabs>
        <w:rPr>
          <w:sz w:val="20"/>
          <w:szCs w:val="20"/>
          <w:color w:val="auto"/>
        </w:rPr>
      </w:pPr>
      <w:r>
        <w:rPr>
          <w:rFonts w:ascii="Arial" w:cs="Arial" w:eastAsia="Arial" w:hAnsi="Arial"/>
          <w:sz w:val="18"/>
          <w:szCs w:val="18"/>
          <w:color w:val="auto"/>
        </w:rPr>
        <w:t>Other</w:t>
      </w:r>
      <w:r>
        <w:rPr>
          <w:sz w:val="20"/>
          <w:szCs w:val="20"/>
          <w:color w:val="auto"/>
        </w:rPr>
        <w:tab/>
      </w:r>
      <w:r>
        <w:rPr>
          <w:rFonts w:ascii="Arial" w:cs="Arial" w:eastAsia="Arial" w:hAnsi="Arial"/>
          <w:sz w:val="18"/>
          <w:szCs w:val="18"/>
          <w:color w:val="auto"/>
        </w:rPr>
        <w:t>Total</w:t>
      </w:r>
    </w:p>
    <w:p>
      <w:pPr>
        <w:spacing w:after="0" w:line="224" w:lineRule="exact"/>
        <w:rPr>
          <w:sz w:val="20"/>
          <w:szCs w:val="20"/>
          <w:color w:val="auto"/>
        </w:rPr>
      </w:pPr>
    </w:p>
    <w:p>
      <w:pPr>
        <w:ind w:right="100" w:hanging="124"/>
        <w:spacing w:after="0" w:line="258" w:lineRule="auto"/>
        <w:rPr>
          <w:sz w:val="20"/>
          <w:szCs w:val="20"/>
          <w:color w:val="auto"/>
        </w:rPr>
      </w:pPr>
      <w:r>
        <w:rPr>
          <w:rFonts w:ascii="Arial" w:cs="Arial" w:eastAsia="Arial" w:hAnsi="Arial"/>
          <w:sz w:val="18"/>
          <w:szCs w:val="18"/>
          <w:color w:val="auto"/>
        </w:rPr>
        <w:t>Additional</w:t>
      </w:r>
      <w:r>
        <w:rPr>
          <w:sz w:val="20"/>
          <w:szCs w:val="20"/>
          <w:color w:val="auto"/>
        </w:rPr>
        <w:t xml:space="preserve"> </w:t>
      </w:r>
      <w:r>
        <w:rPr>
          <w:rFonts w:ascii="Arial" w:cs="Arial" w:eastAsia="Arial" w:hAnsi="Arial"/>
          <w:sz w:val="18"/>
          <w:szCs w:val="18"/>
          <w:color w:val="auto"/>
        </w:rPr>
        <w:t>Retained Comprehensive Shareholders' Paid-in</w:t>
      </w:r>
    </w:p>
    <w:p>
      <w:pPr>
        <w:spacing w:after="0" w:line="200" w:lineRule="exact"/>
        <w:rPr>
          <w:sz w:val="20"/>
          <w:szCs w:val="20"/>
          <w:color w:val="auto"/>
        </w:rPr>
      </w:pPr>
    </w:p>
    <w:p>
      <w:pPr>
        <w:sectPr>
          <w:pgSz w:w="11900" w:h="16838" w:orient="portrait"/>
          <w:cols w:equalWidth="0" w:num="2">
            <w:col w:w="7020" w:space="320"/>
            <w:col w:w="4080"/>
          </w:cols>
          <w:pgMar w:left="240" w:top="118" w:right="239" w:bottom="1124"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0"/>
              </w:rPr>
              <w:t>Shares</w:t>
            </w:r>
          </w:p>
        </w:tc>
        <w:tc>
          <w:tcPr>
            <w:tcW w:w="16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Amount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Shares</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Amount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Shares</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2"/>
              </w:rPr>
              <w:t>Capital</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320" w:type="dxa"/>
            <w:vAlign w:val="bottom"/>
          </w:tcPr>
          <w:p>
            <w:pPr>
              <w:spacing w:after="0"/>
              <w:rPr>
                <w:sz w:val="18"/>
                <w:szCs w:val="18"/>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7,840,460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7,841</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991,194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77,455</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38,142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4,586</w:t>
            </w:r>
          </w:p>
        </w:tc>
        <w:tc>
          <w:tcPr>
            <w:tcW w:w="3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comprehensive</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Conversions between</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voting common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and non- voting</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common stock,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 common</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stock at $0.01 per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restricted</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forfeiture of</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restricted common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(15,089)</w:t>
            </w:r>
          </w:p>
        </w:tc>
        <w:tc>
          <w:tcPr>
            <w:tcW w:w="2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Stock options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63,788</w:t>
            </w:r>
          </w:p>
        </w:tc>
        <w:tc>
          <w:tcPr>
            <w:tcW w:w="2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 net</w:t>
            </w:r>
          </w:p>
        </w:tc>
        <w:tc>
          <w:tcPr>
            <w:tcW w:w="5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4"/>
              </w:rPr>
              <w:t>Balance at September 30,</w:t>
            </w: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7,899,159</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7,899</w:t>
            </w: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991,194</w:t>
            </w:r>
          </w:p>
        </w:tc>
        <w:tc>
          <w:tcPr>
            <w:tcW w:w="3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991</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76,709</w:t>
            </w:r>
          </w:p>
        </w:tc>
        <w:tc>
          <w:tcPr>
            <w:tcW w:w="20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4"/>
              </w:rPr>
              <w:t>42,641</w:t>
            </w:r>
          </w:p>
        </w:tc>
        <w:tc>
          <w:tcPr>
            <w:tcW w:w="3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(1,528)</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126,712</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gridSpan w:val="2"/>
          </w:tcPr>
          <w:p>
            <w:pPr>
              <w:spacing w:after="0" w:line="190" w:lineRule="exact"/>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Balance at June 30,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8,056,527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8,057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882,314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77,016</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54,236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 comprehensive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income, net of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Conversions between</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voting common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and non- voting</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61,572</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Dividends on common</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stock at $0.01 per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Issuance of restricted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114,925</w:t>
            </w:r>
          </w:p>
        </w:tc>
        <w:tc>
          <w:tcPr>
            <w:tcW w:w="2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forfeiture of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restricted common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exercised,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 for</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adoption of ASU</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2016-01</w:t>
            </w: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2"/>
          </w:tcPr>
          <w:p>
            <w:pPr>
              <w:spacing w:after="0" w:line="195" w:lineRule="exact"/>
              <w:rPr>
                <w:sz w:val="20"/>
                <w:szCs w:val="20"/>
                <w:color w:val="auto"/>
              </w:rPr>
            </w:pPr>
            <w:r>
              <w:rPr>
                <w:rFonts w:ascii="Arial" w:cs="Arial" w:eastAsia="Arial" w:hAnsi="Arial"/>
                <w:sz w:val="18"/>
                <w:szCs w:val="18"/>
                <w:color w:val="auto"/>
              </w:rPr>
              <w:t>Balance at September 30,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8,226,648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color w:val="auto"/>
              </w:rPr>
              <w:t>8,226</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820,742</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821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77,075</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w w:val="94"/>
              </w:rPr>
              <w:t>58,501</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(1,232)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143,391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gridSpan w:val="2"/>
          </w:tcPr>
          <w:p>
            <w:pPr>
              <w:spacing w:after="0" w:line="190" w:lineRule="exact"/>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124"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124"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jc w:val="right"/>
              <w:ind w:right="400"/>
              <w:spacing w:after="0"/>
              <w:rPr>
                <w:sz w:val="20"/>
                <w:szCs w:val="20"/>
                <w:color w:val="auto"/>
              </w:rPr>
            </w:pPr>
            <w:r>
              <w:rPr>
                <w:rFonts w:ascii="Arial" w:cs="Arial" w:eastAsia="Arial" w:hAnsi="Arial"/>
                <w:sz w:val="18"/>
                <w:szCs w:val="18"/>
                <w:color w:val="auto"/>
                <w:w w:val="92"/>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4,534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Loss on sale and impairment of real estate owned and other repossessed collateral,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Net unrealized loss on equity securities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loans,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Accretion of fair value adjustments on borrowings,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subordinated debt issuance costs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Originations of loans held for sale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(25,271)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sales of loans held for sale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Gain on sales of residential loans held for sale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SBA and other loans held for sale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Net increase in servicing rights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Bank-owned life insurance income,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of premises and 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available-for-sale debt securities,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Changes in other assets and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(9,085)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Investing activities:</w:t>
            </w: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debt securities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investment securities,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24,538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deposits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Repurchases for tax withholdings on restricted common stock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 exercised, net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60,277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(28,187)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157,402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205,717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schedule of noncash investing activities:</w:t>
            </w:r>
          </w:p>
        </w:tc>
        <w:tc>
          <w:tcPr>
            <w:tcW w:w="8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 net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5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unaudited interim consolidated financial statements include the accounts of Northeast Bancorp (“Northeast” or the “Company”) and its wholly-owned subsidiary, Northeast Bank (the “Bank”).</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accompanying unaudited financial statements and notes should be read in conjunction with the audited consolidated financial statements and notes thereto for the fiscal year ended June 30, 2018 (“Fiscal 2018”) included in the Company's Annual Report on Form 10-K filed with the Securities and Exchange Commission.</w:t>
      </w:r>
    </w:p>
    <w:p>
      <w:pPr>
        <w:spacing w:after="0" w:line="200" w:lineRule="exact"/>
        <w:rPr>
          <w:sz w:val="20"/>
          <w:szCs w:val="20"/>
          <w:color w:val="auto"/>
        </w:rPr>
      </w:pPr>
    </w:p>
    <w:p>
      <w:pPr>
        <w:spacing w:after="0" w:line="20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ASU 2014-09 implements a common revenue standard that clarifies the principles for recognizing revenue.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2015-14”) was issued in August 2015 which deferred adoption to annual reporting periods beginning after December 15, 2017, which was adopted during the three months ended September 30, 2018. The timing of the Company’s revenue recognition did not change. The Company’s largest portions of revenue, interest and fees on loans, interest and dividend income on securities and short-term investments, bank-owned life insurance income, and gain on sales of loans, are specifically excluded from the scope of the guidance. Additionally, fees for other services to customers includes loan servicing fee income which is accounted for under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(“Topic 860”), and is not subject to Topic 606. The other component of fees for other services to customers is deposit fees. The majority of the Company’s deposit fees are specifically related to a customer accessing its funds, in which case the revenue is currently recognized in a consistent manner with Topic</w:t>
      </w:r>
    </w:p>
    <w:p>
      <w:pPr>
        <w:spacing w:after="0" w:line="3" w:lineRule="exact"/>
        <w:rPr>
          <w:sz w:val="20"/>
          <w:szCs w:val="20"/>
          <w:color w:val="auto"/>
        </w:rPr>
      </w:pPr>
    </w:p>
    <w:p>
      <w:pPr>
        <w:ind w:right="40" w:firstLine="8"/>
        <w:spacing w:after="0" w:line="25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that is not specifically related to a customer accessing its funds (i.e. account maintenance fees), can be waived; however, the amount of waived fees is not considered material, and thus the revenue is consistently recognized with Topic 606. All other revenue is also recognized in a manner consistent with Topic 606. Because of the above, management believes that revenue recognized under the new guidance approximates revenue recognized under current GAAP.</w:t>
      </w:r>
    </w:p>
    <w:p>
      <w:pPr>
        <w:spacing w:after="0" w:line="1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(“ASU 2016-01”). This guidance changes how entities account for equity investments that do not result in consolidation and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GAAP. The Company adopted this guidance during the three months ended September 30, 2018. This adoption resulted in a reclassification of $180 thousand from accumulated other comprehensive loss to retained earnings in the consolidated financial statements, with no net effect on shareholders' equity. In addition, the disclosure of the fair value of “Loans, net” in “Notes to Unaudited Consolidated Financial Statements – Note 11: Fair Value Measurements” is now calculated based on an exit pricing strategy versus an entry pricing strategy.</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has engaged an existing third-party service provider to assist in implementation.</w:t>
      </w:r>
    </w:p>
    <w:p>
      <w:pPr>
        <w:spacing w:after="0" w:line="19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which amends the scope of modification accounting for share-based payment arrangements. This update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was adopted during the three months ended September 30, 2018 and did not have an impact on the Company’s consolidated financial statements.</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(“ASU 2017-12”). This guidance permits hedge accounting for risk components in hedging relationships involving nonfinancial risk and interest rate risk, and improves the financial reporting of hedging relationships to better portray the economic results of an entity’s risk management activities in its financial statements.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consolidated financial statements.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(“ASU 2018-10”) and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2018-11”). The guidance provides clarification on the application of ASU 2016-02, specifically on certain narrow aspects of the guidance issued under ASU 2016-02, including comparative reporting requirements for initial adoption and, for lessors only, separating lease and non-lease components in a contract and allocating the consideration in the contract to the separate components. For entities that have not adopted ASU 2016-02 before the issuance of these updates, the amendments in this guidance are the same as the effective date and transition requirements in ASU 2016-02. The adoption of this guidance is not expected to have an impact on the Company’s consolidated financial statements.</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Measurements (Topic 820)</w:t>
      </w:r>
      <w:r>
        <w:rPr>
          <w:rFonts w:ascii="Arial" w:cs="Arial" w:eastAsia="Arial" w:hAnsi="Arial"/>
          <w:sz w:val="18"/>
          <w:szCs w:val="18"/>
          <w:color w:val="auto"/>
        </w:rPr>
        <w:t xml:space="preserve"> (“ASU 2018-13”). This update modifies disclosure requirements on fair value measurements in Topic 820, Fair Value Measurement. This includes removing requirements related to transfers between Level 1 and Level 2, the policy of timing of transfers between levels, and the valuation process for Level 3 fair value measurements, modifying disclosure requirements related to investments in certain entities that calculate net asset value, and adding disclosure requirements for changes in unrealized gains and losses for recurring Level 3 fair value measurements and the range and weighted average of significant unobservable inputs used to develop Level 3 fair value measurements. The amendments in this guidance are effective for public business entities for fiscal years beginning after December 15, 2019, and interim periods within those fiscal years. Early adoption is permitted. The adoption of this guidance is not expected to have a significant impact on the Company’s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summary of the amortized cost, gross unrealized holding gains and losses, and fair value of investment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89"/>
              </w:rPr>
              <w:t>September 30, 2018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57,085</w:t>
            </w:r>
          </w:p>
        </w:tc>
        <w:tc>
          <w:tcPr>
            <w:tcW w:w="12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23,483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22,336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87,475</w:t>
            </w:r>
          </w:p>
        </w:tc>
        <w:tc>
          <w:tcPr>
            <w:tcW w:w="12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85,777</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89"/>
              </w:rPr>
              <w:t>June 30, 2018</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57,129</w:t>
            </w:r>
          </w:p>
        </w:tc>
        <w:tc>
          <w:tcPr>
            <w:tcW w:w="12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25,276</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89,271</w:t>
            </w:r>
          </w:p>
        </w:tc>
        <w:tc>
          <w:tcPr>
            <w:tcW w:w="12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87,687</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September 30, 2018 and June 30, 2018, the Company held no securities of any single issuer (excluding the U. S. Government and government agencies) with a book value that exceeded 10% of shareholders’ equity.</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months ended September 30, 2018 or 2017. At September 30, 2018,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8"/>
              </w:rPr>
              <w:t>September 30, 2018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Equity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investment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42,427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41,797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84,224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Equity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investment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81,854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months ended September 30, 2018 or 2017.</w:t>
      </w:r>
    </w:p>
    <w:p>
      <w:pPr>
        <w:spacing w:after="0" w:line="225"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At September 30, 2018, the Company had 41 securities in an unrealized loss position. At September 30, 2018, all of the Company’s available-for-sale securities were issued or guaranteed by either government agencies or government-sponsored enterprises. The decline in fair value of the Company’s investment securities at September 30, 2018 is attributable to changes in interest rates.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September 30, 2018, the Company does not intend to sell and it is not more likely than not that the Company will be required to sell the investment securities before recovery of its amortized cost. As such, management does not believe any of the Company’s investment securities are other-than-temporarily impaired at September 30, 2018.</w:t>
      </w:r>
    </w:p>
    <w:p>
      <w:pPr>
        <w:sectPr>
          <w:pgSz w:w="11900" w:h="16838" w:orient="portrait"/>
          <w:cols w:equalWidth="0" w:num="1">
            <w:col w:w="11420"/>
          </w:cols>
          <w:pgMar w:left="240" w:top="118" w:right="239" w:bottom="13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 SBA 7(a) loans, as applicable. As of September 30, 2018, the effective duration of the fund that seeks to invest in securities either issued or guaranteed by the U.S. government or its agencies is 4.58 years.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ASU 2016-01, </w:t>
      </w:r>
      <w:r>
        <w:rPr>
          <w:rFonts w:ascii="Arial" w:cs="Arial" w:eastAsia="Arial" w:hAnsi="Arial"/>
          <w:sz w:val="18"/>
          <w:szCs w:val="18"/>
          <w:i w:val="1"/>
          <w:iCs w:val="1"/>
          <w:color w:val="auto"/>
        </w:rPr>
        <w:t>Recognition and Measurements of Financial Assets and Financial Liabilities</w:t>
      </w:r>
      <w:r>
        <w:rPr>
          <w:rFonts w:ascii="Arial" w:cs="Arial" w:eastAsia="Arial" w:hAnsi="Arial"/>
          <w:sz w:val="18"/>
          <w:szCs w:val="18"/>
          <w:color w:val="auto"/>
        </w:rPr>
        <w:t>, was adopted on July 1, 2018, and a cumulative effect adjustment of $180 thousand was recorded to reclassify the amount of accumulated unrealized losses, net, related to equity securities from accumulated other comprehensive loss to retained earnings. For the three months ended September 30, 2018, there were $40 thousand of net unrealized losses on equity securities recognized in the consolidated statement of income.</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amortized cost and fair values of available-for-sale debt securities by contractual maturity are shown below as of September 30, 2018. Actual maturities may differ from contractual maturities because borrowers may have the right to prepay obligations with or without prepayment penalties.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Amortized 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16,938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40,093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39,883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U.S. Government agency securities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56,821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23,483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22,336</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80,568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79,157</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in full,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and interest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3"/>
              </w:rPr>
              <w:t>September 30, 2018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2018</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Originated</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10,457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599,624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303,399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579,450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190,366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191,286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187,857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188,852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586,648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300,548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887,196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580,830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871,802</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Total loans include deferred loan origination costs, net, of $339 thousand and $223 thousand as of September 30, 2018 and June 30,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color w:val="auto"/>
                <w:w w:val="94"/>
              </w:rPr>
              <w:t>September 30, 2018</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Past Due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1,536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67,669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69,776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312,296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314,394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189,459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2,825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581,373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3,485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281,745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285,230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4,366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296,182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887,196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2018</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Past Due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75,873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302,993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303,399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187,065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3,066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577,425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13,724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272,032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286,643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5,714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864,068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871,802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estimated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purchased loans, and SBA loans. Risk characteristics relevant to each portfolio segment are as follows:</w:t>
      </w:r>
    </w:p>
    <w:p>
      <w:pPr>
        <w:spacing w:after="0" w:line="188" w:lineRule="exact"/>
        <w:rPr>
          <w:sz w:val="20"/>
          <w:szCs w:val="20"/>
          <w:color w:val="auto"/>
        </w:rPr>
      </w:pPr>
    </w:p>
    <w:p>
      <w:pPr>
        <w:ind w:left="48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12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480" w:right="460"/>
        <w:spacing w:after="0" w:line="302" w:lineRule="auto"/>
        <w:rPr>
          <w:sz w:val="20"/>
          <w:szCs w:val="20"/>
          <w:color w:val="auto"/>
        </w:rPr>
      </w:pPr>
      <w:r>
        <w:rPr>
          <w:rFonts w:ascii="Arial" w:cs="Arial" w:eastAsia="Arial" w:hAnsi="Arial"/>
          <w:sz w:val="16"/>
          <w:szCs w:val="16"/>
          <w:color w:val="auto"/>
        </w:rPr>
        <w:t>Commercial and industrial: Loans in this segment are made to businesses and are generally secured by the assets of the business. Repayment is expected from the cash flows of the business. This segment also includes loans to non-bank lenders, which are generally secured by a collateral assignment of the notes and mortgages on loans originated by the non-bank lenders. Weakness in national or regional economic conditions, and a corresponding weakness in consumer or business spending, will have an adverse effect on the credit quality of this segment.</w:t>
      </w:r>
    </w:p>
    <w:p>
      <w:pPr>
        <w:spacing w:after="0" w:line="154" w:lineRule="exact"/>
        <w:rPr>
          <w:sz w:val="20"/>
          <w:szCs w:val="20"/>
          <w:color w:val="auto"/>
        </w:rPr>
      </w:pPr>
    </w:p>
    <w:p>
      <w:pPr>
        <w:ind w:left="48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left="480" w:right="220"/>
        <w:spacing w:after="0" w:line="257" w:lineRule="auto"/>
        <w:rPr>
          <w:sz w:val="20"/>
          <w:szCs w:val="20"/>
          <w:color w:val="auto"/>
        </w:rPr>
      </w:pPr>
      <w:r>
        <w:rPr>
          <w:rFonts w:ascii="Arial" w:cs="Arial" w:eastAsia="Arial" w:hAnsi="Arial"/>
          <w:sz w:val="18"/>
          <w:szCs w:val="18"/>
          <w:color w:val="auto"/>
        </w:rPr>
        <w:t>SBA: Loans in this segment are comprised of both commercial real estate and commercial and industrial loans to small businesses, underwritten and originated by the Bank’s national SBA group (“SBA Division”). Loans are underwritten and originated primarily in accordance with SBA 7(a) guidelines, and are partially guaranteed by the SBA. Loans are primarily secured by income-producing properties and/or assets of the businesses. Adverse developments in national or regional economic conditions, and a corresponding weakness in consumer or business spending, will have an adverse effect on the credit quality of this segment.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98"/>
              </w:rPr>
              <w:t>Three Months Ended September 30, 2018</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108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6"/>
              </w:rPr>
              <w:t>Residential</w:t>
            </w:r>
          </w:p>
        </w:tc>
        <w:tc>
          <w:tcPr>
            <w:tcW w:w="100" w:type="dxa"/>
            <w:vAlign w:val="bottom"/>
          </w:tcPr>
          <w:p>
            <w:pPr>
              <w:spacing w:after="0"/>
              <w:rPr>
                <w:sz w:val="16"/>
                <w:szCs w:val="16"/>
                <w:color w:val="auto"/>
              </w:rPr>
            </w:pPr>
          </w:p>
        </w:tc>
        <w:tc>
          <w:tcPr>
            <w:tcW w:w="10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6"/>
                <w:szCs w:val="16"/>
                <w:color w:val="auto"/>
              </w:rPr>
            </w:pPr>
          </w:p>
        </w:tc>
        <w:tc>
          <w:tcPr>
            <w:tcW w:w="106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 (credit)</w:t>
            </w:r>
          </w:p>
        </w:tc>
        <w:tc>
          <w:tcPr>
            <w:tcW w:w="3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0"/>
        </w:trPr>
        <w:tc>
          <w:tcPr>
            <w:tcW w:w="3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5,288</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color w:val="auto"/>
                <w:w w:val="98"/>
              </w:rPr>
              <w:t>Three Months Ended September 30, 2017</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108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6"/>
              </w:rPr>
              <w:t>Residential</w:t>
            </w:r>
          </w:p>
        </w:tc>
        <w:tc>
          <w:tcPr>
            <w:tcW w:w="100" w:type="dxa"/>
            <w:vAlign w:val="bottom"/>
          </w:tcPr>
          <w:p>
            <w:pPr>
              <w:spacing w:after="0"/>
              <w:rPr>
                <w:sz w:val="16"/>
                <w:szCs w:val="16"/>
                <w:color w:val="auto"/>
              </w:rPr>
            </w:pPr>
          </w:p>
        </w:tc>
        <w:tc>
          <w:tcPr>
            <w:tcW w:w="10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6"/>
                <w:szCs w:val="16"/>
                <w:color w:val="auto"/>
              </w:rPr>
            </w:pPr>
          </w:p>
        </w:tc>
        <w:tc>
          <w:tcPr>
            <w:tcW w:w="106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 (credit)</w:t>
            </w:r>
          </w:p>
        </w:tc>
        <w:tc>
          <w:tcPr>
            <w:tcW w:w="3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3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3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ectPr>
          <w:pgSz w:w="11900" w:h="16838" w:orient="portrait"/>
          <w:cols w:equalWidth="0" w:num="1">
            <w:col w:w="11420"/>
          </w:cols>
          <w:pgMar w:left="240" w:top="118" w:right="23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September 30,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6"/>
              </w:rPr>
              <w:t>Residential</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337</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3,859</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46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5,137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3,585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11,650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250,588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574,998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300,548</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300,548</w:t>
            </w:r>
          </w:p>
        </w:tc>
      </w:tr>
      <w:tr>
        <w:trPr>
          <w:trHeight w:val="20"/>
        </w:trPr>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78,910</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184,419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300,548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887,196</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46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460" w:gutter="0" w:footer="0" w:header="0"/>
          <w:type w:val="continuous"/>
        </w:sectPr>
      </w:pPr>
    </w:p>
    <w:bookmarkStart w:id="16" w:name="page17"/>
    <w:bookmarkEnd w:id="16"/>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June 30,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6"/>
              </w:rPr>
              <w:t>Residential</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3,633</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11,864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568,966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ASC 310-30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290,972</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r>
      <w:tr>
        <w:trPr>
          <w:trHeight w:val="20"/>
        </w:trPr>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86,202</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249,429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290,972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871,802</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September 30, 2018</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2018</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9"/>
              </w:rPr>
              <w:t>Recorded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Investment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40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23,086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26,451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23,872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8"/>
          </w:tcPr>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200"/>
              <w:spacing w:after="0"/>
              <w:rPr>
                <w:sz w:val="20"/>
                <w:szCs w:val="20"/>
                <w:color w:val="auto"/>
              </w:rPr>
            </w:pPr>
            <w:r>
              <w:rPr>
                <w:rFonts w:ascii="Arial" w:cs="Arial" w:eastAsia="Arial" w:hAnsi="Arial"/>
                <w:sz w:val="18"/>
                <w:szCs w:val="18"/>
                <w:color w:val="auto"/>
                <w:w w:val="96"/>
              </w:rPr>
              <w:t>Three Months Ended September 30,</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23,481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25,093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September 30, 2018</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30"/>
                <w:szCs w:val="30"/>
                <w:color w:val="auto"/>
                <w:w w:val="86"/>
                <w:vertAlign w:val="superscript"/>
              </w:rPr>
              <w:t>(1)</w:t>
            </w:r>
          </w:p>
        </w:tc>
        <w:tc>
          <w:tcPr>
            <w:tcW w:w="22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Real Estate</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798,381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5,505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314,394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190,366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15,454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300,548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820,762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June 30, 2018</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30"/>
                <w:szCs w:val="30"/>
                <w:color w:val="auto"/>
                <w:w w:val="86"/>
                <w:vertAlign w:val="superscript"/>
              </w:rPr>
              <w:t>(1)</w:t>
            </w:r>
          </w:p>
        </w:tc>
        <w:tc>
          <w:tcPr>
            <w:tcW w:w="22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Real Estate</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279,111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774,866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5,899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303,399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187,857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14,454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290,972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796,682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920" w:right="780" w:hanging="9"/>
        <w:spacing w:after="0" w:line="277" w:lineRule="auto"/>
        <w:tabs>
          <w:tab w:leader="none" w:pos="41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9"/>
              </w:rPr>
              <w:t>2017</w:t>
            </w:r>
          </w:p>
        </w:tc>
        <w:tc>
          <w:tcPr>
            <w:tcW w:w="11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3400" w:type="dxa"/>
            <w:vAlign w:val="bottom"/>
          </w:tcPr>
          <w:p>
            <w:pPr>
              <w:spacing w:after="0"/>
              <w:rPr>
                <w:sz w:val="16"/>
                <w:szCs w:val="16"/>
                <w:color w:val="auto"/>
              </w:rPr>
            </w:pPr>
          </w:p>
        </w:tc>
        <w:tc>
          <w:tcPr>
            <w:tcW w:w="1120" w:type="dxa"/>
            <w:vAlign w:val="bottom"/>
          </w:tcPr>
          <w:p>
            <w:pPr>
              <w:jc w:val="center"/>
              <w:ind w:left="70"/>
              <w:spacing w:after="0" w:line="195" w:lineRule="exact"/>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Recorded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Contracts</w:t>
            </w:r>
          </w:p>
        </w:tc>
        <w:tc>
          <w:tcPr>
            <w:tcW w:w="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Investment</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Contracts</w:t>
            </w: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Investment</w:t>
            </w: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ind w:left="5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Adjusted interest rate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170</w:t>
            </w: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Principal deferment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655</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170</w:t>
            </w:r>
          </w:p>
        </w:tc>
        <w:tc>
          <w:tcPr>
            <w:tcW w:w="1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r>
      <w:tr>
        <w:trPr>
          <w:trHeight w:val="20"/>
        </w:trPr>
        <w:tc>
          <w:tcPr>
            <w:tcW w:w="3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Three Months Ended September 30,</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6"/>
                <w:szCs w:val="16"/>
                <w:color w:val="auto"/>
              </w:rPr>
            </w:pPr>
          </w:p>
        </w:tc>
        <w:tc>
          <w:tcPr>
            <w:tcW w:w="11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Post-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8"/>
              </w:rPr>
              <w:t>Contracts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color w:val="auto"/>
              </w:rPr>
              <w:t>Pre-Modification</w:t>
            </w:r>
          </w:p>
        </w:tc>
        <w:tc>
          <w:tcPr>
            <w:tcW w:w="1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Contracts</w:t>
            </w:r>
          </w:p>
        </w:tc>
        <w:tc>
          <w:tcPr>
            <w:tcW w:w="134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ind w:right="31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Consumer</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Two loans modified in a TDR in the last twelve months totaling $1.5 million defaulted during the three months ended September 30, 2018. As of September 30, 2018, there were no further commitments to lend to borrowers associated with loans modified in a TDR.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8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September 30, 2017</w:t>
            </w:r>
          </w:p>
        </w:tc>
        <w:tc>
          <w:tcPr>
            <w:tcW w:w="8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gridSpan w:val="4"/>
          </w:tcPr>
          <w:p>
            <w:pPr>
              <w:ind w:left="360"/>
              <w:spacing w:after="0"/>
              <w:rPr>
                <w:sz w:val="20"/>
                <w:szCs w:val="20"/>
                <w:color w:val="auto"/>
              </w:rPr>
            </w:pPr>
            <w:r>
              <w:rPr>
                <w:rFonts w:ascii="Arial" w:cs="Arial" w:eastAsia="Arial" w:hAnsi="Arial"/>
                <w:sz w:val="18"/>
                <w:szCs w:val="18"/>
                <w:color w:val="auto"/>
              </w:rPr>
              <w:t>(Dollars in thousands)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20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61,540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61,366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Accretable yield</w:t>
            </w: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(26,563)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(2,104)</w:t>
            </w: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34,803</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3,651</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3700" w:type="dxa"/>
            <w:vAlign w:val="bottom"/>
            <w:gridSpan w:val="4"/>
          </w:tcPr>
          <w:p>
            <w:pPr>
              <w:ind w:left="1240"/>
              <w:spacing w:after="0"/>
              <w:rPr>
                <w:sz w:val="20"/>
                <w:szCs w:val="20"/>
                <w:color w:val="auto"/>
              </w:rPr>
            </w:pPr>
            <w:r>
              <w:rPr>
                <w:rFonts w:ascii="Arial" w:cs="Arial" w:eastAsia="Arial" w:hAnsi="Arial"/>
                <w:sz w:val="18"/>
                <w:szCs w:val="18"/>
                <w:color w:val="auto"/>
                <w:w w:val="98"/>
              </w:rPr>
              <w:t>As of and for the Three Months</w:t>
            </w:r>
          </w:p>
        </w:tc>
        <w:tc>
          <w:tcPr>
            <w:tcW w:w="2360" w:type="dxa"/>
            <w:vAlign w:val="bottom"/>
            <w:gridSpan w:val="3"/>
          </w:tcPr>
          <w:p>
            <w:pPr>
              <w:spacing w:after="0"/>
              <w:rPr>
                <w:sz w:val="20"/>
                <w:szCs w:val="20"/>
                <w:color w:val="auto"/>
              </w:rPr>
            </w:pPr>
            <w:r>
              <w:rPr>
                <w:rFonts w:ascii="Arial" w:cs="Arial" w:eastAsia="Arial" w:hAnsi="Arial"/>
                <w:sz w:val="18"/>
                <w:szCs w:val="18"/>
                <w:color w:val="auto"/>
                <w:w w:val="94"/>
              </w:rPr>
              <w:t>As of and for the Three Months</w:t>
            </w:r>
          </w:p>
        </w:tc>
      </w:tr>
      <w:tr>
        <w:trPr>
          <w:trHeight w:val="230"/>
        </w:trPr>
        <w:tc>
          <w:tcPr>
            <w:tcW w:w="3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Ended September 30, 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Ended September 30, 2017</w:t>
            </w:r>
          </w:p>
        </w:tc>
        <w:tc>
          <w:tcPr>
            <w:tcW w:w="80" w:type="dxa"/>
            <w:vAlign w:val="bottom"/>
          </w:tcPr>
          <w:p>
            <w:pPr>
              <w:spacing w:after="0"/>
              <w:rPr>
                <w:sz w:val="20"/>
                <w:szCs w:val="20"/>
                <w:color w:val="auto"/>
              </w:rPr>
            </w:pPr>
          </w:p>
        </w:tc>
      </w:tr>
      <w:tr>
        <w:trPr>
          <w:trHeight w:val="210"/>
        </w:trPr>
        <w:tc>
          <w:tcPr>
            <w:tcW w:w="3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5"/>
          </w:tcPr>
          <w:p>
            <w:pPr>
              <w:ind w:left="1440"/>
              <w:spacing w:after="0"/>
              <w:rPr>
                <w:sz w:val="20"/>
                <w:szCs w:val="20"/>
                <w:color w:val="auto"/>
              </w:rPr>
            </w:pPr>
            <w:r>
              <w:rPr>
                <w:rFonts w:ascii="Arial" w:cs="Arial" w:eastAsia="Arial" w:hAnsi="Arial"/>
                <w:sz w:val="18"/>
                <w:szCs w:val="18"/>
                <w:color w:val="auto"/>
              </w:rPr>
              <w:t>(Dollars in thousands)</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0"/>
                <w:szCs w:val="20"/>
                <w:color w:val="auto"/>
              </w:rPr>
            </w:pP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6,032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Three Months Ended</w:t>
            </w:r>
          </w:p>
        </w:tc>
        <w:tc>
          <w:tcPr>
            <w:tcW w:w="1620" w:type="dxa"/>
            <w:vAlign w:val="bottom"/>
            <w:gridSpan w:val="3"/>
          </w:tcPr>
          <w:p>
            <w:pPr>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690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September 30, 2018</w:t>
            </w:r>
          </w:p>
        </w:tc>
        <w:tc>
          <w:tcPr>
            <w:tcW w:w="22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September 30, 2017</w:t>
            </w: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3"/>
          </w:tcPr>
          <w:p>
            <w:pPr>
              <w:ind w:left="380"/>
              <w:spacing w:after="0"/>
              <w:rPr>
                <w:sz w:val="20"/>
                <w:szCs w:val="20"/>
                <w:color w:val="auto"/>
              </w:rPr>
            </w:pPr>
            <w:r>
              <w:rPr>
                <w:rFonts w:ascii="Arial" w:cs="Arial" w:eastAsia="Arial" w:hAnsi="Arial"/>
                <w:sz w:val="18"/>
                <w:szCs w:val="18"/>
                <w:color w:val="auto"/>
                <w:w w:val="97"/>
              </w:rPr>
              <w:t>(Dollars 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131,197</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Acquisitions</w:t>
            </w:r>
          </w:p>
        </w:tc>
        <w:tc>
          <w:tcPr>
            <w:tcW w:w="4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26,563</w:t>
            </w:r>
          </w:p>
        </w:tc>
        <w:tc>
          <w:tcPr>
            <w:tcW w:w="8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(5,533)</w:t>
            </w:r>
          </w:p>
        </w:tc>
        <w:tc>
          <w:tcPr>
            <w:tcW w:w="8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4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578</w:t>
            </w:r>
          </w:p>
        </w:tc>
        <w:tc>
          <w:tcPr>
            <w:tcW w:w="8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(6,992)</w:t>
            </w:r>
          </w:p>
        </w:tc>
        <w:tc>
          <w:tcPr>
            <w:tcW w:w="8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(9,381)</w:t>
            </w:r>
          </w:p>
        </w:tc>
      </w:tr>
      <w:tr>
        <w:trPr>
          <w:trHeight w:val="210"/>
        </w:trPr>
        <w:tc>
          <w:tcPr>
            <w:tcW w:w="6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152,794</w:t>
            </w: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122,923</w:t>
            </w:r>
          </w:p>
        </w:tc>
        <w:tc>
          <w:tcPr>
            <w:tcW w:w="100" w:type="dxa"/>
            <w:vAlign w:val="bottom"/>
            <w:tcBorders>
              <w:top w:val="single" w:sz="8" w:color="CCEEFF"/>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September 30, 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2018</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c>
          <w:tcPr>
            <w:tcW w:w="22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2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329,242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318,876</w:t>
            </w:r>
          </w:p>
        </w:tc>
        <w:tc>
          <w:tcPr>
            <w:tcW w:w="228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Carrying amount</w:t>
            </w: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294,106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284,317</w:t>
            </w:r>
          </w:p>
        </w:tc>
        <w:tc>
          <w:tcPr>
            <w:tcW w:w="2280" w:type="dxa"/>
            <w:vAlign w:val="bottom"/>
          </w:tcPr>
          <w:p>
            <w:pPr>
              <w:spacing w:after="0"/>
              <w:rPr>
                <w:sz w:val="20"/>
                <w:szCs w:val="20"/>
                <w:color w:val="auto"/>
              </w:rPr>
            </w:pPr>
          </w:p>
        </w:tc>
      </w:tr>
      <w:tr>
        <w:trPr>
          <w:trHeight w:val="418"/>
        </w:trPr>
        <w:tc>
          <w:tcPr>
            <w:tcW w:w="3720" w:type="dxa"/>
            <w:vAlign w:val="bottom"/>
          </w:tcPr>
          <w:p>
            <w:pPr>
              <w:spacing w:after="0"/>
              <w:rPr>
                <w:sz w:val="24"/>
                <w:szCs w:val="24"/>
                <w:color w:val="auto"/>
              </w:rPr>
            </w:pPr>
          </w:p>
        </w:tc>
        <w:tc>
          <w:tcPr>
            <w:tcW w:w="2520" w:type="dxa"/>
            <w:vAlign w:val="bottom"/>
            <w:gridSpan w:val="2"/>
          </w:tcPr>
          <w:p>
            <w:pPr>
              <w:jc w:val="right"/>
              <w:ind w:right="350"/>
              <w:spacing w:after="0"/>
              <w:rPr>
                <w:sz w:val="20"/>
                <w:szCs w:val="20"/>
                <w:color w:val="auto"/>
              </w:rPr>
            </w:pPr>
            <w:r>
              <w:rPr>
                <w:rFonts w:ascii="Arial" w:cs="Arial" w:eastAsia="Arial" w:hAnsi="Arial"/>
                <w:sz w:val="18"/>
                <w:szCs w:val="18"/>
                <w:color w:val="auto"/>
              </w:rPr>
              <w:t>18</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37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Capitalized servicing rights as of September 30, 2018 and June 30, 2018 totaled $3.0 million, and are classified as servicing rights, net, on the consolidated balance sheets.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Mortgage loans sold during the quarter ended September 30, 2018 totaled $13.2 million, compared to $19.2 million during the quarter ended September 30, 2017. Mortgage loans serviced for others totaled $8.1 million at September 30, 2018 and $8.7 million at June 30, 2018. Additionally, the Company was servicing commercial loans participated out to various other institutions amounting to $25.8 million and $32.2 million at September 30, 2018 and June 30,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SBA loans sold during the quarter ended September 30, 2018 totaled $12.3 million, compared to $9.1 million during the quarter ended September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SBA loans serviced for others totaled $171.1 million at September 30, 2018 and $162.0 million at June 30, 2018.</w:t>
      </w:r>
    </w:p>
    <w:p>
      <w:pPr>
        <w:spacing w:after="0" w:line="21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on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Contractually specified servicing fees were $247 thousand and $262 thousand for the quarters ended September 30, 2018 and 2017, respectively, and were included as a component of loan-related fees within noninterest income.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significant assumptions used in the valuation of the servicing rights included a range of discount rates from 9.0% to 23.3% and a weighted average prepayment speed assumption of 11.5%.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6"/>
          </w:tcPr>
          <w:p>
            <w:pPr>
              <w:jc w:val="center"/>
              <w:ind w:right="300"/>
              <w:spacing w:after="0"/>
              <w:rPr>
                <w:sz w:val="20"/>
                <w:szCs w:val="20"/>
                <w:color w:val="auto"/>
              </w:rPr>
            </w:pPr>
            <w:r>
              <w:rPr>
                <w:rFonts w:ascii="Arial" w:cs="Arial" w:eastAsia="Arial" w:hAnsi="Arial"/>
                <w:sz w:val="18"/>
                <w:szCs w:val="18"/>
                <w:color w:val="auto"/>
                <w:w w:val="88"/>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6"/>
          </w:tcPr>
          <w:p>
            <w:pPr>
              <w:jc w:val="center"/>
              <w:ind w:right="300"/>
              <w:spacing w:after="0" w:line="195" w:lineRule="exact"/>
              <w:rPr>
                <w:sz w:val="20"/>
                <w:szCs w:val="20"/>
                <w:color w:val="auto"/>
              </w:rPr>
            </w:pPr>
            <w:r>
              <w:rPr>
                <w:rFonts w:ascii="Arial" w:cs="Arial" w:eastAsia="Arial" w:hAnsi="Arial"/>
                <w:sz w:val="18"/>
                <w:szCs w:val="18"/>
                <w:color w:val="auto"/>
                <w:w w:val="90"/>
              </w:rPr>
              <w:t>(Dollars in thousands, except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4"/>
          </w:tcPr>
          <w:p>
            <w:pPr>
              <w:jc w:val="center"/>
              <w:ind w:left="650"/>
              <w:spacing w:after="0"/>
              <w:rPr>
                <w:sz w:val="20"/>
                <w:szCs w:val="20"/>
                <w:color w:val="auto"/>
              </w:rPr>
            </w:pPr>
            <w:r>
              <w:rPr>
                <w:rFonts w:ascii="Arial" w:cs="Arial" w:eastAsia="Arial" w:hAnsi="Arial"/>
                <w:sz w:val="18"/>
                <w:szCs w:val="18"/>
                <w:color w:val="auto"/>
                <w:w w:val="87"/>
              </w:rPr>
              <w:t>and per share data)</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8,995,925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8,841,511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 from assumed exercise of dilutive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9,183,729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9,089,936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September 30, 2018 and 2017,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8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10"/>
        </w:trPr>
        <w:tc>
          <w:tcPr>
            <w:tcW w:w="7000" w:type="dxa"/>
            <w:vAlign w:val="bottom"/>
            <w:gridSpan w:val="2"/>
            <w:shd w:val="clear" w:color="auto" w:fill="CCEEFF"/>
          </w:tcPr>
          <w:p>
            <w:pPr>
              <w:jc w:val="right"/>
              <w:ind w:right="5910"/>
              <w:spacing w:after="0"/>
              <w:rPr>
                <w:sz w:val="20"/>
                <w:szCs w:val="20"/>
                <w:color w:val="auto"/>
              </w:rPr>
            </w:pPr>
            <w:r>
              <w:rPr>
                <w:rFonts w:ascii="Arial" w:cs="Arial" w:eastAsia="Arial" w:hAnsi="Arial"/>
                <w:sz w:val="18"/>
                <w:szCs w:val="18"/>
                <w:color w:val="auto"/>
                <w:w w:val="90"/>
              </w:rPr>
              <w:t>Stock options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81,004</w:t>
            </w:r>
          </w:p>
        </w:tc>
      </w:tr>
    </w:tbl>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ectPr>
          <w:pgSz w:w="11900" w:h="16838" w:orient="portrait"/>
          <w:cols w:equalWidth="0" w:num="1">
            <w:col w:w="11380"/>
          </w:cols>
          <w:pgMar w:left="240" w:top="118" w:right="279" w:bottom="0" w:gutter="0" w:footer="0" w:header="0"/>
        </w:sectPr>
      </w:pP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p>
    <w:p>
      <w:pPr>
        <w:sectPr>
          <w:pgSz w:w="11900" w:h="16838" w:orient="portrait"/>
          <w:cols w:equalWidth="0" w:num="1">
            <w:col w:w="11380"/>
          </w:cols>
          <w:pgMar w:left="240" w:top="118" w:right="279" w:bottom="0" w:gutter="0" w:footer="0" w:header="0"/>
          <w:type w:val="continuous"/>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September 30, 2018, the Company had posted cash collateral totaling $800 thousand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September 30,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Notional</w:t>
            </w:r>
          </w:p>
        </w:tc>
        <w:tc>
          <w:tcPr>
            <w:tcW w:w="110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3"/>
              </w:rPr>
              <w:t>Inception</w:t>
            </w:r>
          </w:p>
        </w:tc>
        <w:tc>
          <w:tcPr>
            <w:tcW w:w="1120" w:type="dxa"/>
            <w:vAlign w:val="bottom"/>
            <w:tcBorders>
              <w:top w:val="single" w:sz="8" w:color="auto"/>
            </w:tcBorders>
            <w:gridSpan w:val="2"/>
          </w:tcPr>
          <w:p>
            <w:pPr>
              <w:jc w:val="right"/>
              <w:ind w:right="220"/>
              <w:spacing w:after="0" w:line="195" w:lineRule="exact"/>
              <w:rPr>
                <w:sz w:val="20"/>
                <w:szCs w:val="20"/>
                <w:color w:val="auto"/>
              </w:rPr>
            </w:pPr>
            <w:r>
              <w:rPr>
                <w:rFonts w:ascii="Arial" w:cs="Arial" w:eastAsia="Arial" w:hAnsi="Arial"/>
                <w:sz w:val="18"/>
                <w:szCs w:val="18"/>
                <w:color w:val="auto"/>
                <w:w w:val="92"/>
              </w:rPr>
              <w:t>Termination</w:t>
            </w: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95" w:lineRule="exact"/>
              <w:rPr>
                <w:sz w:val="20"/>
                <w:szCs w:val="20"/>
                <w:color w:val="auto"/>
              </w:rPr>
            </w:pPr>
            <w:r>
              <w:rPr>
                <w:rFonts w:ascii="Arial" w:cs="Arial" w:eastAsia="Arial" w:hAnsi="Arial"/>
                <w:sz w:val="18"/>
                <w:szCs w:val="18"/>
                <w:color w:val="auto"/>
                <w:w w:val="89"/>
              </w:rPr>
              <w:t>Receive</w:t>
            </w:r>
          </w:p>
        </w:tc>
        <w:tc>
          <w:tcPr>
            <w:tcW w:w="116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0"/>
              </w:rPr>
              <w:t>Pay</w:t>
            </w:r>
          </w:p>
        </w:tc>
        <w:tc>
          <w:tcPr>
            <w:tcW w:w="116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5"/>
              </w:rPr>
              <w:t>Strike</w:t>
            </w:r>
          </w:p>
        </w:tc>
        <w:tc>
          <w:tcPr>
            <w:tcW w:w="1040" w:type="dxa"/>
            <w:vAlign w:val="bottom"/>
            <w:tcBorders>
              <w:top w:val="single" w:sz="8" w:color="auto"/>
            </w:tcBorders>
            <w:gridSpan w:val="3"/>
          </w:tcPr>
          <w:p>
            <w:pPr>
              <w:jc w:val="center"/>
              <w:ind w:right="140"/>
              <w:spacing w:after="0" w:line="195" w:lineRule="exact"/>
              <w:rPr>
                <w:sz w:val="20"/>
                <w:szCs w:val="20"/>
                <w:color w:val="auto"/>
              </w:rPr>
            </w:pPr>
            <w:r>
              <w:rPr>
                <w:rFonts w:ascii="Arial" w:cs="Arial" w:eastAsia="Arial" w:hAnsi="Arial"/>
                <w:sz w:val="18"/>
                <w:szCs w:val="18"/>
                <w:color w:val="auto"/>
                <w:w w:val="90"/>
              </w:rPr>
              <w:t>Unrealized</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7"/>
              </w:rPr>
              <w:t>Fair Value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280"/>
              <w:spacing w:after="0"/>
              <w:rPr>
                <w:sz w:val="20"/>
                <w:szCs w:val="20"/>
                <w:color w:val="auto"/>
              </w:rPr>
            </w:pPr>
            <w:r>
              <w:rPr>
                <w:rFonts w:ascii="Arial" w:cs="Arial" w:eastAsia="Arial" w:hAnsi="Arial"/>
                <w:sz w:val="18"/>
                <w:szCs w:val="18"/>
                <w:color w:val="auto"/>
              </w:rPr>
              <w:t>(Dollars in thousands)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July 2033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2013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July 2023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Forward-starting interest</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rate swaps: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9"/>
              </w:rPr>
              <w:t>September</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900" w:type="dxa"/>
            <w:vAlign w:val="bottom"/>
          </w:tcPr>
          <w:p>
            <w:pPr>
              <w:jc w:val="right"/>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1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5"/>
          </w:tcPr>
          <w:p>
            <w:pPr>
              <w:spacing w:after="0"/>
              <w:rPr>
                <w:sz w:val="20"/>
                <w:szCs w:val="20"/>
                <w:color w:val="auto"/>
              </w:rPr>
            </w:pPr>
            <w:r>
              <w:rPr>
                <w:rFonts w:ascii="Arial" w:cs="Arial" w:eastAsia="Arial" w:hAnsi="Arial"/>
                <w:sz w:val="18"/>
                <w:szCs w:val="18"/>
                <w:i w:val="1"/>
                <w:iCs w:val="1"/>
                <w:color w:val="auto"/>
              </w:rPr>
              <w:t>Interest rate caps: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October</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9"/>
              </w:rPr>
              <w:t>September</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vMerge w:val="restart"/>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7"/>
                <w:szCs w:val="17"/>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52</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March 2015</w:t>
            </w: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CCEEFF"/>
              <w:bottom w:val="single" w:sz="8" w:color="auto"/>
            </w:tcBorders>
            <w:gridSpan w:val="4"/>
          </w:tcPr>
          <w:p>
            <w:pPr>
              <w:jc w:val="right"/>
              <w:ind w:right="580"/>
              <w:spacing w:after="0"/>
              <w:rPr>
                <w:sz w:val="20"/>
                <w:szCs w:val="20"/>
                <w:color w:val="auto"/>
              </w:rPr>
            </w:pPr>
            <w:r>
              <w:rPr>
                <w:rFonts w:ascii="Arial" w:cs="Arial" w:eastAsia="Arial" w:hAnsi="Arial"/>
                <w:sz w:val="18"/>
                <w:szCs w:val="18"/>
                <w:color w:val="auto"/>
              </w:rPr>
              <w:t>June 30, 2018</w:t>
            </w:r>
          </w:p>
        </w:tc>
        <w:tc>
          <w:tcPr>
            <w:tcW w:w="8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Notional</w:t>
            </w:r>
          </w:p>
        </w:tc>
        <w:tc>
          <w:tcPr>
            <w:tcW w:w="11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3"/>
              </w:rPr>
              <w:t>Inception</w:t>
            </w:r>
          </w:p>
        </w:tc>
        <w:tc>
          <w:tcPr>
            <w:tcW w:w="11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w w:val="92"/>
              </w:rPr>
              <w:t>Termination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9"/>
              </w:rPr>
              <w:t>Receive</w:t>
            </w:r>
          </w:p>
        </w:tc>
        <w:tc>
          <w:tcPr>
            <w:tcW w:w="11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0"/>
              </w:rPr>
              <w:t>Pay</w:t>
            </w:r>
          </w:p>
        </w:tc>
        <w:tc>
          <w:tcPr>
            <w:tcW w:w="11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5"/>
              </w:rPr>
              <w:t>Strike</w:t>
            </w:r>
          </w:p>
        </w:tc>
        <w:tc>
          <w:tcPr>
            <w:tcW w:w="10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88"/>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7"/>
              </w:rPr>
              <w:t>Fair Value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280"/>
              <w:spacing w:after="0"/>
              <w:rPr>
                <w:sz w:val="20"/>
                <w:szCs w:val="20"/>
                <w:color w:val="auto"/>
              </w:rPr>
            </w:pPr>
            <w:r>
              <w:rPr>
                <w:rFonts w:ascii="Arial" w:cs="Arial" w:eastAsia="Arial" w:hAnsi="Arial"/>
                <w:sz w:val="18"/>
                <w:szCs w:val="18"/>
                <w:color w:val="auto"/>
              </w:rPr>
              <w:t>(Dollars in thousands)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July 2033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2013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July 2023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Forward-starting interest</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rate swaps: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9"/>
              </w:rPr>
              <w:t>September</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900" w:type="dxa"/>
            <w:vAlign w:val="bottom"/>
          </w:tcPr>
          <w:p>
            <w:pPr>
              <w:jc w:val="right"/>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1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5"/>
          </w:tcPr>
          <w:p>
            <w:pPr>
              <w:spacing w:after="0"/>
              <w:rPr>
                <w:sz w:val="20"/>
                <w:szCs w:val="20"/>
                <w:color w:val="auto"/>
              </w:rPr>
            </w:pPr>
            <w:r>
              <w:rPr>
                <w:rFonts w:ascii="Arial" w:cs="Arial" w:eastAsia="Arial" w:hAnsi="Arial"/>
                <w:sz w:val="18"/>
                <w:szCs w:val="18"/>
                <w:i w:val="1"/>
                <w:iCs w:val="1"/>
                <w:color w:val="auto"/>
              </w:rPr>
              <w:t>Interest rate caps: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October</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9"/>
              </w:rPr>
              <w:t>September</w:t>
            </w: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February</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vMerge w:val="restart"/>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7"/>
                <w:szCs w:val="17"/>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49</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March 2015</w:t>
            </w: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three months ended September 30, 2018 and 2017,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w:t>
      </w:r>
    </w:p>
    <w:p>
      <w:pPr>
        <w:sectPr>
          <w:pgSz w:w="11900" w:h="16838" w:orient="portrait"/>
          <w:cols w:equalWidth="0" w:num="1">
            <w:col w:w="11420"/>
          </w:cols>
          <w:pgMar w:left="240" w:top="118" w:right="239" w:bottom="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interest on the debt affects earnings. Risk management results for the three months ended September 30, 2018 and 2017 related to the balance sheet hedging of variable rate debt indicates that the hedges were effective.</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8. Other Comprehensive Income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gridSpan w:val="7"/>
          </w:tcPr>
          <w:p>
            <w:pPr>
              <w:spacing w:after="0"/>
              <w:rPr>
                <w:sz w:val="20"/>
                <w:szCs w:val="20"/>
                <w:color w:val="auto"/>
              </w:rPr>
            </w:pPr>
            <w:r>
              <w:rPr>
                <w:rFonts w:ascii="Arial" w:cs="Arial" w:eastAsia="Arial" w:hAnsi="Arial"/>
                <w:sz w:val="18"/>
                <w:szCs w:val="18"/>
                <w:color w:val="auto"/>
                <w:w w:val="92"/>
              </w:rPr>
              <w:t>The components of other comprehensive income are as follows: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89"/>
              </w:rPr>
              <w:t>Three Months Ended September 30,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rPr>
              <w:t>Pre-tax</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Pre-tax</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7"/>
              </w:rPr>
              <w:t>Tax Expense</w:t>
            </w:r>
          </w:p>
        </w:tc>
        <w:tc>
          <w:tcPr>
            <w:tcW w:w="100" w:type="dxa"/>
            <w:vAlign w:val="bottom"/>
          </w:tcPr>
          <w:p>
            <w:pPr>
              <w:spacing w:after="0"/>
              <w:rPr>
                <w:sz w:val="16"/>
                <w:szCs w:val="16"/>
                <w:color w:val="auto"/>
              </w:rPr>
            </w:pPr>
          </w:p>
        </w:tc>
        <w:tc>
          <w:tcPr>
            <w:tcW w:w="10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8"/>
          </w:tcPr>
          <w:p>
            <w:pPr>
              <w:jc w:val="center"/>
              <w:ind w:right="3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net unrealized loss on available-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for-sale debt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Reclassification adjustment for losses</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4"/>
          </w:tcPr>
          <w:p>
            <w:pPr>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349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80" w:type="dxa"/>
            <w:vAlign w:val="bottom"/>
            <w:gridSpan w:val="10"/>
          </w:tcPr>
          <w:p>
            <w:pPr>
              <w:spacing w:after="0"/>
              <w:rPr>
                <w:sz w:val="20"/>
                <w:szCs w:val="20"/>
                <w:color w:val="auto"/>
              </w:rPr>
            </w:pPr>
            <w:r>
              <w:rPr>
                <w:rFonts w:ascii="Arial" w:cs="Arial" w:eastAsia="Arial" w:hAnsi="Arial"/>
                <w:sz w:val="18"/>
                <w:szCs w:val="18"/>
                <w:color w:val="auto"/>
              </w:rPr>
              <w:t>Accumulated other comprehensive loss is comprised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0"/>
              </w:rPr>
              <w:t>September 30, 2018</w:t>
            </w:r>
          </w:p>
        </w:tc>
        <w:tc>
          <w:tcPr>
            <w:tcW w:w="220" w:type="dxa"/>
            <w:vAlign w:val="bottom"/>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June 30, 2018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right"/>
              <w:ind w:right="840"/>
              <w:spacing w:after="0"/>
              <w:rPr>
                <w:sz w:val="20"/>
                <w:szCs w:val="20"/>
                <w:color w:val="auto"/>
              </w:rPr>
            </w:pPr>
            <w:r>
              <w:rPr>
                <w:rFonts w:ascii="Arial" w:cs="Arial" w:eastAsia="Arial" w:hAnsi="Arial"/>
                <w:sz w:val="18"/>
                <w:szCs w:val="18"/>
                <w:color w:val="auto"/>
                <w:w w:val="94"/>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loss on investment securities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Tax effect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After tax amount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Unrealized loss on cash flow hedges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(827)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After tax amount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on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2018</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2018</w:t>
            </w:r>
          </w:p>
        </w:tc>
        <w:tc>
          <w:tcPr>
            <w:tcW w:w="100" w:type="dxa"/>
            <w:vAlign w:val="bottom"/>
          </w:tcPr>
          <w:p>
            <w:pPr>
              <w:spacing w:after="0"/>
              <w:rPr>
                <w:sz w:val="24"/>
                <w:szCs w:val="24"/>
                <w:color w:val="auto"/>
              </w:rPr>
            </w:pPr>
          </w:p>
        </w:tc>
      </w:tr>
      <w:tr>
        <w:trPr>
          <w:trHeight w:val="210"/>
        </w:trPr>
        <w:tc>
          <w:tcPr>
            <w:tcW w:w="6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5"/>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4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32,862</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29,478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w:t>
            </w: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$62 thousand and $52 thousand recorded in other liabilities at September 30, 2018 and June 30, 2018, respectively.</w:t>
      </w:r>
    </w:p>
    <w:p>
      <w:pPr>
        <w:sectPr>
          <w:pgSz w:w="11900" w:h="16838" w:orient="portrait"/>
          <w:cols w:equalWidth="0" w:num="1">
            <w:col w:w="11420"/>
          </w:cols>
          <w:pgMar w:left="240" w:top="118"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ectPr>
          <w:pgSz w:w="11900" w:h="16838" w:orient="portrait"/>
          <w:cols w:equalWidth="0" w:num="1">
            <w:col w:w="11420"/>
          </w:cols>
          <w:pgMar w:left="240" w:top="118" w:right="239" w:bottom="1440" w:gutter="0" w:footer="0" w:header="0"/>
        </w:sectPr>
      </w:pPr>
    </w:p>
    <w:p>
      <w:pPr>
        <w:spacing w:after="0" w:line="386"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restricted share activity for the quarter ended September 30, 2018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Unvested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51764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Unvested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r>
      <w:tr>
        <w:trPr>
          <w:trHeight w:val="216"/>
        </w:trPr>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r>
      <w:tr>
        <w:trPr>
          <w:trHeight w:val="230"/>
        </w:trPr>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Date Fair Value</w:t>
            </w:r>
          </w:p>
        </w:tc>
      </w:tr>
      <w:tr>
        <w:trPr>
          <w:trHeight w:val="195"/>
        </w:trPr>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318,334</w:t>
            </w:r>
          </w:p>
        </w:tc>
        <w:tc>
          <w:tcPr>
            <w:tcW w:w="2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11.71</w:t>
            </w:r>
          </w:p>
        </w:tc>
        <w:tc>
          <w:tcPr>
            <w:tcW w:w="20" w:type="dxa"/>
            <w:vAlign w:val="bottom"/>
          </w:tcPr>
          <w:p>
            <w:pPr>
              <w:spacing w:after="0"/>
              <w:rPr>
                <w:sz w:val="16"/>
                <w:szCs w:val="16"/>
                <w:color w:val="auto"/>
              </w:rPr>
            </w:pPr>
          </w:p>
        </w:tc>
      </w:tr>
      <w:tr>
        <w:trPr>
          <w:trHeight w:val="216"/>
        </w:trPr>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114,925</w:t>
            </w:r>
          </w:p>
        </w:tc>
        <w:tc>
          <w:tcPr>
            <w:tcW w:w="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22.40</w:t>
            </w:r>
          </w:p>
        </w:tc>
      </w:tr>
      <w:tr>
        <w:trPr>
          <w:trHeight w:val="216"/>
        </w:trPr>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(53,453)</w:t>
            </w:r>
          </w:p>
        </w:tc>
        <w:tc>
          <w:tcPr>
            <w:tcW w:w="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10.30</w:t>
            </w:r>
          </w:p>
        </w:tc>
      </w:tr>
      <w:tr>
        <w:trPr>
          <w:trHeight w:val="230"/>
        </w:trPr>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(6,377)</w:t>
            </w:r>
          </w:p>
        </w:tc>
        <w:tc>
          <w:tcPr>
            <w:tcW w:w="8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r>
      <w:tr>
        <w:trPr>
          <w:trHeight w:val="210"/>
        </w:trPr>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15.23</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460"/>
            <w:col w:w="4520"/>
          </w:cols>
          <w:pgMar w:left="240" w:top="118"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schedule for the shares granted in the quarter ended September 30, 2018 follows:</w:t>
      </w:r>
    </w:p>
    <w:p>
      <w:pPr>
        <w:spacing w:after="0" w:line="23"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89,925 restricted shares vest in three equal installments, commencing on August 14, 2021; and,</w:t>
      </w:r>
    </w:p>
    <w:p>
      <w:pPr>
        <w:spacing w:after="0" w:line="9" w:lineRule="exact"/>
        <w:rPr>
          <w:rFonts w:ascii="Arial" w:cs="Arial" w:eastAsia="Arial" w:hAnsi="Arial"/>
          <w:sz w:val="18"/>
          <w:szCs w:val="18"/>
          <w:color w:val="auto"/>
        </w:rPr>
      </w:pPr>
    </w:p>
    <w:p>
      <w:pPr>
        <w:ind w:left="660" w:right="60" w:hanging="328"/>
        <w:spacing w:after="0" w:line="270"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25,000 restricted shares are subject to performance-based vesting over a three year period (the “performance shares”). The performance shares include an absolute metric and a sliding metric within the performance period. The absolute metric requires that the Company be in compliance with the regulatory commitments made to the Federal Reserve Bank and Maine Bureau of Financial Institutions. The sliding metric is based on reaching certain thresholds in regards to the company’s return on equity (“ROE”). The performance shares shall vest in certain defined increments for such periods if the ROE is at least 70% of such targeted returns. This performance will be measured on both a year-by-year basis for three years, and an average basis over the three year performance period.</w:t>
      </w: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ectPr>
          <w:pgSz w:w="11900" w:h="16838" w:orient="portrait"/>
          <w:cols w:equalWidth="0" w:num="1">
            <w:col w:w="11420"/>
          </w:cols>
          <w:pgMar w:left="240" w:top="118" w:right="2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8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ind w:left="500" w:right="10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jc w:val="both"/>
        <w:ind w:left="500" w:right="32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i w:val="1"/>
          <w:iCs w:val="1"/>
          <w:color w:val="auto"/>
        </w:rPr>
        <w:t xml:space="preserve">Servicing rights, net </w:t>
      </w:r>
      <w:r>
        <w:rPr>
          <w:rFonts w:ascii="Arial" w:cs="Arial" w:eastAsia="Arial" w:hAnsi="Arial"/>
          <w:sz w:val="16"/>
          <w:szCs w:val="16"/>
          <w:color w:val="auto"/>
        </w:rPr>
        <w:t>- The fair value of the servicing rights is based on a valuation model that calculates the present value of estimated future net</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income. Adjustments are only recorded when the discounted cash flows derived from the valuation model are less than the carrying value of the asset. Certain inputs are not observable, and therefore servicing rights, net are generally categorized as Level 3 within the fair value hierarchy.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(“FHLBB”)</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2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 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September 30, 2018</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56,821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56,821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tcPr>
          <w:p>
            <w:pPr>
              <w:spacing w:after="0" w:line="256" w:lineRule="exact"/>
              <w:rPr>
                <w:sz w:val="20"/>
                <w:szCs w:val="20"/>
                <w:color w:val="auto"/>
              </w:rPr>
            </w:pPr>
            <w:r>
              <w:rPr>
                <w:rFonts w:ascii="Arial" w:cs="Arial" w:eastAsia="Arial" w:hAnsi="Arial"/>
                <w:sz w:val="18"/>
                <w:szCs w:val="18"/>
                <w:color w:val="auto"/>
              </w:rPr>
              <w:t>Equity investments measured at net asset value</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swaps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56,887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56,887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24,181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tcPr>
          <w:p>
            <w:pPr>
              <w:spacing w:after="0" w:line="256" w:lineRule="exact"/>
              <w:rPr>
                <w:sz w:val="20"/>
                <w:szCs w:val="20"/>
                <w:color w:val="auto"/>
              </w:rPr>
            </w:pPr>
            <w:r>
              <w:rPr>
                <w:rFonts w:ascii="Arial" w:cs="Arial" w:eastAsia="Arial" w:hAnsi="Arial"/>
                <w:sz w:val="18"/>
                <w:szCs w:val="18"/>
                <w:color w:val="auto"/>
              </w:rPr>
              <w:t>Equity investments measured at net asset value</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swaps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6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September 30, 2018</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2,677</w:t>
            </w:r>
          </w:p>
        </w:tc>
        <w:tc>
          <w:tcPr>
            <w:tcW w:w="12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3,010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r>
      <w:tr>
        <w:trPr>
          <w:trHeight w:val="459"/>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1,917</w:t>
            </w:r>
          </w:p>
        </w:tc>
        <w:tc>
          <w:tcPr>
            <w:tcW w:w="12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16"/>
                <w:szCs w:val="16"/>
                <w:color w:val="auto"/>
              </w:rPr>
            </w:pPr>
          </w:p>
        </w:tc>
        <w:tc>
          <w:tcPr>
            <w:tcW w:w="112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8"/>
              </w:rPr>
              <w:t>June 30,</w:t>
            </w:r>
          </w:p>
        </w:tc>
        <w:tc>
          <w:tcPr>
            <w:tcW w:w="1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8"/>
                <w:szCs w:val="18"/>
                <w:color w:val="auto"/>
              </w:rPr>
              <w:t>(Dollars in thousands)</w:t>
            </w:r>
          </w:p>
        </w:tc>
        <w:tc>
          <w:tcPr>
            <w:tcW w:w="3400" w:type="dxa"/>
            <w:vAlign w:val="bottom"/>
          </w:tcPr>
          <w:p>
            <w:pPr>
              <w:spacing w:after="0"/>
              <w:rPr>
                <w:sz w:val="18"/>
                <w:szCs w:val="18"/>
                <w:color w:val="auto"/>
              </w:rPr>
            </w:pP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1,917</w:t>
            </w:r>
          </w:p>
        </w:tc>
        <w:tc>
          <w:tcPr>
            <w:tcW w:w="3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1"/>
              </w:rPr>
              <w:t>Appraisal of collateral</w:t>
            </w:r>
            <w:r>
              <w:rPr>
                <w:rFonts w:ascii="Arial" w:cs="Arial" w:eastAsia="Arial" w:hAnsi="Arial"/>
                <w:sz w:val="29"/>
                <w:szCs w:val="29"/>
                <w:color w:val="auto"/>
                <w:w w:val="91"/>
                <w:vertAlign w:val="superscript"/>
              </w:rPr>
              <w:t>(1)</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1,549</w:t>
            </w:r>
          </w:p>
        </w:tc>
        <w:tc>
          <w:tcPr>
            <w:tcW w:w="3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2,223</w:t>
            </w:r>
          </w:p>
        </w:tc>
        <w:tc>
          <w:tcPr>
            <w:tcW w:w="3400" w:type="dxa"/>
            <w:vAlign w:val="bottom"/>
          </w:tcPr>
          <w:p>
            <w:pPr>
              <w:jc w:val="center"/>
              <w:spacing w:after="0" w:line="256" w:lineRule="exact"/>
              <w:rPr>
                <w:sz w:val="20"/>
                <w:szCs w:val="20"/>
                <w:color w:val="auto"/>
              </w:rPr>
            </w:pPr>
            <w:r>
              <w:rPr>
                <w:rFonts w:ascii="Arial" w:cs="Arial" w:eastAsia="Arial" w:hAnsi="Arial"/>
                <w:sz w:val="18"/>
                <w:szCs w:val="18"/>
                <w:color w:val="auto"/>
                <w:w w:val="91"/>
              </w:rPr>
              <w:t>Appraisal of collateral</w:t>
            </w:r>
            <w:r>
              <w:rPr>
                <w:rFonts w:ascii="Arial" w:cs="Arial" w:eastAsia="Arial" w:hAnsi="Arial"/>
                <w:sz w:val="29"/>
                <w:szCs w:val="29"/>
                <w:color w:val="auto"/>
                <w:w w:val="91"/>
                <w:vertAlign w:val="superscript"/>
              </w:rPr>
              <w:t>(1)</w:t>
            </w: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3,010</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2,970</w:t>
            </w:r>
          </w:p>
        </w:tc>
        <w:tc>
          <w:tcPr>
            <w:tcW w:w="3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Discounted cash flow</w:t>
            </w:r>
            <w:r>
              <w:rPr>
                <w:rFonts w:ascii="Arial" w:cs="Arial" w:eastAsia="Arial" w:hAnsi="Arial"/>
                <w:sz w:val="29"/>
                <w:szCs w:val="29"/>
                <w:color w:val="auto"/>
                <w:w w:val="88"/>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10% to 100%.</w:t>
      </w:r>
    </w:p>
    <w:p>
      <w:pPr>
        <w:ind w:right="30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10.6% to 11.5%. For discount rates, the range was 9.0% to 23.3%.</w:t>
      </w:r>
    </w:p>
    <w:p>
      <w:pPr>
        <w:sectPr>
          <w:pgSz w:w="11900" w:h="16838" w:orient="portrait"/>
          <w:cols w:equalWidth="0" w:num="1">
            <w:col w:w="11420"/>
          </w:cols>
          <w:pgMar w:left="240" w:top="118" w:right="239" w:bottom="1068"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68"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total gains (losses) on assets measured at fair value on a non-recurring basis for the three months ended September 30,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(In</w:t>
            </w:r>
          </w:p>
        </w:tc>
        <w:tc>
          <w:tcPr>
            <w:tcW w:w="1460" w:type="dxa"/>
            <w:vAlign w:val="bottom"/>
            <w:gridSpan w:val="2"/>
          </w:tcPr>
          <w:p>
            <w:pPr>
              <w:jc w:val="right"/>
              <w:ind w:right="770"/>
              <w:spacing w:after="0"/>
              <w:rPr>
                <w:sz w:val="20"/>
                <w:szCs w:val="20"/>
                <w:color w:val="auto"/>
              </w:rPr>
            </w:pPr>
            <w:r>
              <w:rPr>
                <w:rFonts w:ascii="Arial" w:cs="Arial" w:eastAsia="Arial" w:hAnsi="Arial"/>
                <w:sz w:val="16"/>
                <w:szCs w:val="16"/>
                <w:color w:val="auto"/>
                <w:w w:val="73"/>
              </w:rPr>
              <w:t>thousands)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0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Servicing rights, net</w:t>
            </w:r>
          </w:p>
        </w:tc>
        <w:tc>
          <w:tcPr>
            <w:tcW w:w="10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3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Fair Value Measurements at September 30, 2018</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205,717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205,717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205,717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79,157</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79,157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5"/>
              </w:rPr>
              <w:t>Equity investments measured at net asset value</w:t>
            </w:r>
            <w:r>
              <w:rPr>
                <w:rFonts w:ascii="Arial" w:cs="Arial" w:eastAsia="Arial" w:hAnsi="Arial"/>
                <w:sz w:val="29"/>
                <w:szCs w:val="29"/>
                <w:color w:val="auto"/>
                <w:w w:val="95"/>
                <w:vertAlign w:val="superscript"/>
              </w:rPr>
              <w:t>(1)</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3,290</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2,870</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1,015,507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24,043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8"/>
                <w:szCs w:val="18"/>
                <w:color w:val="auto"/>
              </w:rPr>
              <w:t>Fair Value Measurements at June 30, 2018</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157,402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157,402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157,402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81,068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81,068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5"/>
              </w:rPr>
              <w:t>Equity investments measured at net asset value</w:t>
            </w:r>
            <w:r>
              <w:rPr>
                <w:rFonts w:ascii="Arial" w:cs="Arial" w:eastAsia="Arial" w:hAnsi="Arial"/>
                <w:sz w:val="29"/>
                <w:szCs w:val="29"/>
                <w:color w:val="auto"/>
                <w:w w:val="95"/>
                <w:vertAlign w:val="superscript"/>
              </w:rPr>
              <w:t>(1)</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6,619</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7,155</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2,528</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953,216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23,958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ectPr>
          <w:pgSz w:w="11900" w:h="16838" w:orient="portrait"/>
          <w:cols w:equalWidth="0" w:num="1">
            <w:col w:w="11300"/>
          </w:cols>
          <w:pgMar w:left="240" w:top="118"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type w:val="continuous"/>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2018,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Northeast Bancorp’s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operational risks including, but not limited to, cybersecurity breaches, fraud and natural disasters; the risk that the Company may not be successful in the execution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2018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September 30, 2018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Ratios as of September 30, 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(ii) Total capital ratio</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2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2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right="14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ectPr>
          <w:pgSz w:w="11900" w:h="16838" w:orient="portrait"/>
          <w:cols w:equalWidth="0" w:num="1">
            <w:col w:w="11400"/>
          </w:cols>
          <w:pgMar w:left="240" w:top="118" w:right="25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September 30, 2018, the Company, on a consolidated basis, had total assets of $1.2 billion, total deposits of $1.0 billion, and shareholders’ equity of $143.4 million. The Company gathers retail deposits through its banking offices in Maine and the Bank's online affinity deposit program, ableBanking; originates loans through the Bank’s Community Banking Division; originates Small Business Administration (“SBA”) and United States Department of Agriculture loans through the Bank’s national SBA group (“SBA Division”); and purchases and originates commercial loans through the Bank’s LASG. The Community Banking Division, with ten full-service branches, operates from the Bank’s headquarters in Lewiston, Maine. LASG, ableBanking, and the SBA Division operate from the Company's offices in Boston, Massachusetts.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2018 to gain a better understanding of how Northeast’s financial performance is measured and reported. There has been no material change in critical accounting policies during the three months ended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income totaled $4.5 million for the quarter ended September 30, 2018, a decrease of $52 thousand, or 1.1%, from net income of $4.6 million for the quarter ended September 30, 2017.</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$1.0 million for the quarter ended September 30, 2018, compared to the quarter ended September 30, 2017. The increase is primarily due to higher average balances in the total loan portfolio. This increase was partially offset by lower transactional income, higher funding costs and higher average deposit balances.</w:t>
      </w:r>
    </w:p>
    <w:p>
      <w:pPr>
        <w:spacing w:after="0" w:line="18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Noninterest income decreased by $404 thousand for the quarter ended September 30, 2018, compared to the quarter ended September 30, 2017, principally due to the following:</w:t>
      </w:r>
    </w:p>
    <w:p>
      <w:pPr>
        <w:spacing w:after="0" w:line="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gain on sale of SBA loans of $168 thousand, due to lower pricing in the SBA guaranty market in the quarter;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$117 thousand, due to lower volume of residential loans sold in the quarter.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Noninterest expense increased by $641 thousand for the quarter ended September 30, 2018, compared to the quarter ended September 30, 2017, primarily due to the following:</w:t>
      </w:r>
    </w:p>
    <w:p>
      <w:pPr>
        <w:spacing w:after="0" w:line="1" w:lineRule="exact"/>
        <w:rPr>
          <w:sz w:val="20"/>
          <w:szCs w:val="20"/>
          <w:color w:val="auto"/>
        </w:rPr>
      </w:pPr>
    </w:p>
    <w:p>
      <w:pPr>
        <w:ind w:left="660" w:right="7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salaries and employee benefits expense of $255 thousand, primarily due to increases in incentive compensation, stock-based compensation expense, and health insurance costs;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other noninterest expense of $167 thousand, primarily due to the quarterly valuation of SBA servicing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professional fees of $92 thousand, primarily due to increased legal and other consulting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loan expense of $74 thousand, largely driven by direct expenses related to a repossessed asset.</w:t>
      </w:r>
    </w:p>
    <w:p>
      <w:pPr>
        <w:spacing w:after="0" w:line="21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Income tax expense decreased by $123 thousand for the quarter ended September 30, 2018, compared to the quarter ended September 30, 2017, primarily due to the following:</w:t>
      </w:r>
    </w:p>
    <w:p>
      <w:pPr>
        <w:spacing w:after="0" w:line="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decrease in income before income tax expense of $175 thousand, which resulted in a $49 thousand decrease in income tax expense; and</w:t>
      </w:r>
    </w:p>
    <w:p>
      <w:pPr>
        <w:spacing w:after="0" w:line="20" w:lineRule="exact"/>
        <w:rPr>
          <w:rFonts w:ascii="Arial" w:cs="Arial" w:eastAsia="Arial" w:hAnsi="Arial"/>
          <w:sz w:val="17"/>
          <w:szCs w:val="17"/>
          <w:color w:val="auto"/>
        </w:rPr>
      </w:pPr>
    </w:p>
    <w:p>
      <w:pPr>
        <w:ind w:left="660" w:right="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the federal corporate income tax rate as a result of the Tax Cuts and Jobs Act signed into law on December 22, 2017, which resulted in a $691 thousand decrease in federal income tax expense; partially offset by</w:t>
      </w:r>
    </w:p>
    <w:p>
      <w:pPr>
        <w:ind w:left="660" w:right="140" w:hanging="328"/>
        <w:spacing w:after="0" w:line="277"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 decrease in the income tax benefit recognized of $637 thousand arising from the treatment of vested restricted stock awards under ASU 2016-09, </w:t>
      </w:r>
      <w:r>
        <w:rPr>
          <w:rFonts w:ascii="Arial" w:cs="Arial" w:eastAsia="Arial" w:hAnsi="Arial"/>
          <w:sz w:val="17"/>
          <w:szCs w:val="17"/>
          <w:i w:val="1"/>
          <w:iCs w:val="1"/>
          <w:color w:val="auto"/>
        </w:rPr>
        <w:t xml:space="preserve">Compensation–Stock Compensation (Topic 718): Improvements to Employee Share-Based Payment Accounting, </w:t>
      </w:r>
      <w:r>
        <w:rPr>
          <w:rFonts w:ascii="Arial" w:cs="Arial" w:eastAsia="Arial" w:hAnsi="Arial"/>
          <w:sz w:val="17"/>
          <w:szCs w:val="17"/>
          <w:color w:val="auto"/>
        </w:rPr>
        <w:t>whereby the tax effects of vested</w:t>
      </w:r>
      <w:r>
        <w:rPr>
          <w:rFonts w:ascii="Arial" w:cs="Arial" w:eastAsia="Arial" w:hAnsi="Arial"/>
          <w:sz w:val="17"/>
          <w:szCs w:val="17"/>
          <w:i w:val="1"/>
          <w:iCs w:val="1"/>
          <w:color w:val="auto"/>
        </w:rPr>
        <w:t xml:space="preserve"> </w:t>
      </w:r>
      <w:r>
        <w:rPr>
          <w:rFonts w:ascii="Arial" w:cs="Arial" w:eastAsia="Arial" w:hAnsi="Arial"/>
          <w:sz w:val="17"/>
          <w:szCs w:val="17"/>
          <w:color w:val="auto"/>
        </w:rPr>
        <w:t>awards or exercised stock options are treated as a discrete item in the reporting period in which they occur.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September 30, 2018, total assets were $1.2 billion, an increase of $56.0 million, or 4.8%, from total assets of $1.2 billion as of June 30, 2018. The principal components of the changes in the balance sheet follow: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changes in the loan portfolio for the three months ended September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89"/>
              </w:rPr>
              <w:t>Three Months Ended September 30, 2018</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3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2018</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Change ($)</w:t>
            </w:r>
          </w:p>
        </w:tc>
        <w:tc>
          <w:tcPr>
            <w:tcW w:w="200" w:type="dxa"/>
            <w:vAlign w:val="bottom"/>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 (%)</w:t>
            </w:r>
          </w:p>
        </w:tc>
        <w:tc>
          <w:tcPr>
            <w:tcW w:w="16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jc w:val="right"/>
              <w:ind w:right="700"/>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2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300,548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LASG Originated</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407,822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397,363</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10,459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60,156</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Community Banking</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111,614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123,311</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(11,697)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0"/>
        </w:trPr>
        <w:tc>
          <w:tcPr>
            <w:tcW w:w="3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871,802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Loans generated by the Bank's LASG for the quarter ended September 30, 2018 totaled $105.9 million, which consisted of $34.8 million of purchased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 an average price of 93.9% of unpaid principal balance, and $71.1 million of originated loans. The Bank's SBA Division closed $18.9 million and funded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$18.6 million of new loans during the quarter ended September 30, 2018. In addition, the Company sold $12.3 million of the guaranteed portion of SBA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secondary market, of which $7.4 million were originated in the current quarter and $4.9 million were originated in prior quarters. Residential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production sold in the secondary market totaled $13.2 million for the quarter.</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noted above in the “</w:t>
      </w:r>
      <w:r>
        <w:rPr>
          <w:rFonts w:ascii="Arial" w:cs="Arial" w:eastAsia="Arial" w:hAnsi="Arial"/>
          <w:sz w:val="16"/>
          <w:szCs w:val="16"/>
          <w:i w:val="1"/>
          <w:iCs w:val="1"/>
          <w:color w:val="auto"/>
        </w:rPr>
        <w:t>Business Overview</w:t>
      </w:r>
      <w:r>
        <w:rPr>
          <w:rFonts w:ascii="Arial" w:cs="Arial" w:eastAsia="Arial" w:hAnsi="Arial"/>
          <w:sz w:val="16"/>
          <w:szCs w:val="16"/>
          <w:color w:val="auto"/>
        </w:rPr>
        <w:t>” section, the Company made certain commitments to the Federal Reserve in connection with the merger of FHB with and into the Company in December 2010. The Company’s loan purchase and commercial real estate loan availability under these conditions follow.</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Basis for Regulatory Condition</w:t>
            </w: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Condition</w:t>
            </w:r>
          </w:p>
        </w:tc>
        <w:tc>
          <w:tcPr>
            <w:tcW w:w="2720" w:type="dxa"/>
            <w:vAlign w:val="bottom"/>
            <w:gridSpan w:val="4"/>
          </w:tcPr>
          <w:p>
            <w:pPr>
              <w:ind w:left="120"/>
              <w:spacing w:after="0"/>
              <w:rPr>
                <w:sz w:val="20"/>
                <w:szCs w:val="20"/>
                <w:color w:val="auto"/>
              </w:rPr>
            </w:pPr>
            <w:r>
              <w:rPr>
                <w:rFonts w:ascii="Arial" w:cs="Arial" w:eastAsia="Arial" w:hAnsi="Arial"/>
                <w:sz w:val="18"/>
                <w:szCs w:val="18"/>
                <w:color w:val="auto"/>
                <w:w w:val="94"/>
              </w:rPr>
              <w:t>Availability at September 30, 2018</w:t>
            </w:r>
          </w:p>
        </w:tc>
      </w:tr>
      <w:tr>
        <w:trPr>
          <w:trHeight w:val="210"/>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(Dollars in millions)</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Purchased loans may not exceed 40% of total loans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Regulatory Capital</w:t>
            </w:r>
          </w:p>
        </w:tc>
        <w:tc>
          <w:tcPr>
            <w:tcW w:w="50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2"/>
              </w:rPr>
              <w:t>Non-owner occupied commercial real estate loans may not exceed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120.2</w:t>
            </w:r>
          </w:p>
        </w:tc>
      </w:tr>
      <w:tr>
        <w:trPr>
          <w:trHeight w:val="230"/>
        </w:trPr>
        <w:tc>
          <w:tcPr>
            <w:tcW w:w="362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300% of total capital</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5080" w:type="dxa"/>
            <w:vAlign w:val="bottom"/>
            <w:gridSpan w:val="2"/>
          </w:tcPr>
          <w:p>
            <w:pPr>
              <w:ind w:left="20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5"/>
          </w:tcPr>
          <w:p>
            <w:pPr>
              <w:spacing w:after="0"/>
              <w:rPr>
                <w:sz w:val="20"/>
                <w:szCs w:val="20"/>
                <w:color w:val="auto"/>
              </w:rPr>
            </w:pPr>
            <w:r>
              <w:rPr>
                <w:rFonts w:ascii="Arial" w:cs="Arial" w:eastAsia="Arial" w:hAnsi="Arial"/>
                <w:sz w:val="18"/>
                <w:szCs w:val="18"/>
                <w:color w:val="auto"/>
              </w:rPr>
              <w:t>An overview of the Bank’s LASG portfolio follows: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color w:val="auto"/>
              </w:rPr>
              <w:t>LASG Portfolio</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8"/>
                <w:szCs w:val="18"/>
                <w:color w:val="auto"/>
                <w:w w:val="89"/>
              </w:rPr>
              <w:t>Three Months Ended September 30,</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Purchased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Originated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Total LASG</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Purchased</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Originated</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4"/>
              </w:rPr>
              <w:t>Total LASG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(Dollars</w:t>
            </w:r>
          </w:p>
        </w:tc>
        <w:tc>
          <w:tcPr>
            <w:tcW w:w="280" w:type="dxa"/>
            <w:vAlign w:val="bottom"/>
            <w:gridSpan w:val="2"/>
            <w:vMerge w:val="continue"/>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Loans purchased or originated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37,077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71,136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108,213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4,318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105,939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40,779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as of period end: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336,908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407,822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744,730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262,144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340,756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407,822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708,370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340,756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571,988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8"/>
        <w:spacing w:after="0" w:line="259"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on purchased loans does not include the effect of purchased loan charge-offs or recoveries during the period. Total return on purchased loans is considered a non-GAAP financial measure.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Due from Banks, Short-Term Investments and Investment Securities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were $205.7 million as of September 30, 2018, an increase of $48.3 million, or 30.7%, from $157.4 million at June 30, 2018. The increase is primarily due to the increase in deposits, offset by the increase in loans in the period.</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Investment securities totaled $85.8 million as of September 30, 2018, compared to $87.7 million as of June 30, 2018, representing a decrease of $1.9 million, or 2.2%, primarily due to principal payments on mortgage-backed securities. Included in investment securities are securities issued by government agencies and government-sponsored enterprises, as well as an investment of $5.1 million in a CRA qualified fund that seeks to invest in securities either issued or guaranteed by the U.S. government or its agencies and an investment of $1.5 million in a CRA qualified fund that primarily invests in the federally guaranteed portion of SBA 7(a) loans. At September 30, 2018, no securities were pledged for outstanding borrowings.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September 30, 2018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Banking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230"/>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Division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LASG</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SBA Division</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0"/>
                <w:szCs w:val="20"/>
                <w:color w:val="auto"/>
              </w:rPr>
            </w:pPr>
          </w:p>
        </w:tc>
      </w:tr>
      <w:tr>
        <w:trPr>
          <w:trHeight w:val="210"/>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5"/>
          </w:tcPr>
          <w:p>
            <w:pPr>
              <w:jc w:val="center"/>
              <w:ind w:right="145"/>
              <w:spacing w:after="0"/>
              <w:rPr>
                <w:sz w:val="20"/>
                <w:szCs w:val="20"/>
                <w:color w:val="auto"/>
              </w:rPr>
            </w:pPr>
            <w:r>
              <w:rPr>
                <w:rFonts w:ascii="Arial" w:cs="Arial" w:eastAsia="Arial" w:hAnsi="Arial"/>
                <w:sz w:val="18"/>
                <w:szCs w:val="18"/>
                <w:color w:val="auto"/>
                <w:w w:val="90"/>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61,041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8,735</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69,776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151,739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38,142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207,566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23.40%</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73,142</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174,206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5,947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190,366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21.46%</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60" w:type="dxa"/>
            <w:vAlign w:val="bottom"/>
          </w:tcPr>
          <w:p>
            <w:pPr>
              <w:ind w:left="340"/>
              <w:spacing w:after="0"/>
              <w:rPr>
                <w:sz w:val="20"/>
                <w:szCs w:val="20"/>
                <w:color w:val="auto"/>
              </w:rPr>
            </w:pPr>
            <w:r>
              <w:rPr>
                <w:rFonts w:ascii="Arial" w:cs="Arial" w:eastAsia="Arial" w:hAnsi="Arial"/>
                <w:sz w:val="18"/>
                <w:szCs w:val="18"/>
                <w:color w:val="auto"/>
              </w:rPr>
              <w:t>Total originated loans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407,822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67,212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586,648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66.13%</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165,088</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165,088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120,142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120,142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13.54%</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60" w:type="dxa"/>
            <w:vAlign w:val="bottom"/>
          </w:tcPr>
          <w:p>
            <w:pPr>
              <w:ind w:left="340"/>
              <w:spacing w:after="0"/>
              <w:rPr>
                <w:sz w:val="20"/>
                <w:szCs w:val="20"/>
                <w:color w:val="auto"/>
              </w:rPr>
            </w:pPr>
            <w:r>
              <w:rPr>
                <w:rFonts w:ascii="Arial" w:cs="Arial" w:eastAsia="Arial" w:hAnsi="Arial"/>
                <w:sz w:val="18"/>
                <w:szCs w:val="18"/>
                <w:color w:val="auto"/>
              </w:rPr>
              <w:t>Total purchased loans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300,548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300,548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33.87%</w:t>
            </w:r>
          </w:p>
        </w:tc>
      </w:tr>
      <w:tr>
        <w:trPr>
          <w:trHeight w:val="20"/>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loans</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111,614</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708,370</w:t>
            </w:r>
          </w:p>
        </w:tc>
        <w:tc>
          <w:tcPr>
            <w:tcW w:w="580" w:type="dxa"/>
            <w:vAlign w:val="bottom"/>
            <w:tcBorders>
              <w:lef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887,196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629"/>
        </w:trPr>
        <w:tc>
          <w:tcPr>
            <w:tcW w:w="40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 2018</w:t>
            </w: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195"/>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Banking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230"/>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Division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LASG</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SBA Division</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0"/>
                <w:szCs w:val="20"/>
                <w:color w:val="auto"/>
              </w:rPr>
            </w:pPr>
          </w:p>
        </w:tc>
      </w:tr>
      <w:tr>
        <w:trPr>
          <w:trHeight w:val="210"/>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5"/>
          </w:tcPr>
          <w:p>
            <w:pPr>
              <w:jc w:val="center"/>
              <w:ind w:right="145"/>
              <w:spacing w:after="0"/>
              <w:rPr>
                <w:sz w:val="20"/>
                <w:szCs w:val="20"/>
                <w:color w:val="auto"/>
              </w:rPr>
            </w:pPr>
            <w:r>
              <w:rPr>
                <w:rFonts w:ascii="Arial" w:cs="Arial" w:eastAsia="Arial" w:hAnsi="Arial"/>
                <w:sz w:val="18"/>
                <w:szCs w:val="18"/>
                <w:color w:val="auto"/>
                <w:w w:val="90"/>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68,634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7,111</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75,873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137,463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29,488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185,649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81,916</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117,750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170,873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6,057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187,857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21.55%</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60" w:type="dxa"/>
            <w:vAlign w:val="bottom"/>
          </w:tcPr>
          <w:p>
            <w:pPr>
              <w:ind w:left="340"/>
              <w:spacing w:after="0"/>
              <w:rPr>
                <w:sz w:val="20"/>
                <w:szCs w:val="20"/>
                <w:color w:val="auto"/>
              </w:rPr>
            </w:pPr>
            <w:r>
              <w:rPr>
                <w:rFonts w:ascii="Arial" w:cs="Arial" w:eastAsia="Arial" w:hAnsi="Arial"/>
                <w:sz w:val="18"/>
                <w:szCs w:val="18"/>
                <w:color w:val="auto"/>
              </w:rPr>
              <w:t>Total originated loans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397,363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60,156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580,830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66.62%</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13,926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13,926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150,805</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150,805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125,246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125,246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14.37%</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60" w:type="dxa"/>
            <w:vAlign w:val="bottom"/>
          </w:tcPr>
          <w:p>
            <w:pPr>
              <w:ind w:left="340"/>
              <w:spacing w:after="0"/>
              <w:rPr>
                <w:sz w:val="20"/>
                <w:szCs w:val="20"/>
                <w:color w:val="auto"/>
              </w:rPr>
            </w:pPr>
            <w:r>
              <w:rPr>
                <w:rFonts w:ascii="Arial" w:cs="Arial" w:eastAsia="Arial" w:hAnsi="Arial"/>
                <w:sz w:val="18"/>
                <w:szCs w:val="18"/>
                <w:color w:val="auto"/>
              </w:rPr>
              <w:t>Total purchased loans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290,972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290,972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33.38%</w:t>
            </w:r>
          </w:p>
        </w:tc>
      </w:tr>
      <w:tr>
        <w:trPr>
          <w:trHeight w:val="20"/>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loans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123,311</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688,335</w:t>
            </w:r>
          </w:p>
        </w:tc>
        <w:tc>
          <w:tcPr>
            <w:tcW w:w="580" w:type="dxa"/>
            <w:vAlign w:val="bottom"/>
            <w:tcBorders>
              <w:lef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60,156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871,802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the loan is classified as a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recorded at fair value less estimated costs to sell upon repossession. Revenues and expenses are recognized in the period when received or incurred on OREO and in-substance foreclosures. Gains and losses on disposition are recognized in noninterest income.</w:t>
      </w:r>
    </w:p>
    <w:p>
      <w:pPr>
        <w:sectPr>
          <w:pgSz w:w="11900" w:h="16838" w:orient="portrait"/>
          <w:cols w:equalWidth="0" w:num="1">
            <w:col w:w="11420"/>
          </w:cols>
          <w:pgMar w:left="240" w:top="118" w:right="239" w:bottom="784"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84" w:gutter="0" w:footer="0" w:header="0"/>
          <w:type w:val="continuous"/>
        </w:sectPr>
      </w:pPr>
    </w:p>
    <w:bookmarkStart w:id="36" w:name="page37"/>
    <w:bookmarkEnd w:id="36"/>
    <w:p>
      <w:pPr>
        <w:spacing w:after="0" w:line="4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September 30, 2018 and June 30, 2018.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gridSpan w:val="10"/>
          </w:tcPr>
          <w:p>
            <w:pPr>
              <w:jc w:val="center"/>
              <w:ind w:right="400"/>
              <w:spacing w:after="0"/>
              <w:rPr>
                <w:sz w:val="20"/>
                <w:szCs w:val="20"/>
                <w:color w:val="auto"/>
              </w:rPr>
            </w:pPr>
            <w:r>
              <w:rPr>
                <w:rFonts w:ascii="Arial" w:cs="Arial" w:eastAsia="Arial" w:hAnsi="Arial"/>
                <w:sz w:val="18"/>
                <w:szCs w:val="18"/>
                <w:color w:val="auto"/>
                <w:w w:val="90"/>
              </w:rPr>
              <w:t>Nonperforming Assets at September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Originated</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5"/>
              </w:rPr>
              <w:t>Purchased</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4,816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 risk rated substandard or worse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On nonaccrual status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left="670"/>
              <w:spacing w:after="0"/>
              <w:rPr>
                <w:sz w:val="20"/>
                <w:szCs w:val="20"/>
                <w:color w:val="auto"/>
              </w:rPr>
            </w:pPr>
            <w:r>
              <w:rPr>
                <w:rFonts w:ascii="Arial" w:cs="Arial" w:eastAsia="Arial" w:hAnsi="Arial"/>
                <w:sz w:val="18"/>
                <w:szCs w:val="18"/>
                <w:color w:val="auto"/>
                <w:w w:val="90"/>
              </w:rPr>
              <w:t>Nonperforming Assets at June 30, 2018</w:t>
            </w:r>
          </w:p>
        </w:tc>
        <w:tc>
          <w:tcPr>
            <w:tcW w:w="9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5,180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 risk rated substandard or worse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Nonaccrual status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As of September 30, 2018, nonperforming assets totaled $13.1 million, or 1.08% of total assets, as compared to $14.2 million, or 1.23% of total assets, as of June 30,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OREO decreased by $684 thousand, or 30.6%, to $1.5 million at September 30, 2018, compared to $2.2 million at June 30, 2018. The decrease was primarily the result of the sale of one property in the quarter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Company’s allowance for loan losses was $5.3 million as of September 30, 2018, compared to $4.8 million as of June 30, 2018. The increase in the period is primarily the result of changes in the composition of the loan portfolio from an increase in loans originated by the SBA division, as well as an increase in specific reserve on two loan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5"/>
              </w:rPr>
              <w:t>September 30, 2018</w:t>
            </w:r>
          </w:p>
        </w:tc>
        <w:tc>
          <w:tcPr>
            <w:tcW w:w="220" w:type="dxa"/>
            <w:vAlign w:val="bottom"/>
          </w:tcPr>
          <w:p>
            <w:pPr>
              <w:spacing w:after="0"/>
              <w:rPr>
                <w:sz w:val="20"/>
                <w:szCs w:val="20"/>
                <w:color w:val="auto"/>
              </w:rPr>
            </w:pPr>
          </w:p>
        </w:tc>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September 30, 2017</w:t>
            </w:r>
          </w:p>
        </w:tc>
        <w:tc>
          <w:tcPr>
            <w:tcW w:w="100" w:type="dxa"/>
            <w:vAlign w:val="bottom"/>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7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45.98%</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40.20%</w:t>
            </w:r>
          </w:p>
        </w:tc>
        <w:tc>
          <w:tcPr>
            <w:tcW w:w="19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24.23%</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90"/>
              </w:rPr>
              <w:t>0.60%</w:t>
            </w:r>
          </w:p>
        </w:tc>
        <w:tc>
          <w:tcPr>
            <w:tcW w:w="194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0.55%</w:t>
            </w:r>
          </w:p>
        </w:tc>
        <w:tc>
          <w:tcPr>
            <w:tcW w:w="196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0.53%</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7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0.04%</w:t>
            </w:r>
          </w:p>
        </w:tc>
        <w:tc>
          <w:tcPr>
            <w:tcW w:w="19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0.04%</w:t>
            </w:r>
          </w:p>
        </w:tc>
        <w:tc>
          <w:tcPr>
            <w:tcW w:w="19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3"/>
              </w:rPr>
              <w:t>0.03%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w:t>
      </w:r>
    </w:p>
    <w:p>
      <w:pPr>
        <w:sectPr>
          <w:pgSz w:w="11900" w:h="16881" w:orient="portrait"/>
          <w:cols w:equalWidth="0" w:num="1">
            <w:col w:w="11400"/>
          </w:cols>
          <w:pgMar w:left="240" w:top="118" w:right="25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other factors.</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Premises and equipment, net, decreased by $277 thousand, or 4.2%, to $6.3 million at September 30, 2018, compared to $6.6 million at June 30, 2018. The decrease was primarily due to depreciation and amortization.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assets totaled $758 thousand and $867 thousand at September 30, 2018 and June 30, 2018, respectively. The $109 thousand decrease was the result of intangible asset amortization during the period.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Servicing rights, net totaled $3.0 million at both September 30, 2018 and June 30, 2018. The $40 thousand increase was the result of SBA loans sold during the three months ended September 30, 2018, offset by amortization and the revaluation of the servicing rights performed on a quarterly basis and amortization.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$109 thousand, or 0.7% to $16.7 million at September 30, 2018, compared to $16.6 million at June 30, 2018. Increases in cash surrender value are recognized in noninterest income and are not subject to income taxes. Borrowing on, or surrendering a policy, may subject the Company to income tax expense on the increase in cash surrender value. For these reasons, management considers BOLI an illiquid asset. BOLI represented 9.7% of the Company’s regulatory total capital at September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FHLBB Advances, Subordinated Debt, Liquidity, and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September 30, 2018, non-maturity accounts and non-brokered insured time deposits represented 100% of total deposits.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deposits increased $60.6 million, or 6.3%, to $1.0 billion as of September, 2018 from $954.9 million as of June 30, 2018. The increase was attributable primarily to an increase in time deposits of $87.9 million, or 25.0% due to promotions during the quarter, offset by a decrease in money market accounts of $22.5 million, or 5.3%.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September 30, 2018 and June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840"/>
              <w:spacing w:after="0"/>
              <w:rPr>
                <w:sz w:val="20"/>
                <w:szCs w:val="20"/>
                <w:color w:val="auto"/>
              </w:rPr>
            </w:pPr>
            <w:r>
              <w:rPr>
                <w:rFonts w:ascii="Arial" w:cs="Arial" w:eastAsia="Arial" w:hAnsi="Arial"/>
                <w:sz w:val="18"/>
                <w:szCs w:val="18"/>
                <w:color w:val="auto"/>
              </w:rPr>
              <w:t>September 30, 2018</w:t>
            </w:r>
          </w:p>
        </w:tc>
        <w:tc>
          <w:tcPr>
            <w:tcW w:w="220" w:type="dxa"/>
            <w:vAlign w:val="bottom"/>
          </w:tcPr>
          <w:p>
            <w:pPr>
              <w:spacing w:after="0"/>
              <w:rPr>
                <w:sz w:val="20"/>
                <w:szCs w:val="20"/>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72,272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73,867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73,347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35,697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36,290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Money market deposits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398,423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39.23%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420,886</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575,487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602,795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Term certificates of $250 thousand or less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440,020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352,145</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greater than $250 thousand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440,020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352,145</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1,015,507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954,940</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FHLBB Advances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Advances from the FHLBB were $15.0 million at both September 30, 2018 and June 30, 2018. As of September 30, 2018, the Company had pledged certain residential real estate loans and commercial real estate loans to secure outstanding advances and provide additional borrowing capacity. As of September 30, 2018, no securities were pledged for outstanding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On June 29, 2016, the Company entered into a Subordinated Note Purchase Agreement with certain institutional accredited investors pursuant to which the Company issued subordinated notes equal to $15.05 million in aggregate principal amount with an interest rate of 6.75% fixed-to-floating maturing in 2026 (“subordinated notes”). The subordinated notes, net of issuance costs, totaled $14.7 million at both September 30, 2018 and June 30, 2018.</w:t>
      </w:r>
    </w:p>
    <w:p>
      <w:pPr>
        <w:spacing w:after="0" w:line="14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Company had junior subordinated debentures issued to affiliated trusts totaling $9.3 million and $9.2 million at September 30, 2018 and June 30, 2018, respectively. The unpaid principal balance of the junior subordinated debentures totaled $16.5 million at both September 30, 2018 and June 30, 2018.</w:t>
      </w:r>
    </w:p>
    <w:p>
      <w:pPr>
        <w:sectPr>
          <w:pgSz w:w="11900" w:h="16838" w:orient="portrait"/>
          <w:cols w:equalWidth="0" w:num="1">
            <w:col w:w="11380"/>
          </w:cols>
          <w:pgMar w:left="240" w:top="118" w:right="279" w:bottom="1440" w:gutter="0" w:footer="0" w:header="0"/>
        </w:sectPr>
      </w:pP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unused borrowing capacity of the Company at September 30, 2018, in addition to traditional retail deposit products: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8"/>
                <w:szCs w:val="18"/>
                <w:color w:val="auto"/>
                <w:w w:val="90"/>
              </w:rPr>
              <w:t>As of September 30, 2018</w:t>
            </w:r>
          </w:p>
        </w:tc>
        <w:tc>
          <w:tcPr>
            <w:tcW w:w="484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2"/>
              </w:rPr>
              <w:t>(Dollars in thousands)</w:t>
            </w:r>
          </w:p>
        </w:tc>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303,429</w:t>
            </w:r>
          </w:p>
        </w:tc>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Subject to policy limitation of 25% of total assets</w:t>
            </w:r>
          </w:p>
        </w:tc>
      </w:tr>
      <w:tr>
        <w:trPr>
          <w:trHeight w:val="202"/>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Pr>
          <w:p>
            <w:pPr>
              <w:ind w:left="40"/>
              <w:spacing w:after="0" w:line="201" w:lineRule="exact"/>
              <w:rPr>
                <w:sz w:val="20"/>
                <w:szCs w:val="20"/>
                <w:color w:val="auto"/>
              </w:rPr>
            </w:pPr>
            <w:r>
              <w:rPr>
                <w:rFonts w:ascii="Arial" w:cs="Arial" w:eastAsia="Arial" w:hAnsi="Arial"/>
                <w:sz w:val="18"/>
                <w:szCs w:val="18"/>
                <w:color w:val="auto"/>
              </w:rPr>
              <w:t>Unused advance capacity subject to eligible and qualified</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100" w:type="dxa"/>
            <w:vAlign w:val="bottom"/>
          </w:tcPr>
          <w:p>
            <w:pPr>
              <w:spacing w:after="0"/>
              <w:rPr>
                <w:sz w:val="20"/>
                <w:szCs w:val="20"/>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45,478</w:t>
            </w:r>
          </w:p>
        </w:tc>
        <w:tc>
          <w:tcPr>
            <w:tcW w:w="4840" w:type="dxa"/>
            <w:vAlign w:val="bottom"/>
          </w:tcPr>
          <w:p>
            <w:pPr>
              <w:ind w:left="40"/>
              <w:spacing w:after="0"/>
              <w:rPr>
                <w:sz w:val="20"/>
                <w:szCs w:val="20"/>
                <w:color w:val="auto"/>
              </w:rPr>
            </w:pPr>
            <w:r>
              <w:rPr>
                <w:rFonts w:ascii="Arial" w:cs="Arial" w:eastAsia="Arial" w:hAnsi="Arial"/>
                <w:sz w:val="18"/>
                <w:szCs w:val="18"/>
                <w:color w:val="auto"/>
              </w:rPr>
              <w:t>collateral</w:t>
            </w: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Discount Window Borrower-in-</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Custody</w:t>
            </w:r>
          </w:p>
        </w:tc>
        <w:tc>
          <w:tcPr>
            <w:tcW w:w="1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w:t>
            </w:r>
          </w:p>
        </w:tc>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available lines</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50"/>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unused borrowing capacity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367,463</w:t>
            </w:r>
          </w:p>
        </w:tc>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of the FHLBB may be required.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September 30, 2018, the Company had $434.2 million of immediately accessible liquidity, defined as cash that the Bank reasonably believes could be raised within seven days through collateralized borrowings, brokered deposits or security sales. This position represented 35.8% of total assets. The Company also had $205.7 million of cash and cash equivalents at September 30, 2018.</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unpaid principal balance and carrying amount of junior subordinated debentures totaled $16.5 million and $9.3 million, respectively, as of September 30, 2018. The unpaid principal balance and carrying amount of subordinated debt totaled $15.1 million and $14.7 million, respectively, as of September 30, 2018. The junior subordinated debt represents qualifying Tier 1 capital for the Company, up to a maximum of 25% of total Tier 1 capital, and subordinated debt represents qualifying Tier 2 capital for the Company. At September 30, 2018, the carrying amounts of the junior subordinated debt, net of the Company’s $496 thousand investment in the affiliated trusts, qualified as Tier 1 capital, and the subordinated debt qualified as Tier 2 capital.</w:t>
      </w:r>
    </w:p>
    <w:p>
      <w:pPr>
        <w:spacing w:after="0" w:line="15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At September 30, 2018, shareholders’ equity was $143.4 million, an increase of $5.0 million, or 3.6% from June 30, 2018. Book value per outstanding common share was $15.85 at September 30, 2018 and $15.49 at June 30, 2018. Tier 1 capital to total average assets of the Company was 12.8% as of September 30, 2018 and 13.1% at June 30, 2018.</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w:t>
      </w:r>
    </w:p>
    <w:p>
      <w:pPr>
        <w:spacing w:after="0" w:line="2" w:lineRule="exact"/>
        <w:rPr>
          <w:sz w:val="20"/>
          <w:szCs w:val="20"/>
          <w:color w:val="auto"/>
        </w:rPr>
      </w:pPr>
    </w:p>
    <w:p>
      <w:pPr>
        <w:ind w:right="240" w:firstLine="8"/>
        <w:spacing w:after="0" w:line="290"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the Bank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7"/>
          </w:tcPr>
          <w:p>
            <w:pPr>
              <w:jc w:val="center"/>
              <w:ind w:right="420"/>
              <w:spacing w:after="0"/>
              <w:rPr>
                <w:sz w:val="20"/>
                <w:szCs w:val="20"/>
                <w:color w:val="auto"/>
              </w:rPr>
            </w:pPr>
            <w:r>
              <w:rPr>
                <w:rFonts w:ascii="Arial" w:cs="Arial" w:eastAsia="Arial" w:hAnsi="Arial"/>
                <w:sz w:val="18"/>
                <w:szCs w:val="18"/>
                <w:color w:val="auto"/>
                <w:w w:val="95"/>
              </w:rPr>
              <w:t>Minimum To Be Well</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Capital 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7"/>
          </w:tcPr>
          <w:p>
            <w:pPr>
              <w:jc w:val="center"/>
              <w:ind w:right="440"/>
              <w:spacing w:after="0"/>
              <w:rPr>
                <w:sz w:val="20"/>
                <w:szCs w:val="20"/>
                <w:color w:val="auto"/>
              </w:rPr>
            </w:pPr>
            <w:r>
              <w:rPr>
                <w:rFonts w:ascii="Arial" w:cs="Arial" w:eastAsia="Arial" w:hAnsi="Arial"/>
                <w:sz w:val="18"/>
                <w:szCs w:val="18"/>
                <w:color w:val="auto"/>
                <w:w w:val="92"/>
              </w:rPr>
              <w:t>Capitalized Under</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with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6"/>
          </w:tcPr>
          <w:p>
            <w:pPr>
              <w:ind w:left="320"/>
              <w:spacing w:after="0"/>
              <w:rPr>
                <w:sz w:val="20"/>
                <w:szCs w:val="20"/>
                <w:color w:val="auto"/>
              </w:rPr>
            </w:pPr>
            <w:r>
              <w:rPr>
                <w:rFonts w:ascii="Arial" w:cs="Arial" w:eastAsia="Arial" w:hAnsi="Arial"/>
                <w:sz w:val="18"/>
                <w:szCs w:val="18"/>
                <w:color w:val="auto"/>
              </w:rPr>
              <w:t>Minimum Capital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7"/>
          </w:tcPr>
          <w:p>
            <w:pPr>
              <w:jc w:val="center"/>
              <w:ind w:right="420"/>
              <w:spacing w:after="0"/>
              <w:rPr>
                <w:sz w:val="20"/>
                <w:szCs w:val="20"/>
                <w:color w:val="auto"/>
              </w:rPr>
            </w:pPr>
            <w:r>
              <w:rPr>
                <w:rFonts w:ascii="Arial" w:cs="Arial" w:eastAsia="Arial" w:hAnsi="Arial"/>
                <w:sz w:val="18"/>
                <w:szCs w:val="18"/>
                <w:color w:val="auto"/>
                <w:w w:val="92"/>
              </w:rPr>
              <w:t>Prompt Corrective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Conservation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6"/>
          </w:tcPr>
          <w:p>
            <w:pPr>
              <w:ind w:left="460"/>
              <w:spacing w:after="0"/>
              <w:rPr>
                <w:sz w:val="20"/>
                <w:szCs w:val="20"/>
                <w:color w:val="auto"/>
              </w:rPr>
            </w:pPr>
            <w:r>
              <w:rPr>
                <w:rFonts w:ascii="Arial" w:cs="Arial" w:eastAsia="Arial" w:hAnsi="Arial"/>
                <w:sz w:val="18"/>
                <w:szCs w:val="18"/>
                <w:color w:val="auto"/>
              </w:rPr>
              <w:t>Requirements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7"/>
          </w:tcPr>
          <w:p>
            <w:pPr>
              <w:jc w:val="center"/>
              <w:ind w:right="420"/>
              <w:spacing w:after="0"/>
              <w:rPr>
                <w:sz w:val="20"/>
                <w:szCs w:val="20"/>
                <w:color w:val="auto"/>
              </w:rPr>
            </w:pPr>
            <w:r>
              <w:rPr>
                <w:rFonts w:ascii="Arial" w:cs="Arial" w:eastAsia="Arial" w:hAnsi="Arial"/>
                <w:sz w:val="18"/>
                <w:szCs w:val="18"/>
                <w:color w:val="auto"/>
                <w:w w:val="94"/>
              </w:rPr>
              <w:t>Action Provisions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Buffer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10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Ratio</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Amount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4"/>
          </w:tcPr>
          <w:p>
            <w:pPr>
              <w:ind w:left="36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22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8"/>
          </w:tcPr>
          <w:p>
            <w:pPr>
              <w:ind w:left="760"/>
              <w:spacing w:after="0"/>
              <w:rPr>
                <w:sz w:val="20"/>
                <w:szCs w:val="20"/>
                <w:color w:val="auto"/>
              </w:rPr>
            </w:pPr>
            <w:r>
              <w:rPr>
                <w:rFonts w:ascii="Arial" w:cs="Arial" w:eastAsia="Arial" w:hAnsi="Arial"/>
                <w:sz w:val="18"/>
                <w:szCs w:val="18"/>
                <w:color w:val="auto"/>
                <w:w w:val="93"/>
              </w:rPr>
              <w:t>(Dollars in thousands)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equity tier 1 capital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 risk weighted assets: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143,960</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16.50%</w:t>
            </w:r>
          </w:p>
        </w:tc>
        <w:tc>
          <w:tcPr>
            <w:tcW w:w="2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39,267</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162,154</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39,261</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2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56,710</w:t>
            </w:r>
          </w:p>
        </w:tc>
        <w:tc>
          <w:tcPr>
            <w:tcW w:w="134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capital to risk weighted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172,856</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19.81%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69,808</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167,503</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19.20%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69,797</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87,247</w:t>
            </w:r>
          </w:p>
        </w:tc>
        <w:tc>
          <w:tcPr>
            <w:tcW w:w="134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Tier 1 capital to risk weighted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152,761</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17.51%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52,356</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162,154</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52,348</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69,797</w:t>
            </w:r>
          </w:p>
        </w:tc>
        <w:tc>
          <w:tcPr>
            <w:tcW w:w="134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average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152,761</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12.83%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47,611</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162,154</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47,595</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59,494</w:t>
            </w:r>
          </w:p>
        </w:tc>
        <w:tc>
          <w:tcPr>
            <w:tcW w:w="134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5"/>
              </w:rPr>
              <w:t>Common equity tier 1 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to risk weighted 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139,247</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16.02%</w:t>
            </w:r>
          </w:p>
        </w:tc>
        <w:tc>
          <w:tcPr>
            <w:tcW w:w="2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line="176" w:lineRule="exact"/>
              <w:rPr>
                <w:sz w:val="20"/>
                <w:szCs w:val="20"/>
                <w:color w:val="auto"/>
              </w:rPr>
            </w:pPr>
            <w:r>
              <w:rPr>
                <w:rFonts w:ascii="Arial" w:cs="Arial" w:eastAsia="Arial" w:hAnsi="Arial"/>
                <w:sz w:val="18"/>
                <w:szCs w:val="18"/>
                <w:color w:val="auto"/>
              </w:rPr>
              <w:t>39,113</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39,120</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&gt;4.5%</w:t>
            </w:r>
          </w:p>
        </w:tc>
        <w:tc>
          <w:tcPr>
            <w:tcW w:w="2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56,506</w:t>
            </w:r>
          </w:p>
        </w:tc>
        <w:tc>
          <w:tcPr>
            <w:tcW w:w="134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5"/>
              </w:rPr>
              <w:t>Total capital to risk weighted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167,567</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19.28%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69,535</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161,714</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18.60%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69,546</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&gt;8.0%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86,933</w:t>
            </w:r>
          </w:p>
        </w:tc>
        <w:tc>
          <w:tcPr>
            <w:tcW w:w="134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3"/>
              </w:rPr>
              <w:t>Tier 1 capital to risk weighted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147,990</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17.03%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52,151</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52,160</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69,546</w:t>
            </w:r>
          </w:p>
        </w:tc>
        <w:tc>
          <w:tcPr>
            <w:tcW w:w="134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Tier 1 capital to average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147,990</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13.12%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45,102</w:t>
            </w:r>
          </w:p>
        </w:tc>
        <w:tc>
          <w:tcPr>
            <w:tcW w:w="108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13.92%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45,075</w:t>
            </w:r>
          </w:p>
        </w:tc>
        <w:tc>
          <w:tcPr>
            <w:tcW w:w="1080" w:type="dxa"/>
            <w:vAlign w:val="bottom"/>
            <w:gridSpan w:val="4"/>
          </w:tcPr>
          <w:p>
            <w:pPr>
              <w:jc w:val="right"/>
              <w:ind w:right="4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56,344</w:t>
            </w:r>
          </w:p>
        </w:tc>
        <w:tc>
          <w:tcPr>
            <w:tcW w:w="134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3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1.875% on January 1, 2018 and will increase by 0.625% until it reaches 2.5% on January 1, 2019.</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Company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October 21, 2016, the Board of Directors voted to amend the existing stock repurchase program to authorize the Company to purchase an additional 500,000 shares of its common stock, representing 5.7% of the Company’s outstanding common shares. The amended stock repurchase program expired on October 21, 2018, and there are no outstanding repurchase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financial instruments include commitments to extend credit, unused lines of credit, standby letters of credit, and commitments to fund investments.</w:t>
      </w:r>
    </w:p>
    <w:p>
      <w:pPr>
        <w:sectPr>
          <w:pgSz w:w="11900" w:h="16838" w:orient="portrait"/>
          <w:cols w:equalWidth="0" w:num="1">
            <w:col w:w="11420"/>
          </w:cols>
          <w:pgMar w:left="240" w:top="118" w:right="239" w:bottom="0" w:gutter="0" w:footer="0" w:header="0"/>
        </w:sectPr>
      </w:pPr>
    </w:p>
    <w:bookmarkStart w:id="41" w:name="page42"/>
    <w:bookmarkEnd w:id="41"/>
    <w:p>
      <w:pPr>
        <w:spacing w:after="0" w:line="264" w:lineRule="auto"/>
        <w:rPr>
          <w:sz w:val="20"/>
          <w:szCs w:val="20"/>
          <w:color w:val="auto"/>
        </w:rPr>
      </w:pPr>
      <w:r>
        <w:rPr>
          <w:rFonts w:ascii="Arial" w:cs="Arial" w:eastAsia="Arial" w:hAnsi="Arial"/>
          <w:sz w:val="18"/>
          <w:szCs w:val="18"/>
          <w:color w:val="auto"/>
        </w:rPr>
        <w:t>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25" w:right="57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income totaled $4.5 million for the quarter ended September 30, 2018, a decrease of $52 thousand from $4.6 million for the quarter ended September 30, 2017.</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$1.0 million for the quarter ended September 30, 2018, compared to the quarter ended September 30, 2017. The increase was primarily due to higher average balances in the loan portfolio. These increases were partially offset by lower transactional income, higher funding costs and higher average deposit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and related yields recognized on the loan portfolios: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8"/>
              </w:rPr>
              <w:t>Interest Income and Yield on Loans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6"/>
              </w:rPr>
              <w:t>Three Months Ended September 30,</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Balance (1)</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r>
      <w:tr>
        <w:trPr>
          <w:trHeight w:val="210"/>
        </w:trPr>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1,522</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150,178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71,165</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1,285</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53,527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6.97%</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398,333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7,464</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328,775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5,265</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7,254</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240,136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702,440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14,718</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568,911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8.85%</w:t>
            </w:r>
          </w:p>
        </w:tc>
      </w:tr>
      <w:tr>
        <w:trPr>
          <w:trHeight w:val="20"/>
        </w:trPr>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893,945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17,525</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772,616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  Includes loans held for sale.</w:t>
      </w:r>
    </w:p>
    <w:p>
      <w:pPr>
        <w:spacing w:after="0" w:line="200" w:lineRule="exact"/>
        <w:rPr>
          <w:sz w:val="20"/>
          <w:szCs w:val="20"/>
          <w:color w:val="auto"/>
        </w:rPr>
      </w:pP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following table details the “Total Return” on purchased loans. When compared to the three months ended September 30, 2017, transactional income for the three months ended September 30, 2018 decreased by $1.3 million. The total return on purchased loans for the three months ended September 30, 2018 was 9.46%. The decrease over the prior comparable period was primarily due to higher accelerated accretion and loan fees in the three months ended September 30, 2017. The following table details the total return on purchased loans: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8"/>
                <w:szCs w:val="18"/>
                <w:color w:val="auto"/>
                <w:w w:val="89"/>
              </w:rPr>
              <w:t>Total Return on Purchased Loans</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8"/>
                <w:szCs w:val="18"/>
                <w:color w:val="auto"/>
                <w:w w:val="89"/>
              </w:rPr>
              <w:t>Three Months Ended September 30,</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Return (1)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(Dollars in thousands)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 (expense)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4.66%</w:t>
            </w:r>
          </w:p>
        </w:tc>
      </w:tr>
      <w:tr>
        <w:trPr>
          <w:trHeight w:val="210"/>
        </w:trPr>
        <w:tc>
          <w:tcPr>
            <w:tcW w:w="4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r>
      <w:tr>
        <w:trPr>
          <w:trHeight w:val="210"/>
        </w:trPr>
        <w:tc>
          <w:tcPr>
            <w:tcW w:w="46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7,431</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326"/>
        <w:spacing w:after="0" w:line="259"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Company’s interest rate spread decreased by 28 basis points and net interest margin decreased by 20 basis points for the quarter ended September 30, 2018 compared to the quarter ended September 30, 2017. The decrease was principally due to higher deposit rates and average deposit balances, as well as lower transactional income recognized in the quarter.</w:t>
      </w:r>
    </w:p>
    <w:p>
      <w:pPr>
        <w:sectPr>
          <w:pgSz w:w="11900" w:h="16838" w:orient="portrait"/>
          <w:cols w:equalWidth="0" w:num="1">
            <w:col w:w="11400"/>
          </w:cols>
          <w:pgMar w:left="240" w:top="118" w:right="259" w:bottom="1162"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162"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September 30, 2018 and 2017.</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2"/>
              </w:rPr>
              <w:t>Three Months Ended September 30,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Income/</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Income/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Expense</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Expense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87,873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Loans (1) (2) (3)</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893,945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17,525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772,616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Federal Home Loan Bank</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172,641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non-interest earning</w:t>
            </w: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31,234</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30,887</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1,189,916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1,064,756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Liabilities &amp; Shareholders'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69,705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69,577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w w:val="99"/>
              </w:rPr>
              <w:t>Total interest-bearing deposits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918,136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806,727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Federal Home Loan Bank</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8"/>
              </w:rPr>
              <w:t>Total interest-bearing liabilities</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957,694</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1.83%</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851,225</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9"/>
              </w:rPr>
              <w:t>Non-interest bearing 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Demand deposits and escrow</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accounts</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1,049,439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liabilities and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1,189,916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1,064,756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shareholders' equity</w:t>
            </w:r>
          </w:p>
        </w:tc>
        <w:tc>
          <w:tcPr>
            <w:tcW w:w="2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4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(5)</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14,359</w:t>
            </w:r>
          </w:p>
        </w:tc>
        <w:tc>
          <w:tcPr>
            <w:tcW w:w="1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13,321</w:t>
            </w: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Net interest margin (6)</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309"/>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580" w:hanging="309"/>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280" w:right="700" w:hanging="9"/>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Nonaccrual loans are included in the computation of average, but unpaid interest has not been included for purposes of determining interest income.</w:t>
      </w:r>
    </w:p>
    <w:p>
      <w:pPr>
        <w:ind w:left="520" w:hanging="249"/>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investments include FHLB overnight deposits and other interest-bearing deposits.</w:t>
      </w:r>
    </w:p>
    <w:p>
      <w:pPr>
        <w:spacing w:after="0" w:line="9" w:lineRule="exact"/>
        <w:rPr>
          <w:rFonts w:ascii="Arial" w:cs="Arial" w:eastAsia="Arial" w:hAnsi="Arial"/>
          <w:sz w:val="18"/>
          <w:szCs w:val="18"/>
          <w:color w:val="auto"/>
        </w:rPr>
      </w:pPr>
    </w:p>
    <w:p>
      <w:pPr>
        <w:ind w:left="520" w:hanging="249"/>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tax-exempt interest income of $0 and $10 thousand for the three months ended September 30, 2018 and 2017, respectively.</w:t>
      </w:r>
    </w:p>
    <w:p>
      <w:pPr>
        <w:spacing w:after="0" w:line="9" w:lineRule="exact"/>
        <w:rPr>
          <w:rFonts w:ascii="Arial" w:cs="Arial" w:eastAsia="Arial" w:hAnsi="Arial"/>
          <w:sz w:val="18"/>
          <w:szCs w:val="18"/>
          <w:color w:val="auto"/>
        </w:rPr>
      </w:pPr>
    </w:p>
    <w:p>
      <w:pPr>
        <w:ind w:left="580" w:hanging="309"/>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10"/>
          </w:tcPr>
          <w:p>
            <w:pPr>
              <w:jc w:val="right"/>
              <w:ind w:right="420"/>
              <w:spacing w:after="0"/>
              <w:rPr>
                <w:sz w:val="20"/>
                <w:szCs w:val="20"/>
                <w:color w:val="auto"/>
              </w:rPr>
            </w:pPr>
            <w:r>
              <w:rPr>
                <w:rFonts w:ascii="Arial" w:cs="Arial" w:eastAsia="Arial" w:hAnsi="Arial"/>
                <w:sz w:val="18"/>
                <w:szCs w:val="18"/>
                <w:color w:val="auto"/>
                <w:w w:val="92"/>
              </w:rPr>
              <w:t>Three Months Ended September 30, 2018 Compared to 2017</w:t>
            </w:r>
          </w:p>
        </w:tc>
      </w:tr>
      <w:tr>
        <w:trPr>
          <w:trHeight w:val="195"/>
        </w:trPr>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Change Due to Rate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0"/>
        </w:trPr>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r>
      <w:tr>
        <w:trPr>
          <w:trHeight w:val="210"/>
        </w:trPr>
        <w:tc>
          <w:tcPr>
            <w:tcW w:w="5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r>
      <w:tr>
        <w:trPr>
          <w:trHeight w:val="20"/>
        </w:trPr>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(989)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r>
      <w:tr>
        <w:trPr>
          <w:trHeight w:val="20"/>
        </w:trPr>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provision for loan losses for the quarters ended September 30, 2018 and 2017 was $532 thousand and $354 thousand, respectively. The increase in the Company’s provision for loan losses was primarily due to changes in the composition of the loan portfolio from an increase in loans originated by the SBA division, as well as an increase in specific reserves on two loan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225"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auto"/>
        </w:rPr>
        <w:t>Noninterest income decreased by $404 thousand for the quarter ended September 30, 2018, compared to the quarter ended September 30, 2017, principally due to the following:</w:t>
      </w:r>
    </w:p>
    <w:p>
      <w:pPr>
        <w:spacing w:after="0" w:line="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gain on sale of SBA loans of $168 thousand, due to lower pricing in the SBA guaranty market in the quarter;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$117 thousand, due to lower volume of residential loans sold in the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Noninterest expense increased by $641 thousand for the quarter ended September 30, 2018, compared to the quarter ended September 30, 2017, primarily due to the following:</w:t>
      </w:r>
    </w:p>
    <w:p>
      <w:pPr>
        <w:spacing w:after="0" w:line="1" w:lineRule="exact"/>
        <w:rPr>
          <w:sz w:val="20"/>
          <w:szCs w:val="20"/>
          <w:color w:val="auto"/>
        </w:rPr>
      </w:pPr>
    </w:p>
    <w:p>
      <w:pPr>
        <w:ind w:left="980" w:right="38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salaries and employee benefits expense of $255 thousand, primarily due to increases in incentive compensation, stock-based compensation expense, and health insurance costs;</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other noninterest expense of $167 thousand, primarily due to the quarterly valuation of SBA servicing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professional fees of $92 thousand, primarily due to increased legal and other consulting costs;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loan expense of $74 thousand, largely driven by direct expenses related to a repossessed asset.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Income tax expense decreased by $123 thousand for the quarter ended September 30, 2018, compared to the quarter ended September 30, 2017, primarily due to the following:</w:t>
      </w:r>
    </w:p>
    <w:p>
      <w:pPr>
        <w:spacing w:after="0" w:line="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decrease in income before income tax expense of $175 thousand, which resulted in a $49 thousand decrease in income tax expense; and</w:t>
      </w:r>
    </w:p>
    <w:p>
      <w:pPr>
        <w:spacing w:after="0" w:line="32" w:lineRule="exact"/>
        <w:rPr>
          <w:rFonts w:ascii="Arial" w:cs="Arial" w:eastAsia="Arial" w:hAnsi="Arial"/>
          <w:sz w:val="16"/>
          <w:szCs w:val="16"/>
          <w:color w:val="auto"/>
        </w:rPr>
      </w:pPr>
    </w:p>
    <w:p>
      <w:pPr>
        <w:ind w:left="980" w:right="50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the federal corporate income tax rate as a result of the Tax Cuts and Jobs Act signed into law on December 22, 2017, which resulted in a $691 thousand decrease in federal income tax expense; partially offset by</w:t>
      </w:r>
    </w:p>
    <w:p>
      <w:pPr>
        <w:ind w:left="980" w:right="20" w:hanging="324"/>
        <w:spacing w:after="0" w:line="277"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 decrease in the income tax benefit recognized of $637 thousand arising from the treatment of vested restricted stock awards under ASU 2016-09, </w:t>
      </w:r>
      <w:r>
        <w:rPr>
          <w:rFonts w:ascii="Arial" w:cs="Arial" w:eastAsia="Arial" w:hAnsi="Arial"/>
          <w:sz w:val="17"/>
          <w:szCs w:val="17"/>
          <w:i w:val="1"/>
          <w:iCs w:val="1"/>
          <w:color w:val="auto"/>
        </w:rPr>
        <w:t>Compensation–Stock Compensation (Topic 718): Improvements to Employee Share-Based Payment Accounting,</w:t>
      </w:r>
      <w:r>
        <w:rPr>
          <w:rFonts w:ascii="Arial" w:cs="Arial" w:eastAsia="Arial" w:hAnsi="Arial"/>
          <w:sz w:val="17"/>
          <w:szCs w:val="17"/>
          <w:color w:val="auto"/>
        </w:rPr>
        <w:t xml:space="preserve"> whereby the tax effects of vested awards or exercised stock options are treated as a discrete item in the reporting period in which they occur.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Asset/Liability Management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w:t>
      </w:r>
    </w:p>
    <w:p>
      <w:pPr>
        <w:spacing w:after="0" w:line="1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Interest Rate Risk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can be subject to margin compression depending on the economic environment and the shape of the yield curve. Under the Company's current balance sheet position, the Company's margin generally performs slightly better over time in a rising rate environment, while it generally decreases in a declining rate environment and when the yield curve is flattening or inverted.</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Under a flattening yield curve scenario, margin compression occurs as the spread between the cost of funding and the yield on interest earning assets narrows. Under this scenario the degree of margin compression is highly dependent on the Company's ability to fund asset growth through lower cost deposits. However, if the curve is flattening, while short-term rates are rising, the adverse impact on margin may be somewhat delayed, as increases in the Prime Rate will initially result in the Company's asset yields re-pricing more quickly than funding costs.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an inverted yield curve situation, shorter-term rates exceed longer-term rates, and the impact on margin is similar but more adverse than the flat curve scenario. Again, however, the extent of the impact on margin is highly dependent on the Company's balance sheet mix.</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 declining rate environment, margin compression will eventually occur as the yield on interest earning assets decreases more rapidly than decreases in funding costs. The primary causes would be the impact of interest rate decreases (including decreases in the Prime Rate) on adjustable rate loans and the fact that decreases in deposit rates may be limited or lag decreases in the Prime Rate.</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There have been no material changes in the results of the Company's net interest income sensitivity analysis as reported in the Company's 2018 Annual Report on Form 10-K. At September 30, 2018, management continues to consider the Company's primary interest rate risk exposure to be margin compression that may result from changes in interest rates and/or changes in the mix of the Company's balance sheet components. This would include the mix of fixed versus variable rate loans and investments on the asset side, and higher cost versus lower cost deposits and overnight borrowings versus term borrowings and certificates of deposit on the liability side.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September 30, 2018.</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September 30, 2018 that have materially affected, or is reasonably likely to materially affect, the Company’s internal controls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There have been no material changes to the risk factors disclosed in Item 1A of the Company’s 2018 Annual Report on Form 10-K.</w:t>
      </w: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1060" w:right="400" w:firstLine="1"/>
        <w:spacing w:after="0" w:line="277" w:lineRule="auto"/>
        <w:tabs>
          <w:tab w:leader="none" w:pos="1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no purchases made by the Company of its common stock during the three months ended September 30, 2018. The Company’s amended stock repurchase program expired on October 21,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60" w:type="dxa"/>
            <w:vAlign w:val="bottom"/>
            <w:gridSpan w:val="8"/>
          </w:tcPr>
          <w:p>
            <w:pPr>
              <w:ind w:left="40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660" w:type="dxa"/>
            <w:vAlign w:val="bottom"/>
          </w:tcPr>
          <w:p>
            <w:pPr>
              <w:spacing w:after="0"/>
              <w:rPr>
                <w:sz w:val="24"/>
                <w:szCs w:val="24"/>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None.</w:t>
            </w:r>
          </w:p>
        </w:tc>
        <w:tc>
          <w:tcPr>
            <w:tcW w:w="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960" w:type="dxa"/>
            <w:vAlign w:val="bottom"/>
            <w:gridSpan w:val="8"/>
          </w:tcPr>
          <w:p>
            <w:pPr>
              <w:ind w:left="400"/>
              <w:spacing w:after="0"/>
              <w:rPr>
                <w:sz w:val="20"/>
                <w:szCs w:val="20"/>
                <w:color w:val="auto"/>
              </w:rPr>
            </w:pPr>
            <w:r>
              <w:rPr>
                <w:rFonts w:ascii="Arial" w:cs="Arial" w:eastAsia="Arial" w:hAnsi="Arial"/>
                <w:sz w:val="18"/>
                <w:szCs w:val="18"/>
                <w:b w:val="1"/>
                <w:bCs w:val="1"/>
                <w:color w:val="auto"/>
              </w:rPr>
              <w:t>Mine Safety Disclosures</w:t>
            </w:r>
          </w:p>
        </w:tc>
      </w:tr>
      <w:tr>
        <w:trPr>
          <w:trHeight w:val="432"/>
        </w:trPr>
        <w:tc>
          <w:tcPr>
            <w:tcW w:w="660" w:type="dxa"/>
            <w:vAlign w:val="bottom"/>
          </w:tcPr>
          <w:p>
            <w:pPr>
              <w:spacing w:after="0"/>
              <w:rPr>
                <w:sz w:val="24"/>
                <w:szCs w:val="24"/>
                <w:color w:val="auto"/>
              </w:rPr>
            </w:pPr>
          </w:p>
        </w:tc>
        <w:tc>
          <w:tcPr>
            <w:tcW w:w="9960" w:type="dxa"/>
            <w:vAlign w:val="bottom"/>
            <w:gridSpan w:val="8"/>
          </w:tcPr>
          <w:p>
            <w:pPr>
              <w:ind w:left="400"/>
              <w:spacing w:after="0"/>
              <w:rPr>
                <w:sz w:val="20"/>
                <w:szCs w:val="20"/>
                <w:color w:val="auto"/>
              </w:rPr>
            </w:pPr>
            <w:r>
              <w:rPr>
                <w:rFonts w:ascii="Arial" w:cs="Arial" w:eastAsia="Arial" w:hAnsi="Arial"/>
                <w:sz w:val="18"/>
                <w:szCs w:val="18"/>
                <w:color w:val="auto"/>
              </w:rPr>
              <w:t>Not applicable.</w:t>
            </w: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960" w:type="dxa"/>
            <w:vAlign w:val="bottom"/>
            <w:gridSpan w:val="8"/>
          </w:tcPr>
          <w:p>
            <w:pPr>
              <w:ind w:left="40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660" w:type="dxa"/>
            <w:vAlign w:val="bottom"/>
          </w:tcPr>
          <w:p>
            <w:pPr>
              <w:spacing w:after="0"/>
              <w:rPr>
                <w:sz w:val="24"/>
                <w:szCs w:val="24"/>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None.</w:t>
            </w:r>
          </w:p>
        </w:tc>
        <w:tc>
          <w:tcPr>
            <w:tcW w:w="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00" w:type="dxa"/>
            <w:vAlign w:val="bottom"/>
            <w:gridSpan w:val="2"/>
          </w:tcPr>
          <w:p>
            <w:pPr>
              <w:ind w:left="400"/>
              <w:spacing w:after="0"/>
              <w:rPr>
                <w:sz w:val="20"/>
                <w:szCs w:val="20"/>
                <w:color w:val="auto"/>
              </w:rPr>
            </w:pPr>
            <w:r>
              <w:rPr>
                <w:rFonts w:ascii="Arial" w:cs="Arial" w:eastAsia="Arial" w:hAnsi="Arial"/>
                <w:sz w:val="18"/>
                <w:szCs w:val="18"/>
                <w:b w:val="1"/>
                <w:bCs w:val="1"/>
                <w:color w:val="auto"/>
                <w:w w:val="97"/>
              </w:rPr>
              <w:t>Exhibits</w:t>
            </w:r>
          </w:p>
        </w:tc>
        <w:tc>
          <w:tcPr>
            <w:tcW w:w="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08"/>
        </w:trPr>
        <w:tc>
          <w:tcPr>
            <w:tcW w:w="66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Exhibits No.</w:t>
            </w:r>
          </w:p>
        </w:tc>
        <w:tc>
          <w:tcPr>
            <w:tcW w:w="8860" w:type="dxa"/>
            <w:vAlign w:val="bottom"/>
            <w:gridSpan w:val="6"/>
          </w:tcPr>
          <w:p>
            <w:pPr>
              <w:spacing w:after="0"/>
              <w:rPr>
                <w:sz w:val="20"/>
                <w:szCs w:val="20"/>
                <w:color w:val="auto"/>
              </w:rPr>
            </w:pPr>
            <w:r>
              <w:rPr>
                <w:rFonts w:ascii="Arial" w:cs="Arial" w:eastAsia="Arial" w:hAnsi="Arial"/>
                <w:sz w:val="18"/>
                <w:szCs w:val="18"/>
                <w:color w:val="auto"/>
              </w:rPr>
              <w:t>Description</w:t>
            </w: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80" w:type="dxa"/>
            <w:vAlign w:val="bottom"/>
          </w:tcPr>
          <w:p>
            <w:pPr>
              <w:ind w:left="400"/>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88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of the Chief Executive Officer pursuant to Section 302 of the Sarbanes-Oxley Act of 2002 (Rule 13a-14(a)). *</w:t>
              </w:r>
            </w:hyperlink>
          </w:p>
        </w:tc>
      </w:tr>
      <w:tr>
        <w:trPr>
          <w:trHeight w:val="196"/>
        </w:trPr>
        <w:tc>
          <w:tcPr>
            <w:tcW w:w="660" w:type="dxa"/>
            <w:vAlign w:val="bottom"/>
          </w:tcPr>
          <w:p>
            <w:pPr>
              <w:spacing w:after="0"/>
              <w:rPr>
                <w:sz w:val="17"/>
                <w:szCs w:val="17"/>
                <w:color w:val="auto"/>
              </w:rPr>
            </w:pPr>
          </w:p>
        </w:tc>
        <w:tc>
          <w:tcPr>
            <w:tcW w:w="880" w:type="dxa"/>
            <w:vAlign w:val="bottom"/>
          </w:tcPr>
          <w:p>
            <w:pPr>
              <w:ind w:left="400"/>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88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the Chief Financial Officer pursuant to Section 302 of the Sarbanes-Oxley Act of 2002 (Rule 13a-14(a)). *</w:t>
              </w:r>
            </w:hyperlink>
          </w:p>
        </w:tc>
        <w:tc>
          <w:tcPr>
            <w:tcW w:w="4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880" w:type="dxa"/>
            <w:vAlign w:val="bottom"/>
          </w:tcPr>
          <w:p>
            <w:pPr>
              <w:ind w:left="400"/>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8860" w:type="dxa"/>
            <w:vAlign w:val="bottom"/>
            <w:gridSpan w:val="6"/>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Certificate of the Chief Executive Officer Pursuant to 18 U.S.C. Section 1350, as adopted pursuant to Section 906 of the</w:t>
              </w:r>
            </w:hyperlink>
          </w:p>
        </w:tc>
      </w:tr>
      <w:tr>
        <w:trPr>
          <w:trHeight w:val="196"/>
        </w:trPr>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Sarbanes-Oxley Act of 2002 (Rule 13a-14(b)). **</w:t>
              </w:r>
            </w:hyperlink>
          </w:p>
        </w:tc>
        <w:tc>
          <w:tcPr>
            <w:tcW w:w="5060" w:type="dxa"/>
            <w:vAlign w:val="bottom"/>
            <w:tcBorders>
              <w:top w:val="single" w:sz="8" w:color="0000EE"/>
            </w:tcBorders>
            <w:gridSpan w:val="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880" w:type="dxa"/>
            <w:vAlign w:val="bottom"/>
          </w:tcPr>
          <w:p>
            <w:pPr>
              <w:ind w:left="400"/>
              <w:spacing w:after="0" w:line="19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8860" w:type="dxa"/>
            <w:vAlign w:val="bottom"/>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Certificate of the Chief Financial Officer Pursuant to 18 U.S.C. Section 1350, as adopted pursuant to Section 906 of the</w:t>
              </w:r>
            </w:hyperlink>
          </w:p>
        </w:tc>
      </w:tr>
      <w:tr>
        <w:trPr>
          <w:trHeight w:val="196"/>
        </w:trPr>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Sarbanes-Oxley Act of 2002 (Rule 13a-14(b)). **</w:t>
              </w:r>
            </w:hyperlink>
          </w:p>
        </w:tc>
        <w:tc>
          <w:tcPr>
            <w:tcW w:w="5020" w:type="dxa"/>
            <w:vAlign w:val="bottom"/>
            <w:tcBorders>
              <w:top w:val="single" w:sz="8" w:color="0000EE"/>
            </w:tcBorders>
          </w:tcPr>
          <w:p>
            <w:pPr>
              <w:spacing w:after="0"/>
              <w:rPr>
                <w:sz w:val="17"/>
                <w:szCs w:val="17"/>
                <w:color w:val="auto"/>
              </w:rPr>
            </w:pPr>
          </w:p>
        </w:tc>
        <w:tc>
          <w:tcPr>
            <w:tcW w:w="260" w:type="dxa"/>
            <w:vAlign w:val="bottom"/>
            <w:gridSpan w:val="3"/>
          </w:tcPr>
          <w:p>
            <w:pPr>
              <w:spacing w:after="0"/>
              <w:rPr>
                <w:sz w:val="17"/>
                <w:szCs w:val="17"/>
                <w:color w:val="auto"/>
              </w:rPr>
            </w:pPr>
          </w:p>
        </w:tc>
      </w:tr>
    </w:tbl>
    <w:p>
      <w:pPr>
        <w:spacing w:after="0" w:line="13" w:lineRule="exact"/>
        <w:rPr>
          <w:sz w:val="20"/>
          <w:szCs w:val="20"/>
          <w:color w:val="auto"/>
        </w:rPr>
      </w:pPr>
    </w:p>
    <w:p>
      <w:pPr>
        <w:ind w:left="1760" w:hanging="685"/>
        <w:spacing w:after="0" w:line="255" w:lineRule="auto"/>
        <w:tabs>
          <w:tab w:leader="none" w:pos="1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September 30, 2018 formatted in XBRL: (i) Consolidated Balance Sheets as of September 30, 2018 and June 30, 2018; (ii) Consolidated Statements of Income for the three months ended September 30, 2018 and 2017; (iii) Consolidated Statements of Comprehensive Income for the three months ended September 30, 2018 and 2017; (iv) Consolidated Statements of Changes in Shareholders’ Equity for the three months ended September 30, 2018 and 2017; (v) Consolidated Statements of Cash Flows for the three months ended September 30, 2018 and 2017; and (v) Notes to Unaudited Consolidated Financial Statements. *</w:t>
      </w:r>
    </w:p>
    <w:p>
      <w:pPr>
        <w:spacing w:after="0" w:line="18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8" w:right="87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b w:val="1"/>
          <w:bCs w:val="1"/>
          <w:color w:val="auto"/>
        </w:rPr>
        <w:t>NORTHEAST BANCORP</w:t>
      </w:r>
    </w:p>
    <w:p>
      <w:pPr>
        <w:spacing w:after="0" w:line="22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Richard Wayne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Jean-Pierre Lapointe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8"/>
          <w:szCs w:val="18"/>
          <w:u w:val="single" w:color="auto"/>
          <w:color w:val="auto"/>
        </w:rPr>
        <w:t>Exhibits</w:t>
      </w:r>
      <w:r>
        <w:rPr>
          <w:sz w:val="20"/>
          <w:szCs w:val="20"/>
          <w:color w:val="auto"/>
        </w:rPr>
        <w:tab/>
      </w:r>
      <w:r>
        <w:rPr>
          <w:rFonts w:ascii="Arial" w:cs="Arial" w:eastAsia="Arial" w:hAnsi="Arial"/>
          <w:sz w:val="16"/>
          <w:szCs w:val="16"/>
          <w:u w:val="single" w:color="auto"/>
          <w:color w:val="auto"/>
        </w:rPr>
        <w:t>Description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w:t>
      </w:r>
    </w:p>
    <w:p>
      <w:pPr>
        <w:spacing w:after="0" w:line="9" w:lineRule="exact"/>
        <w:rPr>
          <w:sz w:val="20"/>
          <w:szCs w:val="20"/>
          <w:color w:val="auto"/>
        </w:rPr>
      </w:pPr>
    </w:p>
    <w:p>
      <w:pPr>
        <w:ind w:left="86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9" w:lineRule="exact"/>
        <w:rPr>
          <w:sz w:val="20"/>
          <w:szCs w:val="20"/>
          <w:color w:val="auto"/>
        </w:rPr>
      </w:pPr>
    </w:p>
    <w:p>
      <w:pPr>
        <w:ind w:left="86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1460" w:right="80" w:hanging="602"/>
        <w:spacing w:after="0" w:line="250" w:lineRule="auto"/>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460" w:right="140" w:hanging="602"/>
        <w:spacing w:after="0" w:line="250" w:lineRule="auto"/>
        <w:tabs>
          <w:tab w:leader="none" w:pos="1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460" w:hanging="574"/>
        <w:spacing w:after="0" w:line="290" w:lineRule="auto"/>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September 30, 2018 formatted in XBRL: (i) Consolidated Balance Sheets as of September 30, 2018 and June 30, 2018; (ii) Consolidated Statements of Income for the three months ended September 30, 2018 and 2017; (iii) Consolidated Statements of Comprehensive Income for the three months ended September 30, 2018 and 2017; (iv) Consolidated Statements of Changes in Shareholders’ Equity for the three months ended September 30, 2018 and 2017; (v) Consolidated Statements of Cash Flows for the three months ended September 30, 2018 and 2017; and (v) Notes to Unaudited Consolidated Financial Statements. *</w:t>
      </w:r>
    </w:p>
    <w:p>
      <w:pPr>
        <w:spacing w:after="0" w:line="16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240" w:top="118" w:right="699" w:bottom="1440" w:gutter="0" w:footer="0" w:header="0"/>
        </w:sectPr>
      </w:pPr>
    </w:p>
    <w:bookmarkStart w:id="51" w:name="page52"/>
    <w:bookmarkEnd w:id="51"/>
    <w:p>
      <w:pPr>
        <w:spacing w:after="0"/>
        <w:tabs>
          <w:tab w:leader="none" w:pos="1240" w:val="left"/>
        </w:tabs>
        <w:rPr>
          <w:sz w:val="20"/>
          <w:szCs w:val="20"/>
          <w:color w:val="auto"/>
        </w:rPr>
      </w:pPr>
      <w:r>
        <w:rPr>
          <w:rFonts w:ascii="Arial" w:cs="Arial" w:eastAsia="Arial" w:hAnsi="Arial"/>
          <w:sz w:val="18"/>
          <w:szCs w:val="18"/>
          <w:b w:val="1"/>
          <w:bCs w:val="1"/>
          <w:color w:val="auto"/>
        </w:rPr>
        <w:t>Exhibit 31.1</w:t>
      </w:r>
      <w:r>
        <w:rPr>
          <w:sz w:val="20"/>
          <w:szCs w:val="20"/>
          <w:color w:val="auto"/>
        </w:rPr>
        <w:tab/>
      </w:r>
      <w:r>
        <w:rPr>
          <w:rFonts w:ascii="Arial" w:cs="Arial" w:eastAsia="Arial" w:hAnsi="Arial"/>
          <w:sz w:val="16"/>
          <w:szCs w:val="16"/>
          <w:b w:val="1"/>
          <w:bCs w:val="1"/>
          <w:color w:val="auto"/>
        </w:rPr>
        <w:t>Certification of the Chief Executive Officer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540" w:hanging="33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540" w:right="619" w:hanging="336"/>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59" w:hanging="336"/>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540" w:right="339" w:hanging="336"/>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579" w:hanging="5"/>
        <w:spacing w:after="0" w:line="312" w:lineRule="auto"/>
        <w:tabs>
          <w:tab w:leader="none" w:pos="83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540" w:right="359" w:hanging="5"/>
        <w:spacing w:after="0" w:line="286" w:lineRule="auto"/>
        <w:tabs>
          <w:tab w:leader="none" w:pos="795"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540" w:right="399" w:hanging="5"/>
        <w:spacing w:after="0" w:line="264" w:lineRule="auto"/>
        <w:tabs>
          <w:tab w:leader="none" w:pos="8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40" w:right="759" w:hanging="5"/>
        <w:spacing w:after="0" w:line="312" w:lineRule="auto"/>
        <w:tabs>
          <w:tab w:leader="none" w:pos="8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540" w:right="319" w:hanging="336"/>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540" w:right="659" w:hanging="5"/>
        <w:spacing w:after="0" w:line="264"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540" w:right="1039" w:hanging="5"/>
        <w:spacing w:after="0" w:line="277" w:lineRule="auto"/>
        <w:tabs>
          <w:tab w:leader="none" w:pos="8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9, 2018</w:t>
      </w:r>
    </w:p>
    <w:p>
      <w:pPr>
        <w:spacing w:after="0" w:line="23" w:lineRule="exact"/>
        <w:rPr>
          <w:sz w:val="20"/>
          <w:szCs w:val="20"/>
          <w:color w:val="auto"/>
        </w:rPr>
      </w:pPr>
    </w:p>
    <w:p>
      <w:pPr>
        <w:jc w:val="right"/>
        <w:ind w:right="3659"/>
        <w:spacing w:after="0"/>
        <w:rPr>
          <w:sz w:val="20"/>
          <w:szCs w:val="20"/>
          <w:color w:val="auto"/>
        </w:rPr>
      </w:pPr>
      <w:r>
        <w:rPr>
          <w:rFonts w:ascii="Arial" w:cs="Arial" w:eastAsia="Arial" w:hAnsi="Arial"/>
          <w:sz w:val="18"/>
          <w:szCs w:val="18"/>
          <w:u w:val="single" w:color="auto"/>
          <w:color w:val="auto"/>
        </w:rPr>
        <w:t>/s/ Richard Wayne</w:t>
      </w:r>
    </w:p>
    <w:p>
      <w:pPr>
        <w:spacing w:after="0" w:line="9"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121" w:right="1440" w:bottom="1440" w:gutter="0" w:footer="0" w:header="0"/>
        </w:sectPr>
      </w:pPr>
    </w:p>
    <w:bookmarkStart w:id="52" w:name="page53"/>
    <w:bookmarkEnd w:id="52"/>
    <w:p>
      <w:pPr>
        <w:spacing w:after="0"/>
        <w:tabs>
          <w:tab w:leader="none" w:pos="132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Jean-Pierre Lapointe, certify that:</w:t>
      </w:r>
    </w:p>
    <w:p>
      <w:pPr>
        <w:spacing w:after="0" w:line="225" w:lineRule="exact"/>
        <w:rPr>
          <w:sz w:val="20"/>
          <w:szCs w:val="20"/>
          <w:color w:val="auto"/>
        </w:rPr>
      </w:pPr>
    </w:p>
    <w:p>
      <w:pPr>
        <w:ind w:left="540" w:hanging="33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540" w:right="619" w:hanging="336"/>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59" w:hanging="336"/>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540" w:right="339" w:hanging="336"/>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579" w:hanging="5"/>
        <w:spacing w:after="0" w:line="312" w:lineRule="auto"/>
        <w:tabs>
          <w:tab w:leader="none" w:pos="8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540" w:right="359" w:hanging="5"/>
        <w:spacing w:after="0" w:line="286" w:lineRule="auto"/>
        <w:tabs>
          <w:tab w:leader="none" w:pos="795"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540" w:right="399" w:hanging="5"/>
        <w:spacing w:after="0" w:line="264" w:lineRule="auto"/>
        <w:tabs>
          <w:tab w:leader="none" w:pos="8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40" w:right="759" w:hanging="5"/>
        <w:spacing w:after="0" w:line="312" w:lineRule="auto"/>
        <w:tabs>
          <w:tab w:leader="none" w:pos="8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540" w:right="319" w:hanging="336"/>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540" w:right="659" w:hanging="5"/>
        <w:spacing w:after="0" w:line="264"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540" w:right="1039" w:hanging="5"/>
        <w:spacing w:after="0" w:line="277" w:lineRule="auto"/>
        <w:tabs>
          <w:tab w:leader="none" w:pos="8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rPr>
              <w:t>November 9, 2018</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/s/ Jean-Pierre Lapointe</w:t>
            </w:r>
          </w:p>
        </w:tc>
      </w:tr>
      <w:tr>
        <w:trPr>
          <w:trHeight w:val="20"/>
        </w:trPr>
        <w:tc>
          <w:tcPr>
            <w:tcW w:w="3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2"/>
        </w:trPr>
        <w:tc>
          <w:tcPr>
            <w:tcW w:w="3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Jean-Pierre Lapointe</w:t>
            </w:r>
          </w:p>
        </w:tc>
      </w:tr>
      <w:tr>
        <w:trPr>
          <w:trHeight w:val="230"/>
        </w:trPr>
        <w:tc>
          <w:tcPr>
            <w:tcW w:w="3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0219"/>
          </w:cols>
          <w:pgMar w:left="240" w:top="121" w:right="1440" w:bottom="1440" w:gutter="0" w:footer="0" w:header="0"/>
        </w:sectPr>
      </w:pPr>
    </w:p>
    <w:bookmarkStart w:id="53" w:name="page54"/>
    <w:bookmarkEnd w:id="53"/>
    <w:p>
      <w:pPr>
        <w:spacing w:after="0"/>
        <w:tabs>
          <w:tab w:leader="none" w:pos="132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19"/>
        <w:spacing w:after="0" w:line="312" w:lineRule="auto"/>
        <w:rPr>
          <w:sz w:val="20"/>
          <w:szCs w:val="20"/>
          <w:color w:val="auto"/>
        </w:rPr>
      </w:pPr>
      <w:r>
        <w:rPr>
          <w:rFonts w:ascii="Arial" w:cs="Arial" w:eastAsia="Arial" w:hAnsi="Arial"/>
          <w:sz w:val="16"/>
          <w:szCs w:val="16"/>
          <w:color w:val="auto"/>
        </w:rPr>
        <w:t>In connection with the Quarterly Report of Northeast Bancorp. (the "Company") on Form 10-Q for the quarterly period ended September 30, 2018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47" w:lineRule="exact"/>
        <w:rPr>
          <w:sz w:val="20"/>
          <w:szCs w:val="20"/>
          <w:color w:val="auto"/>
        </w:rPr>
      </w:pPr>
    </w:p>
    <w:p>
      <w:pPr>
        <w:ind w:left="340" w:right="699" w:hanging="8"/>
        <w:spacing w:after="0" w:line="277" w:lineRule="auto"/>
        <w:tabs>
          <w:tab w:leader="none" w:pos="6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340" w:right="379" w:hanging="8"/>
        <w:spacing w:after="0" w:line="277" w:lineRule="auto"/>
        <w:tabs>
          <w:tab w:leader="none" w:pos="6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399"/>
        <w:spacing w:after="0" w:line="342" w:lineRule="auto"/>
        <w:rPr>
          <w:sz w:val="20"/>
          <w:szCs w:val="20"/>
          <w:color w:val="auto"/>
        </w:rPr>
      </w:pPr>
      <w:r>
        <w:rPr>
          <w:rFonts w:ascii="Arial" w:cs="Arial" w:eastAsia="Arial" w:hAnsi="Arial"/>
          <w:sz w:val="16"/>
          <w:szCs w:val="16"/>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rPr>
              <w:t>November 9, 2018</w:t>
            </w:r>
          </w:p>
        </w:tc>
        <w:tc>
          <w:tcPr>
            <w:tcW w:w="3780" w:type="dxa"/>
            <w:vAlign w:val="bottom"/>
            <w:gridSpan w:val="3"/>
          </w:tcPr>
          <w:p>
            <w:pPr>
              <w:ind w:left="1840"/>
              <w:spacing w:after="0"/>
              <w:rPr>
                <w:sz w:val="20"/>
                <w:szCs w:val="20"/>
                <w:color w:val="auto"/>
              </w:rPr>
            </w:pPr>
            <w:r>
              <w:rPr>
                <w:rFonts w:ascii="Arial" w:cs="Arial" w:eastAsia="Arial" w:hAnsi="Arial"/>
                <w:sz w:val="18"/>
                <w:szCs w:val="18"/>
                <w:color w:val="auto"/>
              </w:rPr>
              <w:t>/s/ Richard Wayne</w:t>
            </w:r>
          </w:p>
        </w:tc>
      </w:tr>
      <w:tr>
        <w:trPr>
          <w:trHeight w:val="20"/>
        </w:trPr>
        <w:tc>
          <w:tcPr>
            <w:tcW w:w="3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3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Richard Wayne</w:t>
            </w:r>
          </w:p>
        </w:tc>
      </w:tr>
      <w:tr>
        <w:trPr>
          <w:trHeight w:val="230"/>
        </w:trPr>
        <w:tc>
          <w:tcPr>
            <w:tcW w:w="3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0219"/>
          </w:cols>
          <w:pgMar w:left="240" w:top="121" w:right="1440" w:bottom="1440" w:gutter="0" w:footer="0" w:header="0"/>
        </w:sectPr>
      </w:pPr>
    </w:p>
    <w:bookmarkStart w:id="54" w:name="page55"/>
    <w:bookmarkEnd w:id="54"/>
    <w:p>
      <w:pPr>
        <w:spacing w:after="0"/>
        <w:tabs>
          <w:tab w:leader="none" w:pos="136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September 30, 2018 as filed with the Securities and Exchange Commission on the date hereof (the "Report"), I, Jean-Pierre Lapointe, as Chief Financial Officer of the Company, hereby certify pursuant to 18 U.S.C. 1350, as adopted pursuant to 906 of the Sarbanes-Oxley Act of 2002, that:</w:t>
      </w:r>
    </w:p>
    <w:p>
      <w:pPr>
        <w:spacing w:after="0" w:line="187" w:lineRule="exact"/>
        <w:rPr>
          <w:sz w:val="20"/>
          <w:szCs w:val="20"/>
          <w:color w:val="auto"/>
        </w:rPr>
      </w:pPr>
    </w:p>
    <w:p>
      <w:pPr>
        <w:ind w:left="340" w:right="699" w:hanging="8"/>
        <w:spacing w:after="0" w:line="277" w:lineRule="auto"/>
        <w:tabs>
          <w:tab w:leader="none" w:pos="6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340" w:right="379" w:hanging="8"/>
        <w:spacing w:after="0" w:line="277" w:lineRule="auto"/>
        <w:tabs>
          <w:tab w:leader="none" w:pos="6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399"/>
        <w:spacing w:after="0" w:line="342" w:lineRule="auto"/>
        <w:rPr>
          <w:sz w:val="20"/>
          <w:szCs w:val="20"/>
          <w:color w:val="auto"/>
        </w:rPr>
      </w:pPr>
      <w:r>
        <w:rPr>
          <w:rFonts w:ascii="Arial" w:cs="Arial" w:eastAsia="Arial" w:hAnsi="Arial"/>
          <w:sz w:val="16"/>
          <w:szCs w:val="16"/>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rPr>
              <w:t>November 9, 2018</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/s/ Jean-Pierre Lapointe</w:t>
            </w:r>
          </w:p>
        </w:tc>
      </w:tr>
      <w:tr>
        <w:trPr>
          <w:trHeight w:val="20"/>
        </w:trPr>
        <w:tc>
          <w:tcPr>
            <w:tcW w:w="3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2"/>
        </w:trPr>
        <w:tc>
          <w:tcPr>
            <w:tcW w:w="3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Jean-Pierre Lapointe</w:t>
            </w:r>
          </w:p>
        </w:tc>
      </w:tr>
      <w:tr>
        <w:trPr>
          <w:trHeight w:val="230"/>
        </w:trPr>
        <w:tc>
          <w:tcPr>
            <w:tcW w:w="3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1" w:lineRule="exact"/>
        <w:rPr>
          <w:sz w:val="20"/>
          <w:szCs w:val="20"/>
          <w:color w:val="auto"/>
        </w:rPr>
      </w:pP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1."/>
      <w:numFmt w:val="decimal"/>
      <w:start w:val="606"/>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10"/>
    </w:lvl>
  </w:abstractNum>
  <w:abstractNum w:abstractNumId="12">
    <w:nsid w:val="8EDBDAB"/>
    <w:multiLevelType w:val="hybridMultilevel"/>
    <w:lvl w:ilvl="0">
      <w:lvlJc w:val="left"/>
      <w:lvlText w:val="%1."/>
      <w:numFmt w:val="decimal"/>
      <w:start w:val="10"/>
    </w:lvl>
    <w:lvl w:ilvl="1">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lowerRoman"/>
      <w:start w:val="3"/>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Letter"/>
      <w:start w:val="3"/>
    </w:lvl>
  </w:abstractNum>
  <w:abstractNum w:abstractNumId="28">
    <w:nsid w:val="22221A70"/>
    <w:multiLevelType w:val="hybridMultilevel"/>
    <w:lvl w:ilvl="0">
      <w:lvlJc w:val="left"/>
      <w:lvlText w:val="*"/>
      <w:numFmt w:val="bullet"/>
      <w:start w:val="1"/>
    </w:lvl>
    <w:lvl w:ilvl="1">
      <w:lvlJc w:val="left"/>
      <w:lvlText w:val="%2"/>
      <w:numFmt w:val="decimal"/>
      <w:start w:val="101"/>
    </w:lvl>
  </w:abstractNum>
  <w:abstractNum w:abstractNumId="29">
    <w:nsid w:val="4516DDE9"/>
    <w:multiLevelType w:val="hybridMultilevel"/>
    <w:lvl w:ilvl="0">
      <w:lvlJc w:val="left"/>
      <w:lvlText w:val="**"/>
      <w:numFmt w:val="bullet"/>
      <w:start w:val="1"/>
    </w:lvl>
    <w:lvl w:ilvl="1">
      <w:lvlJc w:val="left"/>
      <w:lvlText w:val="%2"/>
      <w:numFmt w:val="decimal"/>
      <w:start w:val="1"/>
    </w:lvl>
  </w:abstractNum>
  <w:abstractNum w:abstractNumId="30">
    <w:nsid w:val="3006C83E"/>
    <w:multiLevelType w:val="hybridMultilevel"/>
    <w:lvl w:ilvl="0">
      <w:lvlJc w:val="left"/>
      <w:lvlText w:val="*"/>
      <w:numFmt w:val="bullet"/>
      <w:start w:val="1"/>
    </w:lvl>
    <w:lvl w:ilvl="1">
      <w:lvlJc w:val="left"/>
      <w:lvlText w:val="%2"/>
      <w:numFmt w:val="decimal"/>
      <w:start w:val="101"/>
    </w:lvl>
  </w:abstractNum>
  <w:abstractNum w:abstractNumId="31">
    <w:nsid w:val="614FD4A1"/>
    <w:multiLevelType w:val="hybridMultilevel"/>
    <w:lvl w:ilvl="0">
      <w:lvlJc w:val="left"/>
      <w:lvlText w:val="**"/>
      <w:numFmt w:val="bullet"/>
      <w:start w:val="1"/>
    </w:lvl>
    <w:lvl w:ilvl="1">
      <w:lvlJc w:val="left"/>
      <w:lvlText w:val="%2"/>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2019-12-28T17:58:09Z</dcterms:created>
  <dcterms:modified xsi:type="dcterms:W3CDTF">2019-12-28T17:58:09Z</dcterms:modified>
</cp:coreProperties>
</file>