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1-14588</w:t>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Northeast Bancorp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400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Maine</w:t>
            </w:r>
          </w:p>
        </w:tc>
        <w:tc>
          <w:tcPr>
            <w:tcW w:w="5120" w:type="dxa"/>
            <w:vAlign w:val="bottom"/>
            <w:gridSpan w:val="4"/>
          </w:tcPr>
          <w:p>
            <w:pPr>
              <w:jc w:val="right"/>
              <w:ind w:right="1670"/>
              <w:spacing w:after="0"/>
              <w:rPr>
                <w:sz w:val="20"/>
                <w:szCs w:val="20"/>
                <w:color w:val="auto"/>
              </w:rPr>
            </w:pPr>
            <w:r>
              <w:rPr>
                <w:rFonts w:ascii="Arial" w:cs="Arial" w:eastAsia="Arial" w:hAnsi="Arial"/>
                <w:sz w:val="18"/>
                <w:szCs w:val="18"/>
                <w:b w:val="1"/>
                <w:bCs w:val="1"/>
                <w:color w:val="auto"/>
              </w:rPr>
              <w:t>01-0425066</w:t>
            </w:r>
          </w:p>
        </w:tc>
      </w:tr>
      <w:tr>
        <w:trPr>
          <w:trHeight w:val="191"/>
        </w:trPr>
        <w:tc>
          <w:tcPr>
            <w:tcW w:w="4000" w:type="dxa"/>
            <w:vAlign w:val="bottom"/>
            <w:tcBorders>
              <w:top w:val="single" w:sz="8" w:color="auto"/>
            </w:tcBorders>
          </w:tcPr>
          <w:p>
            <w:pPr>
              <w:jc w:val="center"/>
              <w:ind w:left="270"/>
              <w:spacing w:after="0" w:line="191" w:lineRule="exact"/>
              <w:rPr>
                <w:sz w:val="20"/>
                <w:szCs w:val="20"/>
                <w:color w:val="auto"/>
              </w:rPr>
            </w:pPr>
            <w:r>
              <w:rPr>
                <w:rFonts w:ascii="Arial" w:cs="Arial" w:eastAsia="Arial" w:hAnsi="Arial"/>
                <w:sz w:val="18"/>
                <w:szCs w:val="18"/>
                <w:b w:val="1"/>
                <w:bCs w:val="1"/>
                <w:color w:val="auto"/>
                <w:w w:val="91"/>
              </w:rPr>
              <w:t>(State or other jurisdiction of incorporation or</w:t>
            </w:r>
          </w:p>
        </w:tc>
        <w:tc>
          <w:tcPr>
            <w:tcW w:w="3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tcPr>
          <w:p>
            <w:pPr>
              <w:jc w:val="center"/>
              <w:ind w:right="290"/>
              <w:spacing w:after="0" w:line="191" w:lineRule="exact"/>
              <w:rPr>
                <w:sz w:val="20"/>
                <w:szCs w:val="20"/>
                <w:color w:val="auto"/>
              </w:rPr>
            </w:pPr>
            <w:r>
              <w:rPr>
                <w:rFonts w:ascii="Arial" w:cs="Arial" w:eastAsia="Arial" w:hAnsi="Arial"/>
                <w:sz w:val="18"/>
                <w:szCs w:val="18"/>
                <w:b w:val="1"/>
                <w:bCs w:val="1"/>
                <w:color w:val="auto"/>
                <w:w w:val="92"/>
              </w:rPr>
              <w:t>(I.R.S. Employer Identification No.)</w:t>
            </w:r>
          </w:p>
        </w:tc>
      </w:tr>
      <w:tr>
        <w:trPr>
          <w:trHeight w:val="234"/>
        </w:trPr>
        <w:tc>
          <w:tcPr>
            <w:tcW w:w="400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organization)</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432"/>
        </w:trPr>
        <w:tc>
          <w:tcPr>
            <w:tcW w:w="400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500 Canal Street, Lewiston, Maine</w:t>
            </w:r>
          </w:p>
        </w:tc>
        <w:tc>
          <w:tcPr>
            <w:tcW w:w="5120" w:type="dxa"/>
            <w:vAlign w:val="bottom"/>
            <w:gridSpan w:val="4"/>
          </w:tcPr>
          <w:p>
            <w:pPr>
              <w:jc w:val="right"/>
              <w:ind w:right="1870"/>
              <w:spacing w:after="0"/>
              <w:rPr>
                <w:sz w:val="20"/>
                <w:szCs w:val="20"/>
                <w:color w:val="auto"/>
              </w:rPr>
            </w:pPr>
            <w:r>
              <w:rPr>
                <w:rFonts w:ascii="Arial" w:cs="Arial" w:eastAsia="Arial" w:hAnsi="Arial"/>
                <w:sz w:val="18"/>
                <w:szCs w:val="18"/>
                <w:b w:val="1"/>
                <w:bCs w:val="1"/>
                <w:color w:val="auto"/>
              </w:rPr>
              <w:t>04240</w:t>
            </w:r>
          </w:p>
        </w:tc>
      </w:tr>
      <w:tr>
        <w:trPr>
          <w:trHeight w:val="228"/>
        </w:trPr>
        <w:tc>
          <w:tcPr>
            <w:tcW w:w="4000" w:type="dxa"/>
            <w:vAlign w:val="bottom"/>
            <w:tcBorders>
              <w:top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2"/>
              </w:rPr>
              <w:t>(Zip Code)</w:t>
            </w:r>
          </w:p>
        </w:tc>
      </w:tr>
      <w:tr>
        <w:trPr>
          <w:trHeight w:val="373"/>
        </w:trPr>
        <w:tc>
          <w:tcPr>
            <w:tcW w:w="400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(207) 786-3245</w:t>
            </w:r>
          </w:p>
        </w:tc>
        <w:tc>
          <w:tcPr>
            <w:tcW w:w="4000" w:type="dxa"/>
            <w:vAlign w:val="bottom"/>
          </w:tcPr>
          <w:p>
            <w:pPr>
              <w:spacing w:after="0"/>
              <w:rPr>
                <w:sz w:val="24"/>
                <w:szCs w:val="24"/>
                <w:color w:val="auto"/>
              </w:rPr>
            </w:pPr>
          </w:p>
        </w:tc>
      </w:tr>
      <w:tr>
        <w:trPr>
          <w:trHeight w:val="237"/>
        </w:trPr>
        <w:tc>
          <w:tcPr>
            <w:tcW w:w="9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bl>
    <w:p>
      <w:pPr>
        <w:spacing w:after="0" w:line="200" w:lineRule="exact"/>
        <w:rPr>
          <w:sz w:val="24"/>
          <w:szCs w:val="24"/>
          <w:color w:val="auto"/>
        </w:rPr>
      </w:pPr>
    </w:p>
    <w:p>
      <w:pPr>
        <w:spacing w:after="0" w:line="218" w:lineRule="exact"/>
        <w:rPr>
          <w:sz w:val="24"/>
          <w:szCs w:val="24"/>
          <w:color w:val="auto"/>
        </w:rPr>
      </w:pPr>
    </w:p>
    <w:p>
      <w:pPr>
        <w:jc w:val="both"/>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__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__ Smaller Reporting Company __ Emerging growth company__</w:t>
      </w:r>
    </w:p>
    <w:p>
      <w:pPr>
        <w:spacing w:after="0" w:line="25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__</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Yes__ No </w:t>
      </w:r>
      <w:r>
        <w:rPr>
          <w:rFonts w:ascii="MS PGothic" w:cs="MS PGothic" w:eastAsia="MS PGothic" w:hAnsi="MS PGothic"/>
          <w:sz w:val="18"/>
          <w:szCs w:val="18"/>
          <w:color w:val="auto"/>
        </w:rPr>
        <w:t>☑</w:t>
      </w:r>
    </w:p>
    <w:p>
      <w:pPr>
        <w:spacing w:after="0" w:line="258"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November 2, 2017, the registrant had outstanding 7,930,565 shares of voting common stock, $1.00 par value per share and 996,823 shares of non-voting common stock, $1.00 par value per share.</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60" w:type="dxa"/>
            <w:vAlign w:val="bottom"/>
            <w:gridSpan w:val="10"/>
          </w:tcPr>
          <w:p>
            <w:pPr>
              <w:jc w:val="center"/>
              <w:ind w:right="318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0"/>
                <w:szCs w:val="20"/>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94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1.  </w:t>
            </w:r>
            <w:hyperlink w:anchor="page3">
              <w:r>
                <w:rPr>
                  <w:rFonts w:ascii="Arial" w:cs="Arial" w:eastAsia="Arial" w:hAnsi="Arial"/>
                  <w:sz w:val="18"/>
                  <w:szCs w:val="18"/>
                  <w:b w:val="1"/>
                  <w:bCs w:val="1"/>
                  <w:color w:val="0000EE"/>
                </w:rPr>
                <w:t>Financial Statements (Unaudited)</w:t>
              </w:r>
            </w:hyperlink>
          </w:p>
        </w:tc>
        <w:tc>
          <w:tcPr>
            <w:tcW w:w="7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60" w:type="dxa"/>
            <w:vAlign w:val="bottom"/>
            <w:gridSpan w:val="19"/>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Consolidated Balance Sheets September 30, 2017 and June 30, 2017</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700" w:type="dxa"/>
            <w:vAlign w:val="bottom"/>
            <w:tcBorders>
              <w:bottom w:val="single" w:sz="8" w:color="0000EE"/>
            </w:tcBorders>
            <w:gridSpan w:val="14"/>
          </w:tcPr>
          <w:p>
            <w:pPr>
              <w:spacing w:after="0"/>
              <w:rPr>
                <w:rFonts w:ascii="Arial" w:cs="Arial" w:eastAsia="Arial" w:hAnsi="Arial"/>
                <w:sz w:val="18"/>
                <w:szCs w:val="18"/>
                <w:b w:val="1"/>
                <w:bCs w:val="1"/>
                <w:color w:val="0000EE"/>
                <w:w w:val="89"/>
              </w:rPr>
            </w:pPr>
            <w:hyperlink w:anchor="page4">
              <w:r>
                <w:rPr>
                  <w:rFonts w:ascii="Arial" w:cs="Arial" w:eastAsia="Arial" w:hAnsi="Arial"/>
                  <w:sz w:val="18"/>
                  <w:szCs w:val="18"/>
                  <w:b w:val="1"/>
                  <w:bCs w:val="1"/>
                  <w:color w:val="0000EE"/>
                  <w:w w:val="89"/>
                </w:rPr>
                <w:t>Consolidated Statements of Income Three Months Ended September 30, 2017 and 2016</w:t>
              </w:r>
            </w:hyperlink>
          </w:p>
        </w:tc>
        <w:tc>
          <w:tcPr>
            <w:tcW w:w="25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940" w:type="dxa"/>
            <w:vAlign w:val="bottom"/>
            <w:tcBorders>
              <w:bottom w:val="single" w:sz="8" w:color="0000EE"/>
            </w:tcBorders>
            <w:gridSpan w:val="17"/>
          </w:tcPr>
          <w:p>
            <w:pPr>
              <w:spacing w:after="0"/>
              <w:rPr>
                <w:rFonts w:ascii="Arial" w:cs="Arial" w:eastAsia="Arial" w:hAnsi="Arial"/>
                <w:sz w:val="18"/>
                <w:szCs w:val="18"/>
                <w:b w:val="1"/>
                <w:bCs w:val="1"/>
                <w:color w:val="0000EE"/>
                <w:w w:val="89"/>
              </w:rPr>
            </w:pPr>
            <w:hyperlink w:anchor="page5">
              <w:r>
                <w:rPr>
                  <w:rFonts w:ascii="Arial" w:cs="Arial" w:eastAsia="Arial" w:hAnsi="Arial"/>
                  <w:sz w:val="18"/>
                  <w:szCs w:val="18"/>
                  <w:b w:val="1"/>
                  <w:bCs w:val="1"/>
                  <w:color w:val="0000EE"/>
                  <w:w w:val="89"/>
                </w:rPr>
                <w:t>Consolidated Statements of Comprehensive Income Three Months Ended September 30, 2017 and 2016</w:t>
              </w:r>
            </w:hyperlink>
          </w:p>
        </w:tc>
        <w:tc>
          <w:tcPr>
            <w:tcW w:w="132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60" w:type="dxa"/>
            <w:vAlign w:val="bottom"/>
            <w:tcBorders>
              <w:bottom w:val="single" w:sz="8" w:color="0000EE"/>
            </w:tcBorders>
            <w:gridSpan w:val="18"/>
          </w:tcPr>
          <w:p>
            <w:pPr>
              <w:spacing w:after="0"/>
              <w:rPr>
                <w:rFonts w:ascii="Arial" w:cs="Arial" w:eastAsia="Arial" w:hAnsi="Arial"/>
                <w:sz w:val="18"/>
                <w:szCs w:val="18"/>
                <w:b w:val="1"/>
                <w:bCs w:val="1"/>
                <w:color w:val="0000EE"/>
                <w:w w:val="89"/>
              </w:rPr>
            </w:pPr>
            <w:hyperlink w:anchor="page6">
              <w:r>
                <w:rPr>
                  <w:rFonts w:ascii="Arial" w:cs="Arial" w:eastAsia="Arial" w:hAnsi="Arial"/>
                  <w:sz w:val="18"/>
                  <w:szCs w:val="18"/>
                  <w:b w:val="1"/>
                  <w:bCs w:val="1"/>
                  <w:color w:val="0000EE"/>
                  <w:w w:val="89"/>
                </w:rPr>
                <w:t>Consolidated Statements of Changes in Shareholders' Equity Three Months Ended September 30, 2017 and 2016</w:t>
              </w:r>
            </w:hyperlink>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60" w:type="dxa"/>
            <w:vAlign w:val="bottom"/>
            <w:gridSpan w:val="19"/>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Consolidated Statements of Cash Flows Three Months Ended September 30, 2017 and 2016</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Notes to Unaudited Consolidated Financial Statements</w:t>
              </w:r>
            </w:hyperlink>
          </w:p>
        </w:tc>
        <w:tc>
          <w:tcPr>
            <w:tcW w:w="226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2.  </w:t>
            </w:r>
            <w:hyperlink w:anchor="page28">
              <w:r>
                <w:rPr>
                  <w:rFonts w:ascii="Arial" w:cs="Arial" w:eastAsia="Arial" w:hAnsi="Arial"/>
                  <w:sz w:val="18"/>
                  <w:szCs w:val="18"/>
                  <w:b w:val="1"/>
                  <w:bCs w:val="1"/>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3.  </w:t>
            </w:r>
            <w:hyperlink w:anchor="page42">
              <w:r>
                <w:rPr>
                  <w:rFonts w:ascii="Arial" w:cs="Arial" w:eastAsia="Arial" w:hAnsi="Arial"/>
                  <w:sz w:val="18"/>
                  <w:szCs w:val="18"/>
                  <w:b w:val="1"/>
                  <w:bCs w:val="1"/>
                  <w:color w:val="0000EE"/>
                </w:rPr>
                <w:t>Quantitative and Qualitative Disclosure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4.  </w:t>
            </w:r>
            <w:hyperlink w:anchor="page43">
              <w:r>
                <w:rPr>
                  <w:rFonts w:ascii="Arial" w:cs="Arial" w:eastAsia="Arial" w:hAnsi="Arial"/>
                  <w:sz w:val="18"/>
                  <w:szCs w:val="18"/>
                  <w:b w:val="1"/>
                  <w:bCs w:val="1"/>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940" w:type="dxa"/>
            <w:vAlign w:val="bottom"/>
            <w:gridSpan w:val="20"/>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Other Information</w:t>
              </w:r>
            </w:hyperlink>
          </w:p>
        </w:tc>
        <w:tc>
          <w:tcPr>
            <w:tcW w:w="7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260" w:type="dxa"/>
            <w:vAlign w:val="bottom"/>
            <w:gridSpan w:val="19"/>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Item 1A.</w:t>
            </w:r>
            <w:hyperlink w:anchor="page44">
              <w:r>
                <w:rPr>
                  <w:rFonts w:ascii="Arial" w:cs="Arial" w:eastAsia="Arial" w:hAnsi="Arial"/>
                  <w:sz w:val="18"/>
                  <w:szCs w:val="18"/>
                  <w:b w:val="1"/>
                  <w:bCs w:val="1"/>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2.  </w:t>
            </w:r>
            <w:hyperlink w:anchor="page44">
              <w:r>
                <w:rPr>
                  <w:rFonts w:ascii="Arial" w:cs="Arial" w:eastAsia="Arial" w:hAnsi="Arial"/>
                  <w:sz w:val="18"/>
                  <w:szCs w:val="18"/>
                  <w:b w:val="1"/>
                  <w:bCs w:val="1"/>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3.  </w:t>
            </w:r>
            <w:hyperlink w:anchor="page44">
              <w:r>
                <w:rPr>
                  <w:rFonts w:ascii="Arial" w:cs="Arial" w:eastAsia="Arial" w:hAnsi="Arial"/>
                  <w:sz w:val="18"/>
                  <w:szCs w:val="18"/>
                  <w:b w:val="1"/>
                  <w:bCs w:val="1"/>
                  <w:color w:val="0000EE"/>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80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4.  </w:t>
            </w:r>
            <w:hyperlink w:anchor="page44">
              <w:r>
                <w:rPr>
                  <w:rFonts w:ascii="Arial" w:cs="Arial" w:eastAsia="Arial" w:hAnsi="Arial"/>
                  <w:sz w:val="18"/>
                  <w:szCs w:val="18"/>
                  <w:b w:val="1"/>
                  <w:bCs w:val="1"/>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7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4"/>
              </w:rPr>
            </w:pPr>
            <w:hyperlink w:anchor="page44">
              <w:r>
                <w:rPr>
                  <w:rFonts w:ascii="Arial" w:cs="Arial" w:eastAsia="Arial" w:hAnsi="Arial"/>
                  <w:sz w:val="18"/>
                  <w:szCs w:val="18"/>
                  <w:b w:val="1"/>
                  <w:bCs w:val="1"/>
                  <w:color w:val="0000EE"/>
                  <w:w w:val="94"/>
                </w:rPr>
                <w:t>Other Information</w:t>
              </w:r>
            </w:hyperlink>
          </w:p>
        </w:tc>
        <w:tc>
          <w:tcPr>
            <w:tcW w:w="380" w:type="dxa"/>
            <w:vAlign w:val="bottom"/>
            <w:tcBorders>
              <w:top w:val="single" w:sz="8" w:color="0000EE"/>
            </w:tcBorders>
          </w:tcPr>
          <w:p>
            <w:pPr>
              <w:spacing w:after="0"/>
              <w:rPr>
                <w:sz w:val="24"/>
                <w:szCs w:val="24"/>
                <w:color w:val="auto"/>
              </w:rPr>
            </w:pPr>
          </w:p>
        </w:tc>
        <w:tc>
          <w:tcPr>
            <w:tcW w:w="742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7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260" w:type="dxa"/>
            <w:vAlign w:val="bottom"/>
            <w:gridSpan w:val="19"/>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53"/>
        </w:trPr>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920" w:type="dxa"/>
            <w:vAlign w:val="bottom"/>
            <w:gridSpan w:val="10"/>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1- FINANCIAL INFORMATION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Item 1. Financial Statements (Unaudited)</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(Dollars in thousands, except share and per share data)</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September 30, 2017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ind w:left="376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7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3,528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147,287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150,815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 at fair value</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 loans held for sale</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SBA loans held for sale</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 held for sale</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471,846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183,493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100,124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759,584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779,195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Allowance for loan losses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320"/>
              <w:spacing w:after="0"/>
              <w:rPr>
                <w:sz w:val="20"/>
                <w:szCs w:val="20"/>
                <w:color w:val="auto"/>
              </w:rPr>
            </w:pPr>
            <w:r>
              <w:rPr>
                <w:rFonts w:ascii="Arial" w:cs="Arial" w:eastAsia="Arial" w:hAnsi="Arial"/>
                <w:sz w:val="18"/>
                <w:szCs w:val="18"/>
                <w:color w:val="auto"/>
              </w:rPr>
              <w:t>Loans, net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755,550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775,530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7,274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Federal Home Loan Bank stock, at cost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Servicing rights, net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Bank owned life insurance</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7,569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1,049,637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1,076,874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Liabilities and Shareholders' Equity</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20"/>
              <w:spacing w:after="0"/>
              <w:rPr>
                <w:sz w:val="20"/>
                <w:szCs w:val="20"/>
                <w:color w:val="auto"/>
              </w:rPr>
            </w:pPr>
            <w:r>
              <w:rPr>
                <w:rFonts w:ascii="Arial" w:cs="Arial" w:eastAsia="Arial" w:hAnsi="Arial"/>
                <w:sz w:val="18"/>
                <w:szCs w:val="18"/>
                <w:color w:val="auto"/>
              </w:rPr>
              <w:t>Demand</w:t>
            </w:r>
          </w:p>
        </w:tc>
        <w:tc>
          <w:tcPr>
            <w:tcW w:w="7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74,731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Savings and interest checking</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105,691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380,992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301,309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320"/>
              <w:spacing w:after="0"/>
              <w:rPr>
                <w:sz w:val="20"/>
                <w:szCs w:val="20"/>
                <w:color w:val="auto"/>
              </w:rPr>
            </w:pPr>
            <w:r>
              <w:rPr>
                <w:rFonts w:ascii="Arial" w:cs="Arial" w:eastAsia="Arial" w:hAnsi="Arial"/>
                <w:sz w:val="18"/>
                <w:szCs w:val="18"/>
                <w:color w:val="auto"/>
              </w:rPr>
              <w:t>Total deposits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862,723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889,850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20,004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922,925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954,077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tcPr>
          <w:p>
            <w:pPr>
              <w:ind w:left="160"/>
              <w:spacing w:after="0" w:line="201" w:lineRule="exact"/>
              <w:rPr>
                <w:sz w:val="20"/>
                <w:szCs w:val="20"/>
                <w:color w:val="auto"/>
              </w:rPr>
            </w:pPr>
            <w:r>
              <w:rPr>
                <w:rFonts w:ascii="Arial" w:cs="Arial" w:eastAsia="Arial" w:hAnsi="Arial"/>
                <w:sz w:val="18"/>
                <w:szCs w:val="18"/>
                <w:color w:val="auto"/>
                <w:w w:val="96"/>
              </w:rPr>
              <w:t>Preferred stock, $1.00 par value, 1,000,000 shares authorized; no shares issued and outstanding at</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320"/>
              <w:spacing w:after="0"/>
              <w:rPr>
                <w:sz w:val="20"/>
                <w:szCs w:val="20"/>
                <w:color w:val="auto"/>
              </w:rPr>
            </w:pPr>
            <w:r>
              <w:rPr>
                <w:rFonts w:ascii="Arial" w:cs="Arial" w:eastAsia="Arial" w:hAnsi="Arial"/>
                <w:sz w:val="18"/>
                <w:szCs w:val="18"/>
                <w:color w:val="auto"/>
              </w:rPr>
              <w:t>September 30, 2017 and June 30, 2017</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Voting common stock, $1.00 par value, 25,000,000 shares authorized; 7,899,159 and 7,840,460 shares</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 and outstanding at September 30, 2017 and June 30, 2017, respectively</w:t>
            </w: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tcPr>
          <w:p>
            <w:pPr>
              <w:ind w:left="160"/>
              <w:spacing w:after="0" w:line="201" w:lineRule="exact"/>
              <w:rPr>
                <w:sz w:val="20"/>
                <w:szCs w:val="20"/>
                <w:color w:val="auto"/>
              </w:rPr>
            </w:pPr>
            <w:r>
              <w:rPr>
                <w:rFonts w:ascii="Arial" w:cs="Arial" w:eastAsia="Arial" w:hAnsi="Arial"/>
                <w:sz w:val="18"/>
                <w:szCs w:val="18"/>
                <w:color w:val="auto"/>
                <w:w w:val="94"/>
              </w:rPr>
              <w:t>Non-voting common stock, $1.00 par value, 3,000,000 shares authorized; 991,194 shares issued and</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320"/>
              <w:spacing w:after="0"/>
              <w:rPr>
                <w:sz w:val="20"/>
                <w:szCs w:val="20"/>
                <w:color w:val="auto"/>
              </w:rPr>
            </w:pPr>
            <w:r>
              <w:rPr>
                <w:rFonts w:ascii="Arial" w:cs="Arial" w:eastAsia="Arial" w:hAnsi="Arial"/>
                <w:sz w:val="18"/>
                <w:szCs w:val="18"/>
                <w:color w:val="auto"/>
              </w:rPr>
              <w:t>outstanding at both September 30, 2017 and June 30, 2017</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42,641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126,712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122,797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1,049,637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54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543"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6"/>
          </w:tcPr>
          <w:p>
            <w:pPr>
              <w:jc w:val="right"/>
              <w:ind w:right="400"/>
              <w:spacing w:after="0"/>
              <w:rPr>
                <w:sz w:val="20"/>
                <w:szCs w:val="20"/>
                <w:color w:val="auto"/>
              </w:rPr>
            </w:pPr>
            <w:r>
              <w:rPr>
                <w:rFonts w:ascii="Arial" w:cs="Arial" w:eastAsia="Arial" w:hAnsi="Arial"/>
                <w:sz w:val="18"/>
                <w:szCs w:val="18"/>
                <w:color w:val="auto"/>
                <w:w w:val="92"/>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15,383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 and dividend income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Fees for other services to customers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residential real estate loans held for sale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Gain on sales of SBA loans held for sale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recognized on real estate owned and other repossessed collateral, net</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Bank owned life insurance income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Total noninterest income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Noninterest expense: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Occupancy and equipment expense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Data processing fees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expense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FDIC insurance premiums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expense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Total noninterest expense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8,714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Income tax expense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Basic</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8,841,511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9,106,144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9,089,936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Basic</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0.52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gridSpan w:val="6"/>
          </w:tcPr>
          <w:p>
            <w:pPr>
              <w:jc w:val="right"/>
              <w:ind w:right="400"/>
              <w:spacing w:after="0"/>
              <w:rPr>
                <w:sz w:val="20"/>
                <w:szCs w:val="20"/>
                <w:color w:val="auto"/>
              </w:rPr>
            </w:pPr>
            <w:r>
              <w:rPr>
                <w:rFonts w:ascii="Arial" w:cs="Arial" w:eastAsia="Arial" w:hAnsi="Arial"/>
                <w:sz w:val="18"/>
                <w:szCs w:val="18"/>
                <w:color w:val="auto"/>
                <w:w w:val="98"/>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4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comprehensive income, before tax:</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 in net unrealized loss on available-for-sale securities</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Derivatives and hedging activities:</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 in accumulated loss on effective cash flow hedges</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Reclassification adjustments included in net income</w:t>
            </w: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derivatives and hedging activities</w:t>
            </w:r>
          </w:p>
        </w:tc>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before tax</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Income tax expense related to other comprehensive income</w:t>
            </w:r>
          </w:p>
        </w:tc>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20" w:type="dxa"/>
            <w:vAlign w:val="bottom"/>
            <w:gridSpan w:val="2"/>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4,690</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Voting</w:t>
            </w:r>
          </w:p>
        </w:tc>
        <w:tc>
          <w:tcPr>
            <w:tcW w:w="680" w:type="dxa"/>
            <w:vAlign w:val="bottom"/>
          </w:tcPr>
          <w:p>
            <w:pPr>
              <w:spacing w:after="0"/>
              <w:rPr>
                <w:sz w:val="17"/>
                <w:szCs w:val="17"/>
                <w:color w:val="auto"/>
              </w:rPr>
            </w:pPr>
          </w:p>
        </w:tc>
        <w:tc>
          <w:tcPr>
            <w:tcW w:w="1300" w:type="dxa"/>
            <w:vAlign w:val="bottom"/>
            <w:gridSpan w:val="2"/>
            <w:vMerge w:val="restart"/>
          </w:tcPr>
          <w:p>
            <w:pPr>
              <w:jc w:val="center"/>
              <w:ind w:left="350"/>
              <w:spacing w:after="0"/>
              <w:rPr>
                <w:sz w:val="20"/>
                <w:szCs w:val="20"/>
                <w:color w:val="auto"/>
              </w:rPr>
            </w:pPr>
            <w:r>
              <w:rPr>
                <w:rFonts w:ascii="Arial" w:cs="Arial" w:eastAsia="Arial" w:hAnsi="Arial"/>
                <w:sz w:val="18"/>
                <w:szCs w:val="18"/>
                <w:color w:val="auto"/>
                <w:w w:val="94"/>
              </w:rPr>
              <w:t>Non-voting</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8"/>
                <w:szCs w:val="18"/>
                <w:color w:val="auto"/>
              </w:rPr>
              <w:t>Additional</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gridSpan w:val="2"/>
          </w:tcPr>
          <w:p>
            <w:pPr>
              <w:jc w:val="center"/>
              <w:ind w:right="30"/>
              <w:spacing w:after="0"/>
              <w:rPr>
                <w:sz w:val="20"/>
                <w:szCs w:val="20"/>
                <w:color w:val="auto"/>
              </w:rPr>
            </w:pPr>
            <w:r>
              <w:rPr>
                <w:rFonts w:ascii="Arial" w:cs="Arial" w:eastAsia="Arial" w:hAnsi="Arial"/>
                <w:sz w:val="16"/>
                <w:szCs w:val="16"/>
                <w:color w:val="auto"/>
                <w:w w:val="92"/>
              </w:rPr>
              <w:t>Accumulated</w:t>
            </w:r>
          </w:p>
        </w:tc>
        <w:tc>
          <w:tcPr>
            <w:tcW w:w="240" w:type="dxa"/>
            <w:vAlign w:val="bottom"/>
          </w:tcPr>
          <w:p>
            <w:pPr>
              <w:spacing w:after="0"/>
              <w:rPr>
                <w:sz w:val="17"/>
                <w:szCs w:val="17"/>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ind w:right="330"/>
              <w:spacing w:after="0" w:line="171" w:lineRule="exact"/>
              <w:rPr>
                <w:sz w:val="20"/>
                <w:szCs w:val="20"/>
                <w:color w:val="auto"/>
              </w:rPr>
            </w:pPr>
            <w:r>
              <w:rPr>
                <w:rFonts w:ascii="Arial" w:cs="Arial" w:eastAsia="Arial" w:hAnsi="Arial"/>
                <w:sz w:val="16"/>
                <w:szCs w:val="16"/>
                <w:color w:val="auto"/>
                <w:w w:val="94"/>
              </w:rPr>
              <w:t>Other</w:t>
            </w: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20"/>
                <w:szCs w:val="20"/>
                <w:color w:val="auto"/>
              </w:rPr>
            </w:pPr>
          </w:p>
        </w:tc>
        <w:tc>
          <w:tcPr>
            <w:tcW w:w="1940" w:type="dxa"/>
            <w:vAlign w:val="bottom"/>
            <w:gridSpan w:val="3"/>
          </w:tcPr>
          <w:p>
            <w:pPr>
              <w:jc w:val="right"/>
              <w:ind w:right="390"/>
              <w:spacing w:after="0"/>
              <w:rPr>
                <w:sz w:val="20"/>
                <w:szCs w:val="20"/>
                <w:color w:val="auto"/>
              </w:rPr>
            </w:pPr>
            <w:r>
              <w:rPr>
                <w:rFonts w:ascii="Arial" w:cs="Arial" w:eastAsia="Arial" w:hAnsi="Arial"/>
                <w:sz w:val="18"/>
                <w:szCs w:val="18"/>
                <w:color w:val="auto"/>
              </w:rPr>
              <w:t>Common Stock</w:t>
            </w:r>
          </w:p>
        </w:tc>
        <w:tc>
          <w:tcPr>
            <w:tcW w:w="184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Common Stock</w:t>
            </w:r>
          </w:p>
        </w:tc>
        <w:tc>
          <w:tcPr>
            <w:tcW w:w="22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w w:val="92"/>
              </w:rPr>
              <w:t>Paid-in</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Retained</w:t>
            </w:r>
          </w:p>
        </w:tc>
        <w:tc>
          <w:tcPr>
            <w:tcW w:w="1180" w:type="dxa"/>
            <w:vAlign w:val="bottom"/>
            <w:gridSpan w:val="2"/>
          </w:tcPr>
          <w:p>
            <w:pPr>
              <w:jc w:val="center"/>
              <w:ind w:right="30"/>
              <w:spacing w:after="0"/>
              <w:rPr>
                <w:sz w:val="20"/>
                <w:szCs w:val="20"/>
                <w:color w:val="auto"/>
              </w:rPr>
            </w:pPr>
            <w:r>
              <w:rPr>
                <w:rFonts w:ascii="Arial" w:cs="Arial" w:eastAsia="Arial" w:hAnsi="Arial"/>
                <w:sz w:val="16"/>
                <w:szCs w:val="16"/>
                <w:color w:val="auto"/>
                <w:w w:val="91"/>
              </w:rPr>
              <w:t>Comprehensive</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w w:val="94"/>
              </w:rPr>
              <w:t>Shareholders'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0"/>
              </w:rPr>
              <w:t>Shares</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Amount</w:t>
            </w: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Shares</w:t>
            </w:r>
          </w:p>
        </w:tc>
        <w:tc>
          <w:tcPr>
            <w:tcW w:w="9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Amount</w:t>
            </w: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Shares</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Capital</w:t>
            </w:r>
          </w:p>
        </w:tc>
        <w:tc>
          <w:tcPr>
            <w:tcW w:w="9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Earnings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Loss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Balance at June 30,</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8,089,790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8,089</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1,227,683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1,228</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83,020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1,751</w:t>
            </w:r>
          </w:p>
        </w:tc>
        <w:tc>
          <w:tcPr>
            <w:tcW w:w="3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repurchased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(645,238)</w:t>
            </w:r>
          </w:p>
        </w:tc>
        <w:tc>
          <w:tcPr>
            <w:tcW w:w="26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(645)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(6,298)</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Conversion of</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voting common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to non-voting</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(116,000)</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116,000</w:t>
            </w:r>
          </w:p>
        </w:tc>
        <w:tc>
          <w:tcPr>
            <w:tcW w:w="3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Dividends on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common stock at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$0.01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Stock-based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Issuance of</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restricted common</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stock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160,000</w:t>
            </w:r>
          </w:p>
        </w:tc>
        <w:tc>
          <w:tcPr>
            <w:tcW w:w="26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160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Cancellation and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forfeiture of</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common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5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tcPr>
          <w:p>
            <w:pPr>
              <w:spacing w:after="0" w:line="195" w:lineRule="exact"/>
              <w:rPr>
                <w:sz w:val="20"/>
                <w:szCs w:val="20"/>
                <w:color w:val="auto"/>
              </w:rPr>
            </w:pPr>
            <w:r>
              <w:rPr>
                <w:rFonts w:ascii="Arial" w:cs="Arial" w:eastAsia="Arial" w:hAnsi="Arial"/>
                <w:sz w:val="18"/>
                <w:szCs w:val="18"/>
                <w:color w:val="auto"/>
              </w:rPr>
              <w:t>Balance at September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7,487,552</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ind w:right="110"/>
              <w:spacing w:after="0"/>
              <w:rPr>
                <w:sz w:val="20"/>
                <w:szCs w:val="20"/>
                <w:color w:val="auto"/>
              </w:rPr>
            </w:pPr>
            <w:r>
              <w:rPr>
                <w:rFonts w:ascii="Arial" w:cs="Arial" w:eastAsia="Arial" w:hAnsi="Arial"/>
                <w:sz w:val="18"/>
                <w:szCs w:val="18"/>
                <w:color w:val="auto"/>
              </w:rPr>
              <w:t>7,487</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1,343,683</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3"/>
              </w:rPr>
              <w:t>1,344</w:t>
            </w: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76,765</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27,818</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(1,861)</w:t>
            </w:r>
          </w:p>
        </w:tc>
        <w:tc>
          <w:tcPr>
            <w:tcW w:w="2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111,553</w:t>
            </w:r>
          </w:p>
        </w:tc>
        <w:tc>
          <w:tcPr>
            <w:tcW w:w="0" w:type="dxa"/>
            <w:vAlign w:val="bottom"/>
          </w:tcPr>
          <w:p>
            <w:pPr>
              <w:spacing w:after="0"/>
              <w:rPr>
                <w:sz w:val="1"/>
                <w:szCs w:val="1"/>
                <w:color w:val="auto"/>
              </w:rPr>
            </w:pPr>
          </w:p>
        </w:tc>
      </w:tr>
      <w:tr>
        <w:trPr>
          <w:trHeight w:val="190"/>
        </w:trPr>
        <w:tc>
          <w:tcPr>
            <w:tcW w:w="1740" w:type="dxa"/>
            <w:vAlign w:val="bottom"/>
            <w:gridSpan w:val="2"/>
          </w:tcPr>
          <w:p>
            <w:pPr>
              <w:spacing w:after="0" w:line="190" w:lineRule="exact"/>
              <w:rPr>
                <w:sz w:val="20"/>
                <w:szCs w:val="20"/>
                <w:color w:val="auto"/>
              </w:rPr>
            </w:pPr>
            <w:r>
              <w:rPr>
                <w:rFonts w:ascii="Arial" w:cs="Arial" w:eastAsia="Arial" w:hAnsi="Arial"/>
                <w:sz w:val="18"/>
                <w:szCs w:val="18"/>
                <w:color w:val="auto"/>
              </w:rPr>
              <w:t>30, 2016</w:t>
            </w:r>
          </w:p>
        </w:tc>
        <w:tc>
          <w:tcPr>
            <w:tcW w:w="56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Balance at June 30,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7,840,460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7,841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991,194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77,455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38,142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(1,632)</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net of tax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Conversion of</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voting common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to non-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voting common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Dividends on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common stock at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$0.01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Stock-based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Issuance of</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restricted common</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stock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Cancellation and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forfeiture of</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common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(15,089)</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Stock options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7"/>
                <w:szCs w:val="17"/>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63,788</w:t>
            </w:r>
          </w:p>
        </w:tc>
        <w:tc>
          <w:tcPr>
            <w:tcW w:w="260" w:type="dxa"/>
            <w:vAlign w:val="bottom"/>
          </w:tcPr>
          <w:p>
            <w:pPr>
              <w:spacing w:after="0"/>
              <w:rPr>
                <w:sz w:val="17"/>
                <w:szCs w:val="17"/>
                <w:color w:val="auto"/>
              </w:rPr>
            </w:pPr>
          </w:p>
        </w:tc>
        <w:tc>
          <w:tcPr>
            <w:tcW w:w="680" w:type="dxa"/>
            <w:vAlign w:val="bottom"/>
            <w:vMerge w:val="restart"/>
          </w:tcPr>
          <w:p>
            <w:pPr>
              <w:jc w:val="right"/>
              <w:ind w:right="110"/>
              <w:spacing w:after="0"/>
              <w:rPr>
                <w:sz w:val="20"/>
                <w:szCs w:val="20"/>
                <w:color w:val="auto"/>
              </w:rPr>
            </w:pPr>
            <w:r>
              <w:rPr>
                <w:rFonts w:ascii="Arial" w:cs="Arial" w:eastAsia="Arial" w:hAnsi="Arial"/>
                <w:sz w:val="18"/>
                <w:szCs w:val="18"/>
                <w:color w:val="auto"/>
              </w:rPr>
              <w:t>63</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(917)</w:t>
            </w:r>
          </w:p>
        </w:tc>
        <w:tc>
          <w:tcPr>
            <w:tcW w:w="26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20" w:type="dxa"/>
            <w:vAlign w:val="bottom"/>
          </w:tcPr>
          <w:p>
            <w:pPr>
              <w:ind w:left="160"/>
              <w:spacing w:after="0"/>
              <w:rPr>
                <w:sz w:val="20"/>
                <w:szCs w:val="20"/>
                <w:color w:val="auto"/>
              </w:rPr>
            </w:pPr>
            <w:r>
              <w:rPr>
                <w:rFonts w:ascii="Arial" w:cs="Arial" w:eastAsia="Arial" w:hAnsi="Arial"/>
                <w:sz w:val="18"/>
                <w:szCs w:val="18"/>
                <w:color w:val="auto"/>
              </w:rPr>
              <w:t>exercised, net</w:t>
            </w:r>
          </w:p>
        </w:tc>
        <w:tc>
          <w:tcPr>
            <w:tcW w:w="5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Balance at September</w:t>
            </w: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7,899,159</w:t>
            </w:r>
          </w:p>
        </w:tc>
        <w:tc>
          <w:tcPr>
            <w:tcW w:w="26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7,899</w:t>
            </w:r>
          </w:p>
        </w:tc>
        <w:tc>
          <w:tcPr>
            <w:tcW w:w="96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991,194</w:t>
            </w:r>
          </w:p>
        </w:tc>
        <w:tc>
          <w:tcPr>
            <w:tcW w:w="3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220" w:type="dxa"/>
            <w:vAlign w:val="bottom"/>
            <w:tcBorders>
              <w:top w:val="single" w:sz="8" w:color="auto"/>
            </w:tcBorders>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76,709</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42,641</w:t>
            </w:r>
          </w:p>
        </w:tc>
        <w:tc>
          <w:tcPr>
            <w:tcW w:w="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40" w:type="dxa"/>
            <w:vAlign w:val="bottom"/>
            <w:tcBorders>
              <w:top w:val="single" w:sz="8" w:color="auto"/>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126,712</w:t>
            </w:r>
          </w:p>
        </w:tc>
        <w:tc>
          <w:tcPr>
            <w:tcW w:w="100" w:type="dxa"/>
            <w:vAlign w:val="bottom"/>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30, 2017</w:t>
            </w:r>
          </w:p>
        </w:tc>
        <w:tc>
          <w:tcPr>
            <w:tcW w:w="5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gridSpan w:val="2"/>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00" w:type="dxa"/>
            <w:vAlign w:val="bottom"/>
            <w:gridSpan w:val="7"/>
          </w:tcPr>
          <w:p>
            <w:pPr>
              <w:jc w:val="right"/>
              <w:ind w:right="400"/>
              <w:spacing w:after="0"/>
              <w:rPr>
                <w:sz w:val="20"/>
                <w:szCs w:val="20"/>
                <w:color w:val="auto"/>
              </w:rPr>
            </w:pPr>
            <w:r>
              <w:rPr>
                <w:rFonts w:ascii="Arial" w:cs="Arial" w:eastAsia="Arial" w:hAnsi="Arial"/>
                <w:sz w:val="18"/>
                <w:szCs w:val="18"/>
                <w:color w:val="auto"/>
                <w:w w:val="98"/>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4,586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Loss recognized on real estate owned, other repossessed collateral and premises and equipment, net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Accretion of fair value adjustments on loans, net</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(2,938)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 of fair value adjustments on deposits, net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Accretion of fair value adjustments on borrowings, net</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subordinated debt issuance costs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Originations of loans held for sale</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(30,545)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sales of loans held for sale</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29,450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Gain on sales of residential loans held for sale, net</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SBA and other loans held for sale, net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owned life insurance income, net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Depreciation of premises and equipment</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Amortization of available-for-sale securities, net</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other assets and liabilities: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(4,667)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Proceeds from maturities and principal payments on available-for-sale securities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purchases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Loan originations, principal collections, and purchased loan paydowns, net</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22,599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premises and equipment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20,386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Net (decrease) increase in deposits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(27,127)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Repurchases for tax withholdings on stock options and restricted common stock</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(28,187)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(12,468)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(24,908)</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163,283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151,157</w:t>
            </w:r>
          </w:p>
        </w:tc>
      </w:tr>
      <w:tr>
        <w:trPr>
          <w:trHeight w:val="210"/>
        </w:trPr>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126,249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118"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1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800" w:type="dxa"/>
            <w:vAlign w:val="bottom"/>
          </w:tcPr>
          <w:p>
            <w:pPr>
              <w:ind w:left="180"/>
              <w:spacing w:after="0"/>
              <w:rPr>
                <w:sz w:val="20"/>
                <w:szCs w:val="20"/>
                <w:color w:val="auto"/>
              </w:rPr>
            </w:pPr>
            <w:r>
              <w:rPr>
                <w:rFonts w:ascii="Arial" w:cs="Arial" w:eastAsia="Arial" w:hAnsi="Arial"/>
                <w:sz w:val="18"/>
                <w:szCs w:val="18"/>
                <w:color w:val="auto"/>
              </w:rPr>
              <w:t>Transfers from loans to real estate owned and other repossessed collateral</w:t>
            </w:r>
          </w:p>
        </w:tc>
        <w:tc>
          <w:tcPr>
            <w:tcW w:w="19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1,214</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207"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accompanying unaudited condensed and consolidated interim financial statements include the accounts of Northeast Bancorp (“Northeast” or the “Company”) and its wholly-owned subsidiary, Northeast Bank (the “Bank”).</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These financial statements have been prepared in accordance with accounting principles generally accepted in the United States of America (“US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financial statements and notes should be read in conjunction with the audited consolidated financial statements and notes thereto for the fiscal year ended June 30, 2017 (“Fiscal 2017”) included in the Company's Annual Report on Form 10-K filed with the Securities and Exchange Commission.</w:t>
      </w:r>
    </w:p>
    <w:p>
      <w:pPr>
        <w:spacing w:after="0" w:line="17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ASU 2014-09 implements a common revenue standard that clarifies the principles for recognizing revenue.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2015-14,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(Topic 606) </w:t>
      </w:r>
      <w:r>
        <w:rPr>
          <w:rFonts w:ascii="Arial" w:cs="Arial" w:eastAsia="Arial" w:hAnsi="Arial"/>
          <w:sz w:val="17"/>
          <w:szCs w:val="17"/>
          <w:color w:val="auto"/>
        </w:rPr>
        <w:t>(“ASU 2015-14”) was issued in August 2015 which defers adoption to annual reporting periods beginning after</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15, 2017. The timing of the Company’s revenue recognition is not expected to materially change. The Company is currently performing an assessment of revenue streams and reviewing contracts potentially affected by the ASU to determine the impact of the new guidance. The Company’s largest portions of revenue, interest and fees on loans and gain on sales of loans, are specifically excluded from the scope of the guidance, and the Company currently recognizes the majority of the remaining revenue sources in a manner that management believes is consistent with the new guidance. Because of this, management believes that revenue recognized under the new guidance will generally approximate revenue recognized under current GAAP. These observations are subject to change as the evaluation is completed.</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This guidance changes how entities account for equity investments that do not result in consolidation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This guidance is effective for fiscal years beginning after December 15, 2017, including interim periods within the fiscal year. Early adoption is permitted for only one of the six amendments. The Company is currently evaluating the impact of the adoption of ASU 2016-01 on its consolidated financial statements.</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The new guidance establishes the principles to report transparent and economically neutral information about the assets and liabilities that arise from leases. Entities will be required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for fiscal years beginning after December 15, 2018, including interim periods within the fiscal year. The Company is currently evaluating the impact of the adoption of ASU 2016-02 to determine the potential impact it will have on its consolidated financial statements. The Company’s assets and liabilities will increase based on the present value of the remaining lease payments for leases in place at the adoption date; however, this is not expected to be material to the Company’s results of operations.</w:t>
      </w:r>
    </w:p>
    <w:p>
      <w:pPr>
        <w:spacing w:after="0" w:line="16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March 2016, the FASB issued ASU 2016-05, </w:t>
      </w:r>
      <w:r>
        <w:rPr>
          <w:rFonts w:ascii="Arial" w:cs="Arial" w:eastAsia="Arial" w:hAnsi="Arial"/>
          <w:sz w:val="17"/>
          <w:szCs w:val="17"/>
          <w:i w:val="1"/>
          <w:iCs w:val="1"/>
          <w:color w:val="auto"/>
        </w:rPr>
        <w:t>Derivatives and Hedging (Topic 815): Effect of Derivative Contract Novations on Existing Hedge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(“ASU 2016-05”). The new guidance clarifies that a change in the counterparty to a derivative instrument that has been designated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hedging instrument under Topic 815 does not, in and of itself, require de-designation of that hedging relationship provided that all other hedge accounting criteria continue to be met. This guidance is effective for fiscal years beginning after December 15, 2016, and interim periods within those fiscal years. The adoption of this guidance did not have an impact on the Company’s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The new guidance simplified several aspects of the accounting for share-based payment transactions, including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classification of awards as either equity or liabilities, and classification on the statement of cash flows. Entities are required to recognize the income tax effects of awards in the income statement when the awards vest or are settled. This guidance is effective for fiscal years beginning after December 15, 2016, and interim periods within those annual periods. For interim reporting purposes the excess tax benefits or deficiencies shall be recorded as discrete items in the period in which they occur. In addition to the excess tax benefit treatment, the amendment removed the assumed proceeds related to the excess tax benefit from the calculation of diluted shares.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Upon adoption, the most significant impact of this amendment resulted from the prospective application of current excess tax benefits and deficiencies being recognized in income tax expense, which would previously have been recognized in additional paid-in capital. In the three months ended September 30, 2017, this item reduced income tax expense and increased net income by approximately $818 thousand, representing an income tax benefit arising from individuals who exercised non-qualified stock options and restricted stock awards that vested during the period. For the year ended June 30, 2017, the Company recognized $27 thousand in additional paid-in-capital related to the excess tax benefit, which, if under the new ASU, would have been recognized as an income tax benefit in the income statement. These amounts, treated as discrete items in the period in which they occur, will vary from year to year as a function of the volume of share-based payments vested or exercised and the then fair market value of the Company's stock in comparison to the compensation cost recognized in the financial statements. In addition to the excess tax benefit treatment, the amendment removed the assumed proceeds related to the excess tax benefit from the calculation of diluted shares which increased diluted weighted average common shares outstanding by 40,966 shares to 9,089,936. This amendment is applied on a prospective basis, and no prior periods were adjusted. Additionally upon adoption, the Company made a policy election to record forfeitures as they occur rather than make use of an estimate. The other provisions did not have a material impact on the Company's financial statements upon adoption.</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(“ASU 2016-13”). This guidance is intended to provide financial statement users with more decision-useful information about the expected credit losses on financial instruments and other commitments to extend credit held by a reporting entity at each reporting date. To achieve this objective, the amendments in this guidance replace the incurred loss impairment methodology in current US GAAP with a methodology that reflects expected credit losses and requires consideration of a broader range of reasonable and supportable information to inform credit loss estimates. This ASU will be effective for fiscal years beginning after December 15, 2019. Early adoption is available as of the fiscal year beginning after December 15, 2018. The Company is evaluating the provisions of the guidance, and will closely monitor developments and additional guidance to determine the potential impact on the Company’s consolidated financial statements. Management is in the process of identifying the methodologies and the additional data requirements necessary to implement the guidance and plans to engage an existing third party service provider to assist in implementation.</w:t>
      </w:r>
    </w:p>
    <w:p>
      <w:pPr>
        <w:spacing w:after="0" w:line="1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(“ASU 2016-15”). This guidance clarifies and provides guidance on several cash receipt and cash payment classification issues, including debt prepayment and extinguishment costs, settlement of zero-coupon debt instruments,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amendments in this guidance are effective for public business entities for fiscal years beginning after December 15, 2017, and interim periods within those fiscal years. Early adoption is permitted, including adoption in an interim period. The adoption of this guidance is not expected to have a significant impact on the Company’s financial statements.</w:t>
      </w:r>
    </w:p>
    <w:p>
      <w:pPr>
        <w:spacing w:after="0" w:line="19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(“ASU 2016-18”). This guidance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guidance are effective for public business entities for fiscal years beginning after December 15, 2017, and interim periods within those fiscal years. Early adoption is permitted, including adoption in an interim period. The adoption of this guidance is not expected to have a significant impact on the Company’s financial statements.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2017, the FASB issued ASU 2017-08, </w:t>
      </w:r>
      <w:r>
        <w:rPr>
          <w:rFonts w:ascii="Arial" w:cs="Arial" w:eastAsia="Arial" w:hAnsi="Arial"/>
          <w:sz w:val="18"/>
          <w:szCs w:val="18"/>
          <w:i w:val="1"/>
          <w:iCs w:val="1"/>
          <w:color w:val="auto"/>
        </w:rPr>
        <w:t>Receivables—Nonrefundable Fees and Other Costs (Subtopic 310-20)</w:t>
      </w:r>
      <w:r>
        <w:rPr>
          <w:rFonts w:ascii="Arial" w:cs="Arial" w:eastAsia="Arial" w:hAnsi="Arial"/>
          <w:sz w:val="18"/>
          <w:szCs w:val="18"/>
          <w:color w:val="auto"/>
        </w:rPr>
        <w:t xml:space="preserve"> (“ASU 2017-08”). This guidance amends the amortization period for certain purchased callable debt securities held at a premium, and shortens the amortization period for the premium to the earliest call date. Under current GAAP, entities generally amortize the premium as an adjustment of yield over the contractual life of the instrument. The amendments in this guidance are effective for public business entities for fiscal years beginning after December 15, 2018, and interim periods within those fiscal years. Early adoption is permitted, including adoption in an interim period. The adoption of this guidance is not expected to have a significant impact on the Company’s financial statements.</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which amends the scope of modification accounting for share-based payment arrangements. This update provides guidance on the types of changes to the terms or conditions of share-based payment awards to which an entity would be required to apply modification accounting. Specifically, an entity would not apply modification accounting if the fair value, vesting conditions, and classification of the awards are the same immediately before and after the modification. This update is effective for public business entities for annual periods being after December 15, 2017, including interim periods within those annual periods. Early adoption is permitted including adopting in any interim period. This update should be applied prospectively to awards modified on or after the effective date. The adoption of this guidance is not expected to have a significant impact on the Company’s financial statements.</w:t>
      </w:r>
    </w:p>
    <w:p>
      <w:pPr>
        <w:spacing w:after="0" w:line="16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xml:space="preserve"> (“ASU 2017-12”). This guidance permits hedge accounting for risk components in hedging relationships involving nonfinancial risk and interest rate risk, and improves the financial reporting of hedging relationships to better portray the economic results of an entity’s risk management activities in its financial statements. The amendments in this guidance are effective for public business entities for fiscal years beginning after December 15, 2018, and interim periods within those fiscal years. Early adoption is permitted, including adoption in an interim period. The adoption of this guidance is not expected to have a significant impact on the Company’s financial statements.</w:t>
      </w:r>
    </w:p>
    <w:p>
      <w:pPr>
        <w:sectPr>
          <w:pgSz w:w="11900" w:h="16838" w:orient="portrait"/>
          <w:cols w:equalWidth="0" w:num="1">
            <w:col w:w="11420"/>
          </w:cols>
          <w:pgMar w:left="240" w:top="118" w:right="239" w:bottom="80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80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summary of the amortized cost, gross unrealized holding gains and losses, and fair value of securities available for sale.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9"/>
              </w:rPr>
              <w:t>September 30, 2017</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left="5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ind w:left="256"/>
              <w:spacing w:after="0" w:line="195" w:lineRule="exact"/>
              <w:rPr>
                <w:sz w:val="20"/>
                <w:szCs w:val="20"/>
                <w:color w:val="auto"/>
              </w:rPr>
            </w:pPr>
            <w:r>
              <w:rPr>
                <w:rFonts w:ascii="Arial" w:cs="Arial" w:eastAsia="Arial" w:hAnsi="Arial"/>
                <w:sz w:val="18"/>
                <w:szCs w:val="18"/>
                <w:color w:val="auto"/>
                <w:w w:val="87"/>
              </w:rPr>
              <w:t>Gross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Gains</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ind w:left="256"/>
              <w:spacing w:after="0"/>
              <w:rPr>
                <w:sz w:val="20"/>
                <w:szCs w:val="20"/>
                <w:color w:val="auto"/>
              </w:rPr>
            </w:pPr>
            <w:r>
              <w:rPr>
                <w:rFonts w:ascii="Arial" w:cs="Arial" w:eastAsia="Arial" w:hAnsi="Arial"/>
                <w:sz w:val="18"/>
                <w:szCs w:val="18"/>
                <w:color w:val="auto"/>
                <w:w w:val="87"/>
              </w:rPr>
              <w:t>Losses</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4"/>
          </w:tcPr>
          <w:p>
            <w:pPr>
              <w:jc w:val="center"/>
              <w:ind w:left="2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57,261</w:t>
            </w:r>
          </w:p>
        </w:tc>
        <w:tc>
          <w:tcPr>
            <w:tcW w:w="12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7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57,069</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31,318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(546)</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30,775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6,664</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95,334</w:t>
            </w:r>
          </w:p>
        </w:tc>
        <w:tc>
          <w:tcPr>
            <w:tcW w:w="12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40" w:type="dxa"/>
            <w:vAlign w:val="bottom"/>
          </w:tcPr>
          <w:p>
            <w:pPr>
              <w:jc w:val="right"/>
              <w:ind w:right="67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(829)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94,508</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9"/>
              </w:rPr>
              <w:t>June 30, 2017</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left="5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ind w:left="256"/>
              <w:spacing w:after="0" w:line="195" w:lineRule="exact"/>
              <w:rPr>
                <w:sz w:val="20"/>
                <w:szCs w:val="20"/>
                <w:color w:val="auto"/>
              </w:rPr>
            </w:pPr>
            <w:r>
              <w:rPr>
                <w:rFonts w:ascii="Arial" w:cs="Arial" w:eastAsia="Arial" w:hAnsi="Arial"/>
                <w:sz w:val="18"/>
                <w:szCs w:val="18"/>
                <w:color w:val="auto"/>
                <w:w w:val="87"/>
              </w:rPr>
              <w:t>Gross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Gains</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ind w:left="256"/>
              <w:spacing w:after="0"/>
              <w:rPr>
                <w:sz w:val="20"/>
                <w:szCs w:val="20"/>
                <w:color w:val="auto"/>
              </w:rPr>
            </w:pPr>
            <w:r>
              <w:rPr>
                <w:rFonts w:ascii="Arial" w:cs="Arial" w:eastAsia="Arial" w:hAnsi="Arial"/>
                <w:sz w:val="18"/>
                <w:szCs w:val="18"/>
                <w:color w:val="auto"/>
                <w:w w:val="87"/>
              </w:rPr>
              <w:t>Losses</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4"/>
          </w:tcPr>
          <w:p>
            <w:pPr>
              <w:jc w:val="center"/>
              <w:ind w:left="2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57,401</w:t>
            </w:r>
          </w:p>
        </w:tc>
        <w:tc>
          <w:tcPr>
            <w:tcW w:w="12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7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33,523</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(620)</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97,641</w:t>
            </w:r>
          </w:p>
        </w:tc>
        <w:tc>
          <w:tcPr>
            <w:tcW w:w="12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7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(948)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96,693</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There were no securities sold during the three months ended September 30, 2017 or 2016. At September 30, 2017, no investment securities were pledged as collateral to secure outstanding borrowings.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8"/>
              </w:rPr>
              <w:t>September 30, 2017</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36,108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28,969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40,675</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50,512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91,187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7"/>
              </w:rPr>
              <w:t>June 30, 2017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81,854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95,186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months ended September 30, 2017 or 2016.</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At September 30, 2017, the Company had eighteen securities in a continuous loss position for greater than twelve months. At September 30, 2017, all of the Company’s available-for-sale securities were issued or guaranteed by either government agencies or government-sponsored enterprises. The decline in fair value of the Company’s available-for-sale securities at September 30, 2017 is attributable to changes in interest rates.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considering current trends and economic conditions that may affect the quality of individual securities within the Company’s investment portfolio, management of the Company also considers the Company’s ability and intent to hold such securities to maturity or recovery of cost. At September 30, 2017, the Company does not intend to sell and it is not more likely than not that the Company will be required to sell the investment securities before recovery of its amortized cost. As such, management does not believe any of the Company’s available-for-sale securities are other-than-temporarily impaired at September 30, 2017.</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investments measured at net asset value include a fund that seeks to invest in securities either issued or guaranteed by the U.S. government or its agencies, as well as a fund that primarily invests in the federally guaranteed portion of SBA 7(a) loans that adjust quarterly or monthly and are indexed to the Prime Rate. The underlying composition of these funds is primarily government agencies, other investment-grade investments, or the guaranteed portion of SBA 7(a) loans, as applicable. As of September 30, 2017, the effective duration of the fund that seeks to invest in securities either issued or guaranteed by the U.S. government or its agencies is 4.80 years.</w:t>
      </w:r>
    </w:p>
    <w:p>
      <w:pPr>
        <w:sectPr>
          <w:pgSz w:w="11900" w:h="16838" w:orient="portrait"/>
          <w:cols w:equalWidth="0" w:num="1">
            <w:col w:w="11420"/>
          </w:cols>
          <w:pgMar w:left="240" w:top="118"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September 30, 2017. Actual maturities may differ from contractual maturities because borrowers may have the right to call or prepay obligations with or without call or prepayment penalties.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Amortized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Fair</w:t>
            </w:r>
          </w:p>
        </w:tc>
        <w:tc>
          <w:tcPr>
            <w:tcW w:w="228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6"/>
          </w:tcPr>
          <w:p>
            <w:pPr>
              <w:ind w:left="600"/>
              <w:spacing w:after="0"/>
              <w:rPr>
                <w:sz w:val="20"/>
                <w:szCs w:val="20"/>
                <w:color w:val="auto"/>
              </w:rPr>
            </w:pPr>
            <w:r>
              <w:rPr>
                <w:rFonts w:ascii="Arial" w:cs="Arial" w:eastAsia="Arial" w:hAnsi="Arial"/>
                <w:sz w:val="18"/>
                <w:szCs w:val="18"/>
                <w:color w:val="auto"/>
              </w:rPr>
              <w:t>(Dollars in thousands)</w:t>
            </w:r>
          </w:p>
        </w:tc>
        <w:tc>
          <w:tcPr>
            <w:tcW w:w="22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42,251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42,118</w:t>
            </w:r>
          </w:p>
        </w:tc>
        <w:tc>
          <w:tcPr>
            <w:tcW w:w="228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24,251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24,078</w:t>
            </w:r>
          </w:p>
        </w:tc>
        <w:tc>
          <w:tcPr>
            <w:tcW w:w="22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21,648</w:t>
            </w:r>
          </w:p>
        </w:tc>
        <w:tc>
          <w:tcPr>
            <w:tcW w:w="228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Due after ten years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88,579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87,844</w:t>
            </w:r>
          </w:p>
        </w:tc>
        <w:tc>
          <w:tcPr>
            <w:tcW w:w="2280" w:type="dxa"/>
            <w:vAlign w:val="bottom"/>
          </w:tcPr>
          <w:p>
            <w:pPr>
              <w:spacing w:after="0"/>
              <w:rPr>
                <w:sz w:val="19"/>
                <w:szCs w:val="19"/>
                <w:color w:val="auto"/>
              </w:rPr>
            </w:pP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Loans purchased by the Company are accounted for under ASC 310-30, Receivables—Loans and Debt Securities Acquired with Deteriorated Credit Quality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modified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940"/>
              <w:spacing w:after="0"/>
              <w:rPr>
                <w:sz w:val="20"/>
                <w:szCs w:val="20"/>
                <w:color w:val="auto"/>
              </w:rPr>
            </w:pPr>
            <w:r>
              <w:rPr>
                <w:rFonts w:ascii="Arial" w:cs="Arial" w:eastAsia="Arial" w:hAnsi="Arial"/>
                <w:sz w:val="18"/>
                <w:szCs w:val="18"/>
                <w:color w:val="auto"/>
              </w:rPr>
              <w:t>September 30, 2017</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2017</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6"/>
              </w:rPr>
              <w:t>Originated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Purchased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Originated</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16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87,072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87,136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12,954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13,931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14,032</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225,605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471,846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256,280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498,004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182,390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183,493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174,468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175,654</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529,570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230,014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759,584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532,807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779,195</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Total loans include net deferred loan origination costs of $286 thousand and $507 thousand as of September 30, 2017 and June 30, 2017,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color w:val="auto"/>
                <w:w w:val="94"/>
              </w:rPr>
              <w:t>September 30, 2017</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Days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1,570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2,073</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80,170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83,864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12,846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517</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245,417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246,241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182,350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3,954</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524,737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529,570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Residential real estate and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1,159</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2,147</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1,103</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219,452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225,605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2,002</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7,312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222,702</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230,014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747,439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759,584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color w:val="auto"/>
              </w:rPr>
              <w:t>June 30, 2017</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Days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574</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1,398</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81,646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83,759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13,824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2,390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253,890</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256,280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172,035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4,218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525,613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532,807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Residential real estate and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1,082</w:t>
            </w: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2,380</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1,186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236,632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6,190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240,198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6,983</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779,195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residential real estate, commercial real estate, commercial and industrial, consumer, and purchased loans. Risk characteristics relevant to each portfolio segment are as follows:</w:t>
      </w:r>
    </w:p>
    <w:p>
      <w:pPr>
        <w:spacing w:after="0" w:line="188" w:lineRule="exact"/>
        <w:rPr>
          <w:sz w:val="20"/>
          <w:szCs w:val="20"/>
          <w:color w:val="auto"/>
        </w:rPr>
      </w:pPr>
    </w:p>
    <w:p>
      <w:pPr>
        <w:ind w:left="480" w:right="8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80" w:right="140"/>
        <w:spacing w:after="0" w:line="255" w:lineRule="auto"/>
        <w:rPr>
          <w:sz w:val="20"/>
          <w:szCs w:val="20"/>
          <w:color w:val="auto"/>
        </w:rPr>
      </w:pPr>
      <w:r>
        <w:rPr>
          <w:rFonts w:ascii="Arial" w:cs="Arial" w:eastAsia="Arial" w:hAnsi="Arial"/>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and operating statements, with which it monitors the cash flows of these loans. Adverse developments in either of these areas will have an adverse effect on the credit quality of this segment. For purposes of the allowance for loan losses, this segment also includes construction loans.</w:t>
      </w:r>
    </w:p>
    <w:p>
      <w:pPr>
        <w:sectPr>
          <w:pgSz w:w="11900" w:h="16838" w:orient="portrait"/>
          <w:cols w:equalWidth="0" w:num="1">
            <w:col w:w="11420"/>
          </w:cols>
          <w:pgMar w:left="240" w:top="118" w:right="239" w:bottom="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80" w:right="300"/>
        <w:spacing w:after="0" w:line="264" w:lineRule="auto"/>
        <w:rPr>
          <w:sz w:val="20"/>
          <w:szCs w:val="20"/>
          <w:color w:val="auto"/>
        </w:rPr>
      </w:pPr>
      <w:r>
        <w:rPr>
          <w:rFonts w:ascii="Arial" w:cs="Arial" w:eastAsia="Arial" w:hAnsi="Arial"/>
          <w:sz w:val="18"/>
          <w:szCs w:val="18"/>
          <w:color w:val="auto"/>
        </w:rPr>
        <w:t>Commercial and industrial: Loans in this segment are made to businesses and are generally secured by the assets of the business. Repayment is expected from the cash flows of the business.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ind w:left="480" w:right="30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80"/>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general component of the allowance for loan losses for originated loans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allocated component of the allowance for loan losses relates to loans that are classified as impaired. Impairment is measured on a loan-by-loan basis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the loan.</w:t>
      </w:r>
    </w:p>
    <w:p>
      <w:pPr>
        <w:spacing w:after="0" w:line="14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color w:val="auto"/>
                <w:w w:val="98"/>
              </w:rPr>
              <w:t>Three Months Ended September 30, 2017</w:t>
            </w:r>
          </w:p>
        </w:tc>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w w:val="96"/>
              </w:rPr>
              <w:t>Residential</w:t>
            </w:r>
          </w:p>
        </w:tc>
        <w:tc>
          <w:tcPr>
            <w:tcW w:w="10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Provision</w:t>
            </w:r>
          </w:p>
        </w:tc>
        <w:tc>
          <w:tcPr>
            <w:tcW w:w="3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3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3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w:t>
            </w: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35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color w:val="auto"/>
                <w:w w:val="98"/>
              </w:rPr>
              <w:t>Three Months Ended September 30, 2016</w:t>
            </w: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w w:val="96"/>
              </w:rPr>
              <w:t>Residential</w:t>
            </w:r>
          </w:p>
        </w:tc>
        <w:tc>
          <w:tcPr>
            <w:tcW w:w="10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Provision</w:t>
            </w:r>
          </w:p>
        </w:tc>
        <w:tc>
          <w:tcPr>
            <w:tcW w:w="3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3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0"/>
        </w:trPr>
        <w:tc>
          <w:tcPr>
            <w:tcW w:w="3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w:t>
            </w: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Allowance for loan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Individually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Collectively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310-30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September 30, 2017</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940" w:type="dxa"/>
            <w:vAlign w:val="bottom"/>
            <w:gridSpan w:val="2"/>
          </w:tcPr>
          <w:p>
            <w:pPr>
              <w:jc w:val="right"/>
              <w:spacing w:after="0"/>
              <w:rPr>
                <w:sz w:val="20"/>
                <w:szCs w:val="20"/>
                <w:color w:val="auto"/>
              </w:rPr>
            </w:pPr>
            <w:r>
              <w:rPr>
                <w:rFonts w:ascii="Arial" w:cs="Arial" w:eastAsia="Arial" w:hAnsi="Arial"/>
                <w:sz w:val="18"/>
                <w:szCs w:val="18"/>
                <w:color w:val="auto"/>
                <w:w w:val="96"/>
              </w:rPr>
              <w:t>Residential</w:t>
            </w:r>
          </w:p>
        </w:tc>
        <w:tc>
          <w:tcPr>
            <w:tcW w:w="24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and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Industrial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4"/>
        </w:trPr>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4"/>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280</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576</w:t>
            </w:r>
          </w:p>
        </w:tc>
      </w:tr>
      <w:tr>
        <w:trPr>
          <w:trHeight w:val="216"/>
        </w:trPr>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3,148</w:t>
            </w:r>
          </w:p>
        </w:tc>
      </w:tr>
      <w:tr>
        <w:trPr>
          <w:trHeight w:val="230"/>
        </w:trPr>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310</w:t>
            </w:r>
          </w:p>
        </w:tc>
        <w:tc>
          <w:tcPr>
            <w:tcW w:w="48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r>
      <w:tr>
        <w:trPr>
          <w:trHeight w:val="210"/>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4,034</w:t>
            </w:r>
          </w:p>
        </w:tc>
        <w:tc>
          <w:tcPr>
            <w:tcW w:w="20" w:type="dxa"/>
            <w:vAlign w:val="bottom"/>
          </w:tcPr>
          <w:p>
            <w:pPr>
              <w:spacing w:after="0"/>
              <w:rPr>
                <w:sz w:val="18"/>
                <w:szCs w:val="18"/>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-719455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-445135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-162560</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860"/>
          </w:cols>
          <w:pgMar w:left="240" w:top="11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5,739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3,817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2,696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12,569</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242,424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179,694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517,001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ASC 310-30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230,014</w:t>
            </w: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230,014</w:t>
            </w:r>
          </w:p>
        </w:tc>
      </w:tr>
      <w:tr>
        <w:trPr>
          <w:trHeight w:val="20"/>
        </w:trPr>
        <w:tc>
          <w:tcPr>
            <w:tcW w:w="3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96,818</w:t>
            </w: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246,241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182,390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230,014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759,584</w:t>
            </w: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Allowance for loan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Individually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Collectively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310-30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June 30, 2017</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940" w:type="dxa"/>
            <w:vAlign w:val="bottom"/>
            <w:gridSpan w:val="2"/>
          </w:tcPr>
          <w:p>
            <w:pPr>
              <w:jc w:val="right"/>
              <w:spacing w:after="0"/>
              <w:rPr>
                <w:sz w:val="20"/>
                <w:szCs w:val="20"/>
                <w:color w:val="auto"/>
              </w:rPr>
            </w:pPr>
            <w:r>
              <w:rPr>
                <w:rFonts w:ascii="Arial" w:cs="Arial" w:eastAsia="Arial" w:hAnsi="Arial"/>
                <w:sz w:val="18"/>
                <w:szCs w:val="18"/>
                <w:color w:val="auto"/>
                <w:w w:val="96"/>
              </w:rPr>
              <w:t>Residential</w:t>
            </w:r>
          </w:p>
        </w:tc>
        <w:tc>
          <w:tcPr>
            <w:tcW w:w="24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and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Industrial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4"/>
        </w:trPr>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4"/>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252</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552</w:t>
            </w:r>
          </w:p>
        </w:tc>
      </w:tr>
      <w:tr>
        <w:trPr>
          <w:trHeight w:val="216"/>
        </w:trPr>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2,810</w:t>
            </w:r>
          </w:p>
        </w:tc>
      </w:tr>
      <w:tr>
        <w:trPr>
          <w:trHeight w:val="230"/>
        </w:trPr>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48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r>
      <w:tr>
        <w:trPr>
          <w:trHeight w:val="210"/>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20" w:type="dxa"/>
            <w:vAlign w:val="bottom"/>
          </w:tcPr>
          <w:p>
            <w:pPr>
              <w:spacing w:after="0"/>
              <w:rPr>
                <w:sz w:val="18"/>
                <w:szCs w:val="18"/>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-719455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-445135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-162560</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860"/>
          </w:cols>
          <w:pgMar w:left="240" w:top="11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5,676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1,759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2,694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10,425</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254,521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171,774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522,382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ASC 310-30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246,388</w:t>
            </w: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r>
      <w:tr>
        <w:trPr>
          <w:trHeight w:val="20"/>
        </w:trPr>
        <w:tc>
          <w:tcPr>
            <w:tcW w:w="3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97,690</w:t>
            </w: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256,280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174,468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246,388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779,195</w:t>
            </w: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4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8"/>
              </w:rPr>
              <w:t>September 30, 2017</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2017</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4"/>
              </w:rPr>
              <w:t>Unpaid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w w:val="99"/>
              </w:rPr>
              <w:t>Recorded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Principal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Related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Investment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Allowance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Investment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6"/>
          </w:tcPr>
          <w:p>
            <w:pPr>
              <w:ind w:left="26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 valuation</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4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1,870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1,056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18,829</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16,315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7"/>
              </w:rPr>
              <w:t>Impaired loans with a valuation allowance: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824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3,914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3,528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7,516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impaired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26,347</w:t>
            </w:r>
          </w:p>
        </w:tc>
        <w:tc>
          <w:tcPr>
            <w:tcW w:w="4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8"/>
                <w:szCs w:val="18"/>
                <w:color w:val="auto"/>
                <w:w w:val="89"/>
              </w:rPr>
              <w:t>Three Months Ended September 30,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6"/>
          </w:tcPr>
          <w:p>
            <w:pPr>
              <w:jc w:val="center"/>
              <w:ind w:right="30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4,499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impaired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and industrial, and certain residential loans as follows: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w w:val="91"/>
              </w:rPr>
              <w:t>September 30, 2017</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120" w:type="dxa"/>
            <w:vAlign w:val="bottom"/>
            <w:vMerge w:val="restart"/>
          </w:tcPr>
          <w:p>
            <w:pPr>
              <w:ind w:left="20"/>
              <w:spacing w:after="0"/>
              <w:rPr>
                <w:sz w:val="20"/>
                <w:szCs w:val="20"/>
                <w:color w:val="auto"/>
              </w:rPr>
            </w:pPr>
            <w:r>
              <w:rPr>
                <w:rFonts w:ascii="Arial" w:cs="Arial" w:eastAsia="Arial" w:hAnsi="Arial"/>
                <w:sz w:val="18"/>
                <w:szCs w:val="18"/>
                <w:color w:val="auto"/>
                <w:w w:val="95"/>
              </w:rPr>
              <w:t>Residential</w:t>
            </w:r>
            <w:r>
              <w:rPr>
                <w:rFonts w:ascii="Arial" w:cs="Arial" w:eastAsia="Arial" w:hAnsi="Arial"/>
                <w:sz w:val="30"/>
                <w:szCs w:val="30"/>
                <w:color w:val="auto"/>
                <w:w w:val="95"/>
                <w:vertAlign w:val="superscript"/>
              </w:rPr>
              <w:t>(1)</w:t>
            </w:r>
          </w:p>
        </w:tc>
        <w:tc>
          <w:tcPr>
            <w:tcW w:w="20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and Industrial</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15,282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214,451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649,485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8,244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246,241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182,390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16,151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230,014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674,796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92"/>
              </w:rPr>
              <w:t>June 30, 2017</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120" w:type="dxa"/>
            <w:vAlign w:val="bottom"/>
            <w:vMerge w:val="restart"/>
          </w:tcPr>
          <w:p>
            <w:pPr>
              <w:ind w:left="20"/>
              <w:spacing w:after="0"/>
              <w:rPr>
                <w:sz w:val="20"/>
                <w:szCs w:val="20"/>
                <w:color w:val="auto"/>
              </w:rPr>
            </w:pPr>
            <w:r>
              <w:rPr>
                <w:rFonts w:ascii="Arial" w:cs="Arial" w:eastAsia="Arial" w:hAnsi="Arial"/>
                <w:sz w:val="18"/>
                <w:szCs w:val="18"/>
                <w:color w:val="auto"/>
                <w:w w:val="95"/>
              </w:rPr>
              <w:t>Residential</w:t>
            </w:r>
            <w:r>
              <w:rPr>
                <w:rFonts w:ascii="Arial" w:cs="Arial" w:eastAsia="Arial" w:hAnsi="Arial"/>
                <w:sz w:val="30"/>
                <w:szCs w:val="30"/>
                <w:color w:val="auto"/>
                <w:w w:val="95"/>
                <w:vertAlign w:val="superscript"/>
              </w:rPr>
              <w:t>(1)</w:t>
            </w:r>
          </w:p>
        </w:tc>
        <w:tc>
          <w:tcPr>
            <w:tcW w:w="20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and Industrial</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10,039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229,980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664,220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14,862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256,281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174,468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10,932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246,388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688,069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20" w:right="1520" w:hanging="269"/>
        <w:spacing w:after="0" w:line="277" w:lineRule="auto"/>
        <w:tabs>
          <w:tab w:leader="none" w:pos="3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had consumer mortgage loans secured by residential real estate properties for which formal foreclosure proceedings were in process according to local requirements of the applicable jurisdictions totaling $458 thousand at September 30, 2017, compared to $543 thousand at June 30, 2017.</w:t>
      </w:r>
    </w:p>
    <w:p>
      <w:pPr>
        <w:sectPr>
          <w:pgSz w:w="11900" w:h="16838" w:orient="portrait"/>
          <w:cols w:equalWidth="0" w:num="1">
            <w:col w:w="11420"/>
          </w:cols>
          <w:pgMar w:left="240" w:top="118"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color w:val="auto"/>
                <w:w w:val="89"/>
              </w:rPr>
              <w:t>Three Months Ended September 30,</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99"/>
              </w:rPr>
              <w:t>2016</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3400" w:type="dxa"/>
            <w:vAlign w:val="bottom"/>
          </w:tcPr>
          <w:p>
            <w:pPr>
              <w:spacing w:after="0"/>
              <w:rPr>
                <w:sz w:val="16"/>
                <w:szCs w:val="16"/>
                <w:color w:val="auto"/>
              </w:rPr>
            </w:pPr>
          </w:p>
        </w:tc>
        <w:tc>
          <w:tcPr>
            <w:tcW w:w="1460" w:type="dxa"/>
            <w:vAlign w:val="bottom"/>
            <w:gridSpan w:val="2"/>
          </w:tcPr>
          <w:p>
            <w:pPr>
              <w:ind w:left="240"/>
              <w:spacing w:after="0" w:line="195" w:lineRule="exact"/>
              <w:rPr>
                <w:sz w:val="20"/>
                <w:szCs w:val="20"/>
                <w:color w:val="auto"/>
              </w:rPr>
            </w:pPr>
            <w:r>
              <w:rPr>
                <w:rFonts w:ascii="Arial" w:cs="Arial" w:eastAsia="Arial" w:hAnsi="Arial"/>
                <w:sz w:val="18"/>
                <w:szCs w:val="18"/>
                <w:color w:val="auto"/>
              </w:rPr>
              <w:t>Number of</w:t>
            </w:r>
          </w:p>
        </w:tc>
        <w:tc>
          <w:tcPr>
            <w:tcW w:w="180" w:type="dxa"/>
            <w:vAlign w:val="bottom"/>
          </w:tcPr>
          <w:p>
            <w:pPr>
              <w:spacing w:after="0"/>
              <w:rPr>
                <w:sz w:val="16"/>
                <w:szCs w:val="16"/>
                <w:color w:val="auto"/>
              </w:rPr>
            </w:pPr>
          </w:p>
        </w:tc>
        <w:tc>
          <w:tcPr>
            <w:tcW w:w="11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6"/>
                <w:szCs w:val="16"/>
                <w:color w:val="auto"/>
              </w:rPr>
            </w:pPr>
          </w:p>
        </w:tc>
        <w:tc>
          <w:tcPr>
            <w:tcW w:w="1100" w:type="dxa"/>
            <w:vAlign w:val="bottom"/>
          </w:tcPr>
          <w:p>
            <w:pPr>
              <w:jc w:val="center"/>
              <w:ind w:left="70"/>
              <w:spacing w:after="0" w:line="195" w:lineRule="exact"/>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10"/>
              <w:spacing w:after="0" w:line="195" w:lineRule="exact"/>
              <w:rPr>
                <w:sz w:val="20"/>
                <w:szCs w:val="20"/>
                <w:color w:val="auto"/>
              </w:rPr>
            </w:pPr>
            <w:r>
              <w:rPr>
                <w:rFonts w:ascii="Arial" w:cs="Arial" w:eastAsia="Arial" w:hAnsi="Arial"/>
                <w:sz w:val="18"/>
                <w:szCs w:val="18"/>
                <w:color w:val="auto"/>
                <w:w w:val="99"/>
              </w:rPr>
              <w:t>Recorded</w:t>
            </w:r>
          </w:p>
        </w:tc>
        <w:tc>
          <w:tcPr>
            <w:tcW w:w="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Investment</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0"/>
              </w:rPr>
              <w:t>Contracts</w:t>
            </w:r>
          </w:p>
        </w:tc>
        <w:tc>
          <w:tcPr>
            <w:tcW w:w="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Investment</w:t>
            </w:r>
          </w:p>
        </w:tc>
        <w:tc>
          <w:tcPr>
            <w:tcW w:w="8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3"/>
          </w:tcPr>
          <w:p>
            <w:pPr>
              <w:jc w:val="center"/>
              <w:spacing w:after="0"/>
              <w:rPr>
                <w:sz w:val="20"/>
                <w:szCs w:val="20"/>
                <w:color w:val="auto"/>
              </w:rPr>
            </w:pPr>
            <w:r>
              <w:rPr>
                <w:rFonts w:ascii="Arial" w:cs="Arial" w:eastAsia="Arial" w:hAnsi="Arial"/>
                <w:sz w:val="18"/>
                <w:szCs w:val="18"/>
                <w:color w:val="auto"/>
                <w:w w:val="91"/>
              </w:rPr>
              <w:t>(Dollars in thousands)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Adjusted interest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Principal deferment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655</w:t>
            </w:r>
          </w:p>
        </w:tc>
        <w:tc>
          <w:tcPr>
            <w:tcW w:w="1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40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673</w:t>
            </w:r>
          </w:p>
        </w:tc>
        <w:tc>
          <w:tcPr>
            <w:tcW w:w="1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r>
      <w:tr>
        <w:trPr>
          <w:trHeight w:val="20"/>
        </w:trPr>
        <w:tc>
          <w:tcPr>
            <w:tcW w:w="34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color w:val="auto"/>
                <w:w w:val="89"/>
              </w:rPr>
              <w:t>Three Months Ended September 30,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Investment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r>
      <w:tr>
        <w:trPr>
          <w:trHeight w:val="216"/>
        </w:trPr>
        <w:tc>
          <w:tcPr>
            <w:tcW w:w="334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Post-</w:t>
            </w:r>
          </w:p>
        </w:tc>
        <w:tc>
          <w:tcPr>
            <w:tcW w:w="1340" w:type="dxa"/>
            <w:vAlign w:val="bottom"/>
            <w:gridSpan w:val="2"/>
          </w:tcPr>
          <w:p>
            <w:pPr>
              <w:ind w:left="18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Post-</w:t>
            </w:r>
          </w:p>
        </w:tc>
      </w:tr>
      <w:tr>
        <w:trPr>
          <w:trHeight w:val="216"/>
        </w:trPr>
        <w:tc>
          <w:tcPr>
            <w:tcW w:w="3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88"/>
              </w:rPr>
              <w:t>Pre-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40" w:type="dxa"/>
            <w:vAlign w:val="bottom"/>
          </w:tcPr>
          <w:p>
            <w:pPr>
              <w:spacing w:after="0"/>
              <w:rPr>
                <w:sz w:val="20"/>
                <w:szCs w:val="20"/>
                <w:color w:val="auto"/>
              </w:rPr>
            </w:pPr>
          </w:p>
        </w:tc>
        <w:tc>
          <w:tcPr>
            <w:tcW w:w="10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Contracts</w:t>
            </w:r>
          </w:p>
        </w:tc>
        <w:tc>
          <w:tcPr>
            <w:tcW w:w="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7"/>
              </w:rPr>
              <w:t>Modification</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Modification</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Contracts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Modification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Modification</w:t>
            </w: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Purchased portfolio:</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0"/>
        </w:trPr>
        <w:tc>
          <w:tcPr>
            <w:tcW w:w="3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0"/>
        </w:trPr>
        <w:tc>
          <w:tcPr>
            <w:tcW w:w="33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3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673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r>
      <w:tr>
        <w:trPr>
          <w:trHeight w:val="20"/>
        </w:trPr>
        <w:tc>
          <w:tcPr>
            <w:tcW w:w="3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considers TDRs past due 90 days or more to be in payment default. No loans modified in a TDR in the last twelve months defaulted during the three months ended September 30, 2017. As of September 30, 2017, there were no further commitments to lend to borrowers associated with loans modified in a TDR.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summary of loans accounted for under ASC 310-30 that were acquired by the Company during the period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color w:val="auto"/>
                <w:w w:val="98"/>
              </w:rPr>
              <w:t>Three Months Ended</w:t>
            </w:r>
          </w:p>
        </w:tc>
        <w:tc>
          <w:tcPr>
            <w:tcW w:w="1640" w:type="dxa"/>
            <w:vAlign w:val="bottom"/>
            <w:gridSpan w:val="3"/>
          </w:tcPr>
          <w:p>
            <w:pPr>
              <w:ind w:left="20"/>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September 30, 2017</w:t>
            </w:r>
          </w:p>
        </w:tc>
        <w:tc>
          <w:tcPr>
            <w:tcW w:w="160" w:type="dxa"/>
            <w:vAlign w:val="bottom"/>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September 30, 2016</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gridSpan w:val="3"/>
          </w:tcPr>
          <w:p>
            <w:pPr>
              <w:ind w:left="380"/>
              <w:spacing w:after="0"/>
              <w:rPr>
                <w:sz w:val="20"/>
                <w:szCs w:val="20"/>
                <w:color w:val="auto"/>
              </w:rPr>
            </w:pPr>
            <w:r>
              <w:rPr>
                <w:rFonts w:ascii="Arial" w:cs="Arial" w:eastAsia="Arial" w:hAnsi="Arial"/>
                <w:sz w:val="18"/>
                <w:szCs w:val="18"/>
                <w:color w:val="auto"/>
                <w:w w:val="99"/>
              </w:rPr>
              <w:t>(Dollars in thousands)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5,912</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26,254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4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8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(2,517)</w:t>
            </w:r>
          </w:p>
        </w:tc>
      </w:tr>
      <w:tr>
        <w:trPr>
          <w:trHeight w:val="20"/>
        </w:trPr>
        <w:tc>
          <w:tcPr>
            <w:tcW w:w="5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4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5,755</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23,737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Accretable yield</w:t>
            </w:r>
          </w:p>
        </w:tc>
        <w:tc>
          <w:tcPr>
            <w:tcW w:w="4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(2,104)</w:t>
            </w:r>
          </w:p>
        </w:tc>
        <w:tc>
          <w:tcPr>
            <w:tcW w:w="8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(9,884)</w:t>
            </w:r>
          </w:p>
        </w:tc>
      </w:tr>
      <w:tr>
        <w:trPr>
          <w:trHeight w:val="20"/>
        </w:trPr>
        <w:tc>
          <w:tcPr>
            <w:tcW w:w="5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3,651</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13,853</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Certain loans accounted for under ASC 310-30 that were acquired by the Company are not accounted for using the income recognition model because the Company cannot reasonably estimate cash flows expected to be collected. These loans when acquired are placed on non-accrual. The carrying amounts of such loans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As of and for the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As of and for the</w:t>
            </w:r>
          </w:p>
        </w:tc>
      </w:tr>
      <w:tr>
        <w:trPr>
          <w:trHeight w:val="216"/>
        </w:trPr>
        <w:tc>
          <w:tcPr>
            <w:tcW w:w="578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September 30, 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September 30, 2016</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6"/>
          </w:tcPr>
          <w:p>
            <w:pPr>
              <w:ind w:left="72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1,103</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Loans at end of period</w:t>
            </w: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6,032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4,439</w:t>
            </w:r>
          </w:p>
        </w:tc>
      </w:tr>
    </w:tbl>
    <w:p>
      <w:pPr>
        <w:spacing w:after="0" w:line="187" w:lineRule="exact"/>
        <w:rPr>
          <w:sz w:val="20"/>
          <w:szCs w:val="20"/>
          <w:color w:val="auto"/>
        </w:rPr>
      </w:pPr>
    </w:p>
    <w:p>
      <w:pPr>
        <w:sectPr>
          <w:pgSz w:w="11900" w:h="16838" w:orient="portrait"/>
          <w:cols w:equalWidth="0" w:num="1">
            <w:col w:w="11420"/>
          </w:cols>
          <w:pgMar w:left="240" w:top="118" w:right="239" w:bottom="717" w:gutter="0" w:footer="0" w:header="0"/>
        </w:sect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717"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gridSpan w:val="4"/>
          </w:tcPr>
          <w:p>
            <w:pPr>
              <w:spacing w:after="0"/>
              <w:rPr>
                <w:sz w:val="20"/>
                <w:szCs w:val="20"/>
                <w:color w:val="auto"/>
              </w:rPr>
            </w:pPr>
            <w:r>
              <w:rPr>
                <w:rFonts w:ascii="Arial" w:cs="Arial" w:eastAsia="Arial" w:hAnsi="Arial"/>
                <w:sz w:val="18"/>
                <w:szCs w:val="18"/>
                <w:color w:val="auto"/>
                <w:w w:val="99"/>
              </w:rPr>
              <w:t>The following tables summarize the activity in the accretable yield for loans accounted for under ASC 310-30.</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6900" w:type="dxa"/>
            <w:vAlign w:val="bottom"/>
          </w:tcPr>
          <w:p>
            <w:pPr>
              <w:spacing w:after="0"/>
              <w:rPr>
                <w:sz w:val="24"/>
                <w:szCs w:val="24"/>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color w:val="auto"/>
              </w:rPr>
              <w:t>Three Months Ended</w:t>
            </w:r>
          </w:p>
        </w:tc>
        <w:tc>
          <w:tcPr>
            <w:tcW w:w="1620" w:type="dxa"/>
            <w:vAlign w:val="bottom"/>
            <w:gridSpan w:val="3"/>
          </w:tcPr>
          <w:p>
            <w:pPr>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690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September 30, 2017</w:t>
            </w:r>
          </w:p>
        </w:tc>
        <w:tc>
          <w:tcPr>
            <w:tcW w:w="220" w:type="dxa"/>
            <w:vAlign w:val="bottom"/>
          </w:tcPr>
          <w:p>
            <w:pPr>
              <w:spacing w:after="0"/>
              <w:rPr>
                <w:sz w:val="20"/>
                <w:szCs w:val="20"/>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9"/>
              </w:rPr>
              <w:t>September 30, 2016</w:t>
            </w:r>
          </w:p>
        </w:tc>
        <w:tc>
          <w:tcPr>
            <w:tcW w:w="100" w:type="dxa"/>
            <w:vAlign w:val="bottom"/>
          </w:tcPr>
          <w:p>
            <w:pPr>
              <w:spacing w:after="0"/>
              <w:rPr>
                <w:sz w:val="20"/>
                <w:szCs w:val="20"/>
                <w:color w:val="auto"/>
              </w:rPr>
            </w:pPr>
          </w:p>
        </w:tc>
      </w:tr>
      <w:tr>
        <w:trPr>
          <w:trHeight w:val="210"/>
        </w:trPr>
        <w:tc>
          <w:tcPr>
            <w:tcW w:w="6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gridSpan w:val="3"/>
          </w:tcPr>
          <w:p>
            <w:pPr>
              <w:ind w:left="380"/>
              <w:spacing w:after="0"/>
              <w:rPr>
                <w:sz w:val="20"/>
                <w:szCs w:val="20"/>
                <w:color w:val="auto"/>
              </w:rPr>
            </w:pPr>
            <w:r>
              <w:rPr>
                <w:rFonts w:ascii="Arial" w:cs="Arial" w:eastAsia="Arial" w:hAnsi="Arial"/>
                <w:sz w:val="18"/>
                <w:szCs w:val="18"/>
                <w:color w:val="auto"/>
                <w:w w:val="97"/>
              </w:rPr>
              <w:t>(Dollars in 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131,197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124,151</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Acquisitions</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(4,425)</w:t>
            </w:r>
          </w:p>
        </w:tc>
        <w:tc>
          <w:tcPr>
            <w:tcW w:w="8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(4,652)</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(1,105)</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(9,381)</w:t>
            </w:r>
          </w:p>
        </w:tc>
        <w:tc>
          <w:tcPr>
            <w:tcW w:w="8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(4,255)</w:t>
            </w:r>
          </w:p>
        </w:tc>
      </w:tr>
      <w:tr>
        <w:trPr>
          <w:trHeight w:val="210"/>
        </w:trPr>
        <w:tc>
          <w:tcPr>
            <w:tcW w:w="6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122,923</w:t>
            </w: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124,023</w:t>
            </w:r>
          </w:p>
        </w:tc>
        <w:tc>
          <w:tcPr>
            <w:tcW w:w="100" w:type="dxa"/>
            <w:vAlign w:val="bottom"/>
            <w:tcBorders>
              <w:top w:val="single" w:sz="8" w:color="CCEEFF"/>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September 30, 2017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7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June 30, 2017 (1)</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6"/>
          </w:tcPr>
          <w:p>
            <w:pPr>
              <w:ind w:left="46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380" w:type="dxa"/>
            <w:vAlign w:val="bottom"/>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252,516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271,709</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Carrying amount</w:t>
            </w:r>
          </w:p>
        </w:tc>
        <w:tc>
          <w:tcPr>
            <w:tcW w:w="38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223,503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239,583</w:t>
            </w:r>
          </w:p>
        </w:tc>
      </w:tr>
    </w:tbl>
    <w:p>
      <w:pPr>
        <w:spacing w:after="0" w:line="187" w:lineRule="exact"/>
        <w:rPr>
          <w:sz w:val="20"/>
          <w:szCs w:val="20"/>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Balances include loans held for sale of $1.2 million at September 30, 2017 and $0 at June 30, 2017.</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and Servicing of Financial Assets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sells loans in the secondary market and for certain loans, retains the servicing responsibility. Consideration for the sale includes the cash received as well as the related servicing rights asset. The Company receives fees for the services provided.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Capitalized servicing rights as of September 30, 2017 totaled $3.0 million, compared to $2.8 million as of June 30, 2017, and are classified as servicing rights, net, on the consolidated balance sheets.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Mortgage loans sold in the quarter ended September 30, 2017 totaled $19.2 million, compared to $25.0 million in the quarter ended September 30, 2016. Mortgage loans serviced for others totaled $9.9 million at September 30, 2017 and $10.7 million at June 30, 2017. Additionally, the Company was servicing commercial loans participated out to various other institutions amounting to $27.3 million and $25.2 million at September 30, 2017 and June 30, 2017, respectively.</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SBA loans sold during the quarter ended September 30, 2017 totaled $9.1 million, compared to $7.4 million in the quarter ended September 30, 2016. SBA loans serviced for others totaled $148.6 million at September 30, 2017 and $144.4 million at June 30, 2017.</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Mortgage and SBA loans serviced for others are accounted for as sales and therefore are not included in the accompanying consolidated balance sheets. The risks inherent in mortgage servicing assets and SBA servicing assets relate primarily to changes in prepayments that result from shifts in interest rates.</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Contractually specified servicing fees were $262 thousand and $160 thousand for the quarters ended September 30, 2017 and 2016, respectively, and were included as a component of loan related fees within non-interest income.</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significant assumptions used in the valuation for mortgage servicing rights as of September 30, 2017 included a weighted average discount rate of 7.3% and a weighted average prepayment speed assumption of 14.4%. For the SBA servicing rights, the significant assumptions used in the valuation included a range of discount rates from 10.1% to 14.9% and a weighted average prepayment speed assumption of 7.9%.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(including participating securities). The Company’s only participating securities are unvested restricted stock awards that contain non-forfeitable rights to dividends.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6"/>
          </w:tcPr>
          <w:p>
            <w:pPr>
              <w:jc w:val="center"/>
              <w:ind w:right="320"/>
              <w:spacing w:after="0"/>
              <w:rPr>
                <w:sz w:val="20"/>
                <w:szCs w:val="20"/>
                <w:color w:val="auto"/>
              </w:rPr>
            </w:pPr>
            <w:r>
              <w:rPr>
                <w:rFonts w:ascii="Arial" w:cs="Arial" w:eastAsia="Arial" w:hAnsi="Arial"/>
                <w:sz w:val="18"/>
                <w:szCs w:val="18"/>
                <w:color w:val="auto"/>
                <w:w w:val="88"/>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84"/>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gridSpan w:val="6"/>
          </w:tcPr>
          <w:p>
            <w:pPr>
              <w:jc w:val="center"/>
              <w:ind w:right="300"/>
              <w:spacing w:after="0" w:line="195" w:lineRule="exact"/>
              <w:rPr>
                <w:sz w:val="20"/>
                <w:szCs w:val="20"/>
                <w:color w:val="auto"/>
              </w:rPr>
            </w:pPr>
            <w:r>
              <w:rPr>
                <w:rFonts w:ascii="Arial" w:cs="Arial" w:eastAsia="Arial" w:hAnsi="Arial"/>
                <w:sz w:val="18"/>
                <w:szCs w:val="18"/>
                <w:color w:val="auto"/>
                <w:w w:val="89"/>
              </w:rPr>
              <w:t>(Dollars in thousands, except share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4"/>
          </w:tcPr>
          <w:p>
            <w:pPr>
              <w:jc w:val="center"/>
              <w:ind w:left="650"/>
              <w:spacing w:after="0"/>
              <w:rPr>
                <w:sz w:val="20"/>
                <w:szCs w:val="20"/>
                <w:color w:val="auto"/>
              </w:rPr>
            </w:pPr>
            <w:r>
              <w:rPr>
                <w:rFonts w:ascii="Arial" w:cs="Arial" w:eastAsia="Arial" w:hAnsi="Arial"/>
                <w:sz w:val="18"/>
                <w:szCs w:val="18"/>
                <w:color w:val="auto"/>
                <w:w w:val="86"/>
              </w:rPr>
              <w:t>and per share data)</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4,586</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basic EPS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8,841,511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9,106,144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Incremental shares from assumed exercise of dilutive securities</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248,425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diluted EPS</w:t>
            </w: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9,089,936</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9,133,383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0.52</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three months ended September 30, 2017 and 2016, the following stock options were excluded from the calculation of diluted EPS due to the exercise price of these options exceeding the average market price of the Company’s common stock for the period.</w:t>
      </w:r>
    </w:p>
    <w:p>
      <w:pPr>
        <w:spacing w:after="0" w:line="17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Three Months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r>
      <w:tr>
        <w:trPr>
          <w:trHeight w:val="210"/>
        </w:trPr>
        <w:tc>
          <w:tcPr>
            <w:tcW w:w="6800" w:type="dxa"/>
            <w:vAlign w:val="bottom"/>
            <w:gridSpan w:val="2"/>
            <w:shd w:val="clear" w:color="auto" w:fill="CCEEFF"/>
          </w:tcPr>
          <w:p>
            <w:pPr>
              <w:jc w:val="right"/>
              <w:ind w:right="5710"/>
              <w:spacing w:after="0"/>
              <w:rPr>
                <w:sz w:val="20"/>
                <w:szCs w:val="20"/>
                <w:color w:val="auto"/>
              </w:rPr>
            </w:pPr>
            <w:r>
              <w:rPr>
                <w:rFonts w:ascii="Arial" w:cs="Arial" w:eastAsia="Arial" w:hAnsi="Arial"/>
                <w:sz w:val="18"/>
                <w:szCs w:val="18"/>
                <w:color w:val="auto"/>
                <w:w w:val="90"/>
              </w:rPr>
              <w:t>Stock options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81,004</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714,545</w:t>
            </w:r>
          </w:p>
        </w:tc>
      </w:tr>
    </w:tbl>
    <w:p>
      <w:pPr>
        <w:spacing w:after="0" w:line="198"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pacing w:after="0" w:line="16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September 30, 2017, the Company had posted cash collateral totaling $1.7 million with dealer banks related to derivative instruments in a net liability position.</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Policies—Derivative Instruments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Management—Cash Flow Hedging Instruments</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ectPr>
          <w:pgSz w:w="11900" w:h="16838" w:orient="portrait"/>
          <w:cols w:equalWidth="0" w:num="1">
            <w:col w:w="11380"/>
          </w:cols>
          <w:pgMar w:left="240" w:top="118" w:right="279" w:bottom="1440" w:gutter="0" w:footer="0" w:header="0"/>
        </w:sectPr>
      </w:pP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2017</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Notional</w:t>
            </w:r>
          </w:p>
        </w:tc>
        <w:tc>
          <w:tcPr>
            <w:tcW w:w="1140" w:type="dxa"/>
            <w:vAlign w:val="bottom"/>
            <w:tcBorders>
              <w:top w:val="single" w:sz="8" w:color="auto"/>
            </w:tcBorders>
            <w:gridSpan w:val="2"/>
          </w:tcPr>
          <w:p>
            <w:pPr>
              <w:jc w:val="center"/>
              <w:ind w:right="100"/>
              <w:spacing w:after="0" w:line="195" w:lineRule="exact"/>
              <w:rPr>
                <w:sz w:val="20"/>
                <w:szCs w:val="20"/>
                <w:color w:val="auto"/>
              </w:rPr>
            </w:pPr>
            <w:r>
              <w:rPr>
                <w:rFonts w:ascii="Arial" w:cs="Arial" w:eastAsia="Arial" w:hAnsi="Arial"/>
                <w:sz w:val="18"/>
                <w:szCs w:val="18"/>
                <w:color w:val="auto"/>
                <w:w w:val="93"/>
              </w:rPr>
              <w:t>Inception</w:t>
            </w:r>
          </w:p>
        </w:tc>
        <w:tc>
          <w:tcPr>
            <w:tcW w:w="1140" w:type="dxa"/>
            <w:vAlign w:val="bottom"/>
            <w:tcBorders>
              <w:top w:val="single" w:sz="8" w:color="auto"/>
            </w:tcBorders>
            <w:gridSpan w:val="2"/>
          </w:tcPr>
          <w:p>
            <w:pPr>
              <w:jc w:val="center"/>
              <w:ind w:right="100"/>
              <w:spacing w:after="0" w:line="195" w:lineRule="exact"/>
              <w:rPr>
                <w:sz w:val="20"/>
                <w:szCs w:val="20"/>
                <w:color w:val="auto"/>
              </w:rPr>
            </w:pPr>
            <w:r>
              <w:rPr>
                <w:rFonts w:ascii="Arial" w:cs="Arial" w:eastAsia="Arial" w:hAnsi="Arial"/>
                <w:sz w:val="18"/>
                <w:szCs w:val="18"/>
                <w:color w:val="auto"/>
                <w:w w:val="92"/>
              </w:rPr>
              <w:t>Termination</w:t>
            </w: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190"/>
              <w:spacing w:after="0" w:line="195" w:lineRule="exact"/>
              <w:rPr>
                <w:sz w:val="20"/>
                <w:szCs w:val="20"/>
                <w:color w:val="auto"/>
              </w:rPr>
            </w:pPr>
            <w:r>
              <w:rPr>
                <w:rFonts w:ascii="Arial" w:cs="Arial" w:eastAsia="Arial" w:hAnsi="Arial"/>
                <w:sz w:val="18"/>
                <w:szCs w:val="18"/>
                <w:color w:val="auto"/>
                <w:w w:val="89"/>
              </w:rPr>
              <w:t>Receive</w:t>
            </w: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200"/>
              <w:spacing w:after="0" w:line="195" w:lineRule="exact"/>
              <w:rPr>
                <w:sz w:val="20"/>
                <w:szCs w:val="20"/>
                <w:color w:val="auto"/>
              </w:rPr>
            </w:pPr>
            <w:r>
              <w:rPr>
                <w:rFonts w:ascii="Arial" w:cs="Arial" w:eastAsia="Arial" w:hAnsi="Arial"/>
                <w:sz w:val="18"/>
                <w:szCs w:val="18"/>
                <w:color w:val="auto"/>
                <w:w w:val="92"/>
              </w:rPr>
              <w:t>Unrealized</w:t>
            </w:r>
          </w:p>
        </w:tc>
        <w:tc>
          <w:tcPr>
            <w:tcW w:w="2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left="10"/>
              <w:spacing w:after="0" w:line="195" w:lineRule="exact"/>
              <w:rPr>
                <w:sz w:val="20"/>
                <w:szCs w:val="20"/>
                <w:color w:val="auto"/>
              </w:rPr>
            </w:pPr>
            <w:r>
              <w:rPr>
                <w:rFonts w:ascii="Arial" w:cs="Arial" w:eastAsia="Arial" w:hAnsi="Arial"/>
                <w:sz w:val="18"/>
                <w:szCs w:val="18"/>
                <w:color w:val="auto"/>
                <w:w w:val="87"/>
              </w:rPr>
              <w:t>Balance Sheet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Amount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Date</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Index</w:t>
            </w:r>
          </w:p>
        </w:tc>
        <w:tc>
          <w:tcPr>
            <w:tcW w:w="1180" w:type="dxa"/>
            <w:vAlign w:val="bottom"/>
            <w:gridSpan w:val="2"/>
          </w:tcPr>
          <w:p>
            <w:pPr>
              <w:jc w:val="center"/>
              <w:ind w:right="190"/>
              <w:spacing w:after="0"/>
              <w:rPr>
                <w:sz w:val="20"/>
                <w:szCs w:val="20"/>
                <w:color w:val="auto"/>
              </w:rPr>
            </w:pPr>
            <w:r>
              <w:rPr>
                <w:rFonts w:ascii="Arial" w:cs="Arial" w:eastAsia="Arial" w:hAnsi="Arial"/>
                <w:sz w:val="18"/>
                <w:szCs w:val="18"/>
                <w:color w:val="auto"/>
                <w:w w:val="89"/>
              </w:rPr>
              <w:t>Rate</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Pay Rate</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Strike Rate</w:t>
            </w: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Loss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Fair Value</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spacing w:after="0"/>
              <w:rPr>
                <w:sz w:val="20"/>
                <w:szCs w:val="20"/>
                <w:color w:val="auto"/>
              </w:rPr>
            </w:pPr>
            <w:r>
              <w:rPr>
                <w:rFonts w:ascii="Arial" w:cs="Arial" w:eastAsia="Arial" w:hAnsi="Arial"/>
                <w:sz w:val="18"/>
                <w:szCs w:val="18"/>
                <w:color w:val="auto"/>
              </w:rPr>
              <w:t>in</w:t>
            </w: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thousands)</w:t>
            </w: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2380" w:type="dxa"/>
            <w:vAlign w:val="bottom"/>
            <w:gridSpan w:val="4"/>
          </w:tcPr>
          <w:p>
            <w:pPr>
              <w:jc w:val="right"/>
              <w:ind w:right="100"/>
              <w:spacing w:after="0"/>
              <w:rPr>
                <w:sz w:val="20"/>
                <w:szCs w:val="20"/>
                <w:color w:val="auto"/>
              </w:rPr>
            </w:pPr>
            <w:r>
              <w:rPr>
                <w:rFonts w:ascii="Arial" w:cs="Arial" w:eastAsia="Arial" w:hAnsi="Arial"/>
                <w:sz w:val="18"/>
                <w:szCs w:val="18"/>
                <w:color w:val="auto"/>
              </w:rPr>
              <w:t>July 2033   3 Mo. LIBOR</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1.33%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(657)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(657)</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2013</w:t>
            </w:r>
          </w:p>
        </w:tc>
        <w:tc>
          <w:tcPr>
            <w:tcW w:w="2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July 2028   3 Mo. LIBOR</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180" w:type="dxa"/>
            <w:vAlign w:val="bottom"/>
            <w:tcBorders>
              <w:right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w:t>
            </w:r>
          </w:p>
        </w:tc>
        <w:tc>
          <w:tcPr>
            <w:tcW w:w="2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2380" w:type="dxa"/>
            <w:vAlign w:val="bottom"/>
            <w:gridSpan w:val="4"/>
          </w:tcPr>
          <w:p>
            <w:pPr>
              <w:jc w:val="right"/>
              <w:ind w:right="100"/>
              <w:spacing w:after="0"/>
              <w:rPr>
                <w:sz w:val="20"/>
                <w:szCs w:val="20"/>
                <w:color w:val="auto"/>
              </w:rPr>
            </w:pPr>
            <w:r>
              <w:rPr>
                <w:rFonts w:ascii="Arial" w:cs="Arial" w:eastAsia="Arial" w:hAnsi="Arial"/>
                <w:sz w:val="18"/>
                <w:szCs w:val="18"/>
                <w:color w:val="auto"/>
              </w:rPr>
              <w:t>July 2023   3 Mo. LIBOR</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1.33%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October 2014</w:t>
            </w:r>
          </w:p>
        </w:tc>
        <w:tc>
          <w:tcPr>
            <w:tcW w:w="102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 Mo. LIBOR</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February</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2015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Mo. LIBOR</w:t>
            </w: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18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(1,638)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(1,315)</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gridSpan w:val="4"/>
            <w:vMerge w:val="restart"/>
          </w:tcPr>
          <w:p>
            <w:pPr>
              <w:jc w:val="right"/>
              <w:ind w:right="640"/>
              <w:spacing w:after="0"/>
              <w:rPr>
                <w:sz w:val="20"/>
                <w:szCs w:val="20"/>
                <w:color w:val="auto"/>
              </w:rPr>
            </w:pPr>
            <w:r>
              <w:rPr>
                <w:rFonts w:ascii="Arial" w:cs="Arial" w:eastAsia="Arial" w:hAnsi="Arial"/>
                <w:sz w:val="18"/>
                <w:szCs w:val="18"/>
                <w:color w:val="auto"/>
              </w:rPr>
              <w:t>June 30, 2017</w:t>
            </w: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Notional</w:t>
            </w:r>
          </w:p>
        </w:tc>
        <w:tc>
          <w:tcPr>
            <w:tcW w:w="11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3"/>
              </w:rPr>
              <w:t>Inception</w:t>
            </w:r>
          </w:p>
        </w:tc>
        <w:tc>
          <w:tcPr>
            <w:tcW w:w="11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2"/>
              </w:rPr>
              <w:t>Termination</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90"/>
              <w:spacing w:after="0" w:line="195" w:lineRule="exact"/>
              <w:rPr>
                <w:sz w:val="20"/>
                <w:szCs w:val="20"/>
                <w:color w:val="auto"/>
              </w:rPr>
            </w:pPr>
            <w:r>
              <w:rPr>
                <w:rFonts w:ascii="Arial" w:cs="Arial" w:eastAsia="Arial" w:hAnsi="Arial"/>
                <w:sz w:val="18"/>
                <w:szCs w:val="18"/>
                <w:color w:val="auto"/>
                <w:w w:val="89"/>
              </w:rPr>
              <w:t>Receive</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jc w:val="center"/>
              <w:ind w:right="200"/>
              <w:spacing w:after="0" w:line="195" w:lineRule="exact"/>
              <w:rPr>
                <w:sz w:val="20"/>
                <w:szCs w:val="20"/>
                <w:color w:val="auto"/>
              </w:rPr>
            </w:pPr>
            <w:r>
              <w:rPr>
                <w:rFonts w:ascii="Arial" w:cs="Arial" w:eastAsia="Arial" w:hAnsi="Arial"/>
                <w:sz w:val="18"/>
                <w:szCs w:val="18"/>
                <w:color w:val="auto"/>
                <w:w w:val="92"/>
              </w:rPr>
              <w:t>Unrealized</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7"/>
              </w:rPr>
              <w:t>Balance Sheet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Amount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Date</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Index</w:t>
            </w:r>
          </w:p>
        </w:tc>
        <w:tc>
          <w:tcPr>
            <w:tcW w:w="1180" w:type="dxa"/>
            <w:vAlign w:val="bottom"/>
            <w:gridSpan w:val="2"/>
          </w:tcPr>
          <w:p>
            <w:pPr>
              <w:jc w:val="center"/>
              <w:ind w:right="190"/>
              <w:spacing w:after="0"/>
              <w:rPr>
                <w:sz w:val="20"/>
                <w:szCs w:val="20"/>
                <w:color w:val="auto"/>
              </w:rPr>
            </w:pPr>
            <w:r>
              <w:rPr>
                <w:rFonts w:ascii="Arial" w:cs="Arial" w:eastAsia="Arial" w:hAnsi="Arial"/>
                <w:sz w:val="18"/>
                <w:szCs w:val="18"/>
                <w:color w:val="auto"/>
                <w:w w:val="89"/>
              </w:rPr>
              <w:t>Rate</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Pay Rate</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Strike Rate</w:t>
            </w: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Loss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Fair Value</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spacing w:after="0"/>
              <w:rPr>
                <w:sz w:val="20"/>
                <w:szCs w:val="20"/>
                <w:color w:val="auto"/>
              </w:rPr>
            </w:pPr>
            <w:r>
              <w:rPr>
                <w:rFonts w:ascii="Arial" w:cs="Arial" w:eastAsia="Arial" w:hAnsi="Arial"/>
                <w:sz w:val="18"/>
                <w:szCs w:val="18"/>
                <w:color w:val="auto"/>
              </w:rPr>
              <w:t>in</w:t>
            </w: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thousands)</w:t>
            </w: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2380" w:type="dxa"/>
            <w:vAlign w:val="bottom"/>
            <w:gridSpan w:val="4"/>
          </w:tcPr>
          <w:p>
            <w:pPr>
              <w:jc w:val="right"/>
              <w:ind w:right="100"/>
              <w:spacing w:after="0"/>
              <w:rPr>
                <w:sz w:val="20"/>
                <w:szCs w:val="20"/>
                <w:color w:val="auto"/>
              </w:rPr>
            </w:pPr>
            <w:r>
              <w:rPr>
                <w:rFonts w:ascii="Arial" w:cs="Arial" w:eastAsia="Arial" w:hAnsi="Arial"/>
                <w:sz w:val="18"/>
                <w:szCs w:val="18"/>
                <w:color w:val="auto"/>
              </w:rPr>
              <w:t>July 2033   3 Mo. LIBOR</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1.30%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(666)</w:t>
            </w:r>
          </w:p>
        </w:tc>
        <w:tc>
          <w:tcPr>
            <w:tcW w:w="2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(666)</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2013</w:t>
            </w:r>
          </w:p>
        </w:tc>
        <w:tc>
          <w:tcPr>
            <w:tcW w:w="2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July 2028   3 Mo. LIBOR</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180" w:type="dxa"/>
            <w:vAlign w:val="bottom"/>
            <w:tcBorders>
              <w:right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w:t>
            </w:r>
          </w:p>
        </w:tc>
        <w:tc>
          <w:tcPr>
            <w:tcW w:w="2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2380" w:type="dxa"/>
            <w:vAlign w:val="bottom"/>
            <w:gridSpan w:val="4"/>
          </w:tcPr>
          <w:p>
            <w:pPr>
              <w:jc w:val="right"/>
              <w:ind w:right="100"/>
              <w:spacing w:after="0"/>
              <w:rPr>
                <w:sz w:val="20"/>
                <w:szCs w:val="20"/>
                <w:color w:val="auto"/>
              </w:rPr>
            </w:pPr>
            <w:r>
              <w:rPr>
                <w:rFonts w:ascii="Arial" w:cs="Arial" w:eastAsia="Arial" w:hAnsi="Arial"/>
                <w:sz w:val="18"/>
                <w:szCs w:val="18"/>
                <w:color w:val="auto"/>
              </w:rPr>
              <w:t>July 2023   3 Mo. LIBOR</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1.30%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October 2014</w:t>
            </w:r>
          </w:p>
        </w:tc>
        <w:tc>
          <w:tcPr>
            <w:tcW w:w="102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 Mo. LIBOR</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February</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2015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Mo. LIBOR</w:t>
            </w: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18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line="210" w:lineRule="exact"/>
              <w:rPr>
                <w:sz w:val="20"/>
                <w:szCs w:val="20"/>
                <w:color w:val="auto"/>
              </w:rPr>
            </w:pPr>
            <w:r>
              <w:rPr>
                <w:rFonts w:ascii="Arial" w:cs="Arial" w:eastAsia="Arial" w:hAnsi="Arial"/>
                <w:sz w:val="14"/>
                <w:szCs w:val="14"/>
                <w:color w:val="auto"/>
              </w:rPr>
              <w:t>(1,683</w:t>
            </w:r>
            <w:r>
              <w:rPr>
                <w:rFonts w:ascii="Arial" w:cs="Arial" w:eastAsia="Arial" w:hAnsi="Arial"/>
                <w:sz w:val="24"/>
                <w:szCs w:val="24"/>
                <w:color w:val="auto"/>
                <w:vertAlign w:val="subscript"/>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line="210" w:lineRule="exact"/>
              <w:rPr>
                <w:sz w:val="20"/>
                <w:szCs w:val="20"/>
                <w:color w:val="auto"/>
              </w:rPr>
            </w:pPr>
            <w:r>
              <w:rPr>
                <w:rFonts w:ascii="Arial" w:cs="Arial" w:eastAsia="Arial" w:hAnsi="Arial"/>
                <w:sz w:val="14"/>
                <w:szCs w:val="14"/>
                <w:color w:val="auto"/>
              </w:rPr>
              <w:t>(1,337</w:t>
            </w:r>
            <w:r>
              <w:rPr>
                <w:rFonts w:ascii="Arial" w:cs="Arial" w:eastAsia="Arial" w:hAnsi="Arial"/>
                <w:sz w:val="24"/>
                <w:szCs w:val="24"/>
                <w:color w:val="auto"/>
                <w:vertAlign w:val="subscript"/>
              </w:rPr>
              <w:t>)</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months ended September 30, 2017 and 2016,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three months ended September 30, 2017 and 2016 related to the balance sheet hedging of variable rate debt indicates that the hedges were effective.</w:t>
      </w:r>
    </w:p>
    <w:p>
      <w:pPr>
        <w:spacing w:after="0" w:line="184"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income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8"/>
                <w:szCs w:val="18"/>
                <w:color w:val="auto"/>
                <w:w w:val="92"/>
              </w:rPr>
              <w:t>Three Months Ended September 30,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Pre-tax</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520"/>
              <w:spacing w:after="0" w:line="195" w:lineRule="exact"/>
              <w:rPr>
                <w:sz w:val="20"/>
                <w:szCs w:val="20"/>
                <w:color w:val="auto"/>
              </w:rPr>
            </w:pPr>
            <w:r>
              <w:rPr>
                <w:rFonts w:ascii="Arial" w:cs="Arial" w:eastAsia="Arial" w:hAnsi="Arial"/>
                <w:sz w:val="18"/>
                <w:szCs w:val="18"/>
                <w:color w:val="auto"/>
              </w:rPr>
              <w:t>Pre-tax</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After-tax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Tax Expense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6"/>
          </w:tcPr>
          <w:p>
            <w:pPr>
              <w:jc w:val="right"/>
              <w:ind w:right="700"/>
              <w:spacing w:after="0"/>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net unrealized loss on available-</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for-sale securities</w:t>
            </w: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accumulated loss on effective</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4"/>
              </w:rPr>
              <w:t>Reclassification adjustments included in net</w:t>
            </w:r>
          </w:p>
        </w:tc>
        <w:tc>
          <w:tcPr>
            <w:tcW w:w="880" w:type="dxa"/>
            <w:vAlign w:val="bottom"/>
          </w:tcPr>
          <w:p>
            <w:pPr>
              <w:spacing w:after="0"/>
              <w:rPr>
                <w:sz w:val="17"/>
                <w:szCs w:val="17"/>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40" w:type="dxa"/>
            <w:vAlign w:val="bottom"/>
            <w:gridSpan w:val="2"/>
          </w:tcPr>
          <w:p>
            <w:pPr>
              <w:spacing w:after="0"/>
              <w:rPr>
                <w:sz w:val="20"/>
                <w:szCs w:val="20"/>
                <w:color w:val="auto"/>
              </w:rPr>
            </w:pPr>
            <w:r>
              <w:rPr>
                <w:rFonts w:ascii="Arial" w:cs="Arial" w:eastAsia="Arial" w:hAnsi="Arial"/>
                <w:sz w:val="18"/>
                <w:szCs w:val="18"/>
                <w:color w:val="auto"/>
              </w:rPr>
              <w:t>income</w:t>
            </w:r>
          </w:p>
        </w:tc>
        <w:tc>
          <w:tcPr>
            <w:tcW w:w="8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derivatives and hedging activities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other comprehensive income</w:t>
            </w:r>
          </w:p>
        </w:tc>
        <w:tc>
          <w:tcPr>
            <w:tcW w:w="880" w:type="dxa"/>
            <w:vAlign w:val="bottom"/>
          </w:tcPr>
          <w:p>
            <w:pPr>
              <w:jc w:val="right"/>
              <w:ind w:right="717"/>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167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comprised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9"/>
              </w:rPr>
              <w:t>September 30, 2017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June 30, 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gridSpan w:val="5"/>
          </w:tcPr>
          <w:p>
            <w:pPr>
              <w:jc w:val="right"/>
              <w:ind w:right="94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460" w:type="dxa"/>
            <w:vAlign w:val="bottom"/>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Tax effect</w:t>
            </w:r>
          </w:p>
        </w:tc>
        <w:tc>
          <w:tcPr>
            <w:tcW w:w="4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After- tax amount</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4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(1,638)</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8"/>
                <w:szCs w:val="18"/>
                <w:color w:val="auto"/>
              </w:rPr>
              <w:t>After- tax amount</w:t>
            </w:r>
          </w:p>
        </w:tc>
        <w:tc>
          <w:tcPr>
            <w:tcW w:w="4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standby letters of credit, and commitments to fund investments.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8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September 30, 2017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June 30, 2017</w:t>
            </w:r>
          </w:p>
        </w:tc>
        <w:tc>
          <w:tcPr>
            <w:tcW w:w="100" w:type="dxa"/>
            <w:vAlign w:val="bottom"/>
          </w:tcPr>
          <w:p>
            <w:pPr>
              <w:spacing w:after="0"/>
              <w:rPr>
                <w:sz w:val="24"/>
                <w:szCs w:val="24"/>
                <w:color w:val="auto"/>
              </w:rPr>
            </w:pPr>
          </w:p>
        </w:tc>
      </w:tr>
      <w:tr>
        <w:trPr>
          <w:trHeight w:val="210"/>
        </w:trPr>
        <w:tc>
          <w:tcPr>
            <w:tcW w:w="1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gridSpan w:val="6"/>
          </w:tcPr>
          <w:p>
            <w:pPr>
              <w:ind w:left="380"/>
              <w:spacing w:after="0"/>
              <w:rPr>
                <w:sz w:val="20"/>
                <w:szCs w:val="20"/>
                <w:color w:val="auto"/>
              </w:rPr>
            </w:pPr>
            <w:r>
              <w:rPr>
                <w:rFonts w:ascii="Arial" w:cs="Arial" w:eastAsia="Arial" w:hAnsi="Arial"/>
                <w:sz w:val="18"/>
                <w:szCs w:val="18"/>
                <w:color w:val="auto"/>
              </w:rPr>
              <w:t>(Dollars in thousands)</w:t>
            </w:r>
          </w:p>
        </w:tc>
      </w:tr>
      <w:tr>
        <w:trPr>
          <w:trHeight w:val="216"/>
        </w:trPr>
        <w:tc>
          <w:tcPr>
            <w:tcW w:w="1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34,628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15,244</w:t>
            </w:r>
          </w:p>
        </w:tc>
      </w:tr>
      <w:tr>
        <w:trPr>
          <w:trHeight w:val="216"/>
        </w:trPr>
        <w:tc>
          <w:tcPr>
            <w:tcW w:w="1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Unfunded commitments under lines of credit</w:t>
            </w: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44,078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31,858</w:t>
            </w:r>
          </w:p>
        </w:tc>
      </w:tr>
      <w:tr>
        <w:trPr>
          <w:trHeight w:val="216"/>
        </w:trPr>
        <w:tc>
          <w:tcPr>
            <w:tcW w:w="1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r>
      <w:tr>
        <w:trPr>
          <w:trHeight w:val="230"/>
        </w:trPr>
        <w:tc>
          <w:tcPr>
            <w:tcW w:w="18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Commitment to fund investment</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bl>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$74 thousand and $39 thousand recorded in other liabilities at September 30, 2017 and June 30, 2017, respectively.</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year ended June 30, 2016, the Company committed $2.5 million to a fund that acquires Community Reinvestment Act (“CRA”) qualified investments in loans for the Company’s portfolio. The fund manager calls the funds from the Company when an investment is successfully acquired. During the prior year ended June 30, 2017, the fund called $1.5 million from the Company. As of September 30, 2017, the Company no longer has a remaining commitment to fund these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43"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March 2016, the FASB issued ASU 2016-09. The new guidance simplifies several aspects of the accounting for share-based payment transactions, including the income tax consequences, classification of awards as either equity or liabilities, and classification on the statement of cash flows. Entities are now required to recognize the income tax effects of awards in the income statement when the awards vest or are settled.</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adopted ASU 2016-09 in the first quarter of fiscal 2018. Upon adoption, the most significant impact of this amendment resulted from the prospective application of current excess tax benefits and deficiencies being recognized in income tax expense, which previously would have been recognized in additional paid-in capital.</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addition to the excess tax benefit treatment, the amendment removed the assumed proceeds related to the excess tax benefit from the calculation of diluted shares. Additionally, dividends paid to employees for nonvested equity shares are also recognized through income tax expense.</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months ended September 30, 2017, in totality, the adoption of ASU 2016-09 reduced the Company's income tax expense by $818 thousand. The excess tax benefit under the new guidance is treated as a discrete item in the period in which it occurs, and will vary from quarter to quarter as a function of the volume of restricted stock that vests, the volume of options that are exercised and the market price of the Company's stock in comparison to the compensation cost recognized in the financial statements.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adoption, the Company made a policy election to record forfeitures as they occur rather than make use of an estimate. The other provisions did not have a material impact on the Company's financial statements upon adoption.</w:t>
      </w:r>
    </w:p>
    <w:p>
      <w:pPr>
        <w:sectPr>
          <w:pgSz w:w="11900" w:h="16838" w:orient="portrait"/>
          <w:cols w:equalWidth="0" w:num="1">
            <w:col w:w="11400"/>
          </w:cols>
          <w:pgMar w:left="240" w:top="118" w:right="259" w:bottom="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500" w:right="380"/>
        <w:spacing w:after="0" w:line="308" w:lineRule="auto"/>
        <w:rPr>
          <w:sz w:val="20"/>
          <w:szCs w:val="20"/>
          <w:color w:val="auto"/>
        </w:rPr>
      </w:pPr>
      <w:r>
        <w:rPr>
          <w:rFonts w:ascii="Arial" w:cs="Arial" w:eastAsia="Arial" w:hAnsi="Arial"/>
          <w:sz w:val="17"/>
          <w:szCs w:val="17"/>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Transfers </w:t>
      </w:r>
      <w:r>
        <w:rPr>
          <w:rFonts w:ascii="Arial" w:cs="Arial" w:eastAsia="Arial" w:hAnsi="Arial"/>
          <w:sz w:val="17"/>
          <w:szCs w:val="17"/>
          <w:color w:val="auto"/>
        </w:rPr>
        <w:t>- There were no transfers of assets and liabilities measured at fair value on a recurring or nonrecurring basis during the current period</w:t>
      </w:r>
      <w:r>
        <w:rPr>
          <w:rFonts w:ascii="Arial" w:cs="Arial" w:eastAsia="Arial" w:hAnsi="Arial"/>
          <w:sz w:val="17"/>
          <w:szCs w:val="17"/>
          <w:i w:val="1"/>
          <w:i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Examples of such instruments include publicly-traded common and preferred stocks. If quoted prices are not available, then fair values are estimated by using pricing models (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enterprise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500" w:right="100"/>
        <w:spacing w:after="0" w:line="297" w:lineRule="auto"/>
        <w:rPr>
          <w:sz w:val="20"/>
          <w:szCs w:val="20"/>
          <w:color w:val="auto"/>
        </w:rPr>
      </w:pPr>
      <w:r>
        <w:rPr>
          <w:rFonts w:ascii="Arial" w:cs="Arial" w:eastAsia="Arial" w:hAnsi="Arial"/>
          <w:sz w:val="16"/>
          <w:szCs w:val="16"/>
          <w:color w:val="auto"/>
        </w:rPr>
        <w:t>Certain investments are measured at fair value using the net asset value per share as a practical expedient. These investments include a fund that seeks to invest in securities either issued or guaranteed by the U.S. government or its agencies, as well as a fund that primarily invests in the federally guaranteed portion of SBA 7(a) loans. The Company’s investment in securities either issued or guaranteed by the U.S. government or its agencies can be redeemed daily at the closing net asset value per share. The Company’s investment in SBA 7(a) loans can be redeemed quarterly with sixty days’ notice. In accordance with ASU 2015-07, these investments have not been included in the fair value hierarchy.</w:t>
      </w:r>
    </w:p>
    <w:p>
      <w:pPr>
        <w:spacing w:after="0" w:line="158" w:lineRule="exact"/>
        <w:rPr>
          <w:sz w:val="20"/>
          <w:szCs w:val="20"/>
          <w:color w:val="auto"/>
        </w:rPr>
      </w:pPr>
    </w:p>
    <w:p>
      <w:pPr>
        <w:ind w:left="500" w:right="120"/>
        <w:spacing w:after="0" w:line="27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The valuation of the Company’s interest rate swaps and caps are determined using widely accepted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including discounted cash flow analyses on the expected cash flows of derivatives. These analyses reflect the contractual terms of the derivatives, including the period to maturity, and use observable market-based inputs, including forward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73" w:lineRule="exact"/>
        <w:rPr>
          <w:sz w:val="20"/>
          <w:szCs w:val="20"/>
          <w:color w:val="auto"/>
        </w:rPr>
      </w:pPr>
    </w:p>
    <w:p>
      <w:pPr>
        <w:jc w:val="both"/>
        <w:ind w:left="500" w:right="34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40"/>
        <w:spacing w:after="0" w:line="342" w:lineRule="auto"/>
        <w:rPr>
          <w:sz w:val="20"/>
          <w:szCs w:val="20"/>
          <w:color w:val="auto"/>
        </w:rPr>
      </w:pPr>
      <w:r>
        <w:rPr>
          <w:rFonts w:ascii="Arial" w:cs="Arial" w:eastAsia="Arial" w:hAnsi="Arial"/>
          <w:sz w:val="16"/>
          <w:szCs w:val="16"/>
          <w:i w:val="1"/>
          <w:iCs w:val="1"/>
          <w:color w:val="auto"/>
        </w:rPr>
        <w:t xml:space="preserve">Collateral dependent impaired loans </w:t>
      </w:r>
      <w:r>
        <w:rPr>
          <w:rFonts w:ascii="Arial" w:cs="Arial" w:eastAsia="Arial" w:hAnsi="Arial"/>
          <w:sz w:val="16"/>
          <w:szCs w:val="16"/>
          <w:color w:val="auto"/>
        </w:rPr>
        <w:t>- 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124" w:lineRule="exact"/>
        <w:rPr>
          <w:sz w:val="20"/>
          <w:szCs w:val="20"/>
          <w:color w:val="auto"/>
        </w:rPr>
      </w:pPr>
    </w:p>
    <w:p>
      <w:pPr>
        <w:ind w:left="660" w:right="2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i w:val="1"/>
          <w:iCs w:val="1"/>
          <w:color w:val="auto"/>
        </w:rPr>
        <w:t xml:space="preserve">Loan servicing rights </w:t>
      </w:r>
      <w:r>
        <w:rPr>
          <w:rFonts w:ascii="Arial" w:cs="Arial" w:eastAsia="Arial" w:hAnsi="Arial"/>
          <w:sz w:val="18"/>
          <w:szCs w:val="18"/>
          <w:color w:val="auto"/>
        </w:rPr>
        <w:t>- The fair value of the SBA and mortgage servicing rights is based on a valuation model that calculates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future net servicing income. Adjustments are only recorded when the discounted cash flows derived from the valuation model are less than the carrying value of the asset. Certain inputs are not observable, and therefore loan servicing rights are generally categorized as Level 3 within the fair value hierarchy.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500" w:right="36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Federal Home Loan Bank of Boston (“FHLBB”)</w:t>
      </w:r>
      <w:r>
        <w:rPr>
          <w:rFonts w:ascii="Arial" w:cs="Arial" w:eastAsia="Arial" w:hAnsi="Arial"/>
          <w:sz w:val="18"/>
          <w:szCs w:val="18"/>
          <w:i w:val="1"/>
          <w:iCs w:val="1"/>
          <w:color w:val="auto"/>
        </w:rPr>
        <w:t xml:space="preserve"> </w:t>
      </w:r>
      <w:r>
        <w:rPr>
          <w:rFonts w:ascii="Arial" w:cs="Arial" w:eastAsia="Arial" w:hAnsi="Arial"/>
          <w:sz w:val="18"/>
          <w:szCs w:val="18"/>
          <w:color w:val="auto"/>
        </w:rPr>
        <w:t>overnight deposits approximates their relative book values, as these financial instruments have short maturities.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FHLBB stock </w:t>
      </w:r>
      <w:r>
        <w:rPr>
          <w:rFonts w:ascii="Arial" w:cs="Arial" w:eastAsia="Arial" w:hAnsi="Arial"/>
          <w:sz w:val="18"/>
          <w:szCs w:val="18"/>
          <w:color w:val="auto"/>
        </w:rPr>
        <w:t>- The carrying value of FHLBB stock approximates fair value based on redemption provisions of the FHLBB.</w:t>
      </w:r>
    </w:p>
    <w:p>
      <w:pPr>
        <w:spacing w:after="0" w:line="225" w:lineRule="exact"/>
        <w:rPr>
          <w:sz w:val="20"/>
          <w:szCs w:val="20"/>
          <w:color w:val="auto"/>
        </w:rPr>
      </w:pPr>
    </w:p>
    <w:p>
      <w:pPr>
        <w:ind w:left="500" w:right="440"/>
        <w:spacing w:after="0" w:line="302" w:lineRule="auto"/>
        <w:rPr>
          <w:sz w:val="20"/>
          <w:szCs w:val="20"/>
          <w:color w:val="auto"/>
        </w:rPr>
      </w:pPr>
      <w:r>
        <w:rPr>
          <w:rFonts w:ascii="Arial" w:cs="Arial" w:eastAsia="Arial" w:hAnsi="Arial"/>
          <w:sz w:val="16"/>
          <w:szCs w:val="16"/>
          <w:i w:val="1"/>
          <w:iCs w:val="1"/>
          <w:color w:val="auto"/>
        </w:rPr>
        <w:t>Loans</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losses.</w:t>
      </w:r>
    </w:p>
    <w:p>
      <w:pPr>
        <w:spacing w:after="0" w:line="181"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 The fair value of deposits with no stated maturity, such as noninterest-bearing demand deposits, savings, NOW accounts and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8" w:lineRule="exact"/>
        <w:rPr>
          <w:sz w:val="20"/>
          <w:szCs w:val="20"/>
          <w:color w:val="auto"/>
        </w:rPr>
      </w:pPr>
    </w:p>
    <w:p>
      <w:pPr>
        <w:jc w:val="both"/>
        <w:ind w:left="500" w:right="60"/>
        <w:spacing w:after="0" w:line="279" w:lineRule="auto"/>
        <w:rPr>
          <w:sz w:val="20"/>
          <w:szCs w:val="20"/>
          <w:color w:val="auto"/>
        </w:rPr>
      </w:pPr>
      <w:r>
        <w:rPr>
          <w:rFonts w:ascii="Arial" w:cs="Arial" w:eastAsia="Arial" w:hAnsi="Arial"/>
          <w:sz w:val="17"/>
          <w:szCs w:val="17"/>
          <w:i w:val="1"/>
          <w:iCs w:val="1"/>
          <w:color w:val="auto"/>
        </w:rPr>
        <w:t xml:space="preserve">FHLBB advances, capital lease obligations and subordinated debentures </w:t>
      </w:r>
      <w:r>
        <w:rPr>
          <w:rFonts w:ascii="Arial" w:cs="Arial" w:eastAsia="Arial" w:hAnsi="Arial"/>
          <w:sz w:val="17"/>
          <w:szCs w:val="17"/>
          <w:color w:val="auto"/>
        </w:rPr>
        <w:t>- The fair value of the Company’s borrowings with the FHLBB is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by discounting the cash flows through maturity or the next re-pricing date based on current rates available to the Company for borrowings with similar maturities. The fair value of the Company’s capital lease obligations and subordinated debentures are estimated by discounting the cash flows through maturity based on current rates available to the Company for borrowings with similar maturities.</w:t>
      </w:r>
    </w:p>
    <w:p>
      <w:pPr>
        <w:spacing w:after="0" w:line="171"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i w:val="1"/>
          <w:iCs w:val="1"/>
          <w:color w:val="auto"/>
        </w:rPr>
        <w:t>Off-Balance Sheet Credit-Related Instruments -</w:t>
      </w:r>
      <w:r>
        <w:rPr>
          <w:rFonts w:ascii="Arial" w:cs="Arial" w:eastAsia="Arial" w:hAnsi="Arial"/>
          <w:sz w:val="18"/>
          <w:szCs w:val="18"/>
          <w:color w:val="auto"/>
        </w:rPr>
        <w:t>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gridSpan w:val="7"/>
          </w:tcPr>
          <w:p>
            <w:pPr>
              <w:spacing w:after="0"/>
              <w:rPr>
                <w:sz w:val="20"/>
                <w:szCs w:val="20"/>
                <w:color w:val="auto"/>
              </w:rPr>
            </w:pPr>
            <w:r>
              <w:rPr>
                <w:rFonts w:ascii="Arial" w:cs="Arial" w:eastAsia="Arial" w:hAnsi="Arial"/>
                <w:sz w:val="18"/>
                <w:szCs w:val="18"/>
                <w:color w:val="auto"/>
                <w:w w:val="94"/>
              </w:rPr>
              <w:t>Assets and liabilities measured at fair value on a recurring basis are summarized below.</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September 30, 2017</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84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57,069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30,775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30,775</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3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Other investments measured at net asset value</w:t>
            </w:r>
            <w:r>
              <w:rPr>
                <w:rFonts w:ascii="Arial" w:cs="Arial" w:eastAsia="Arial" w:hAnsi="Arial"/>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4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June 30, 2017</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84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32,903</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3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Other investments measured at net asset value</w:t>
            </w:r>
            <w:r>
              <w:rPr>
                <w:rFonts w:ascii="Arial" w:cs="Arial" w:eastAsia="Arial" w:hAnsi="Arial"/>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right="6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9"/>
              </w:rPr>
              <w:t>September 30, 2017</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2,040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w:t>
            </w:r>
          </w:p>
        </w:tc>
      </w:tr>
      <w:tr>
        <w:trPr>
          <w:trHeight w:val="459"/>
        </w:trPr>
        <w:tc>
          <w:tcPr>
            <w:tcW w:w="46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9"/>
              </w:rPr>
              <w:t>June 30, 2017</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1,011</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8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presents quantitative information about significant unobservable inputs (Level 3) for assets measured at fair value on a nonrecurring basis at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Fair Value</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195"/>
        </w:trPr>
        <w:tc>
          <w:tcPr>
            <w:tcW w:w="4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350"/>
              <w:spacing w:after="0" w:line="195" w:lineRule="exact"/>
              <w:rPr>
                <w:sz w:val="20"/>
                <w:szCs w:val="20"/>
                <w:color w:val="auto"/>
              </w:rPr>
            </w:pPr>
            <w:r>
              <w:rPr>
                <w:rFonts w:ascii="Arial" w:cs="Arial" w:eastAsia="Arial" w:hAnsi="Arial"/>
                <w:sz w:val="18"/>
                <w:szCs w:val="18"/>
                <w:color w:val="auto"/>
                <w:w w:val="95"/>
              </w:rPr>
              <w:t>June 30,</w:t>
            </w:r>
          </w:p>
        </w:tc>
        <w:tc>
          <w:tcPr>
            <w:tcW w:w="1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30"/>
        </w:trPr>
        <w:tc>
          <w:tcPr>
            <w:tcW w:w="4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Valuation Technique</w:t>
            </w:r>
          </w:p>
        </w:tc>
      </w:tr>
      <w:tr>
        <w:trPr>
          <w:trHeight w:val="210"/>
        </w:trPr>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gridSpan w:val="6"/>
          </w:tcPr>
          <w:p>
            <w:pPr>
              <w:jc w:val="right"/>
              <w:ind w:right="920"/>
              <w:spacing w:after="0"/>
              <w:rPr>
                <w:sz w:val="20"/>
                <w:szCs w:val="20"/>
                <w:color w:val="auto"/>
              </w:rPr>
            </w:pPr>
            <w:r>
              <w:rPr>
                <w:rFonts w:ascii="Arial" w:cs="Arial" w:eastAsia="Arial" w:hAnsi="Arial"/>
                <w:sz w:val="18"/>
                <w:szCs w:val="18"/>
                <w:color w:val="auto"/>
              </w:rPr>
              <w:t>(Dollars in thousands)</w:t>
            </w:r>
          </w:p>
        </w:tc>
        <w:tc>
          <w:tcPr>
            <w:tcW w:w="3380" w:type="dxa"/>
            <w:vAlign w:val="bottom"/>
          </w:tcPr>
          <w:p>
            <w:pPr>
              <w:spacing w:after="0"/>
              <w:rPr>
                <w:sz w:val="18"/>
                <w:szCs w:val="18"/>
                <w:color w:val="auto"/>
              </w:rPr>
            </w:pPr>
          </w:p>
        </w:tc>
      </w:tr>
      <w:tr>
        <w:trPr>
          <w:trHeight w:val="25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1,011</w:t>
            </w:r>
          </w:p>
        </w:tc>
        <w:tc>
          <w:tcPr>
            <w:tcW w:w="338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90"/>
              </w:rPr>
              <w:t>Appraisal of collateral</w:t>
            </w:r>
            <w:r>
              <w:rPr>
                <w:rFonts w:ascii="Arial" w:cs="Arial" w:eastAsia="Arial" w:hAnsi="Arial"/>
                <w:sz w:val="29"/>
                <w:szCs w:val="29"/>
                <w:color w:val="auto"/>
                <w:w w:val="90"/>
                <w:vertAlign w:val="superscript"/>
              </w:rPr>
              <w:t>(1)</w:t>
            </w: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16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3380" w:type="dxa"/>
            <w:vAlign w:val="bottom"/>
          </w:tcPr>
          <w:p>
            <w:pPr>
              <w:jc w:val="center"/>
              <w:spacing w:after="0" w:line="256" w:lineRule="exact"/>
              <w:rPr>
                <w:sz w:val="20"/>
                <w:szCs w:val="20"/>
                <w:color w:val="auto"/>
              </w:rPr>
            </w:pPr>
            <w:r>
              <w:rPr>
                <w:rFonts w:ascii="Arial" w:cs="Arial" w:eastAsia="Arial" w:hAnsi="Arial"/>
                <w:sz w:val="18"/>
                <w:szCs w:val="18"/>
                <w:color w:val="auto"/>
                <w:w w:val="90"/>
              </w:rPr>
              <w:t>Appraisal of collateral</w:t>
            </w:r>
            <w:r>
              <w:rPr>
                <w:rFonts w:ascii="Arial" w:cs="Arial" w:eastAsia="Arial" w:hAnsi="Arial"/>
                <w:sz w:val="29"/>
                <w:szCs w:val="29"/>
                <w:color w:val="auto"/>
                <w:w w:val="90"/>
                <w:vertAlign w:val="superscript"/>
              </w:rPr>
              <w:t>(1)</w:t>
            </w:r>
          </w:p>
        </w:tc>
      </w:tr>
      <w:tr>
        <w:trPr>
          <w:trHeight w:val="25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1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2,846</w:t>
            </w:r>
          </w:p>
        </w:tc>
        <w:tc>
          <w:tcPr>
            <w:tcW w:w="338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9"/>
              </w:rPr>
              <w:t>Discounted cash flow</w:t>
            </w:r>
            <w:r>
              <w:rPr>
                <w:rFonts w:ascii="Arial" w:cs="Arial" w:eastAsia="Arial" w:hAnsi="Arial"/>
                <w:sz w:val="29"/>
                <w:szCs w:val="29"/>
                <w:color w:val="auto"/>
                <w:w w:val="89"/>
                <w:vertAlign w:val="superscript"/>
              </w:rPr>
              <w:t>(2)</w:t>
            </w:r>
          </w:p>
        </w:tc>
      </w:tr>
    </w:tbl>
    <w:p>
      <w:pPr>
        <w:spacing w:after="0" w:line="202" w:lineRule="exact"/>
        <w:rPr>
          <w:sz w:val="20"/>
          <w:szCs w:val="20"/>
          <w:color w:val="auto"/>
        </w:rPr>
      </w:pPr>
    </w:p>
    <w:p>
      <w:pPr>
        <w:ind w:right="140" w:firstLine="8"/>
        <w:spacing w:after="0" w:line="271"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was 8% to 75%.</w:t>
      </w:r>
    </w:p>
    <w:p>
      <w:pPr>
        <w:ind w:right="300" w:firstLine="8"/>
        <w:spacing w:after="0" w:line="261"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Fair value is determined using a discounted cash flow model. The unobservable inputs include anticipated rate of loan prepayments and discount rates. The range of prepayment assumptions used was 3.8% to 14.4%. For discount rates, the range was 7.3% to 14.9%.</w:t>
      </w:r>
    </w:p>
    <w:p>
      <w:pPr>
        <w:sectPr>
          <w:pgSz w:w="11900" w:h="16838" w:orient="portrait"/>
          <w:cols w:equalWidth="0" w:num="1">
            <w:col w:w="11420"/>
          </w:cols>
          <w:pgMar w:left="240" w:top="118"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gridSpan w:val="11"/>
          </w:tcPr>
          <w:p>
            <w:pPr>
              <w:spacing w:after="0"/>
              <w:rPr>
                <w:sz w:val="20"/>
                <w:szCs w:val="20"/>
                <w:color w:val="auto"/>
              </w:rPr>
            </w:pPr>
            <w:r>
              <w:rPr>
                <w:rFonts w:ascii="Arial" w:cs="Arial" w:eastAsia="Arial" w:hAnsi="Arial"/>
                <w:sz w:val="18"/>
                <w:szCs w:val="18"/>
                <w:color w:val="auto"/>
                <w:w w:val="94"/>
              </w:rPr>
              <w:t>The following table presents the estimated fair value of the Company's financial instruments.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color w:val="auto"/>
              </w:rPr>
              <w:t>Fair Value Measurements at September 30, 2017</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150,815</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150,815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150,815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87,844</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87,844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3"/>
          </w:tcPr>
          <w:p>
            <w:pPr>
              <w:spacing w:after="0" w:line="256" w:lineRule="exact"/>
              <w:rPr>
                <w:sz w:val="20"/>
                <w:szCs w:val="20"/>
                <w:color w:val="auto"/>
              </w:rPr>
            </w:pPr>
            <w:r>
              <w:rPr>
                <w:rFonts w:ascii="Arial" w:cs="Arial" w:eastAsia="Arial" w:hAnsi="Arial"/>
                <w:sz w:val="18"/>
                <w:szCs w:val="18"/>
                <w:color w:val="auto"/>
                <w:w w:val="96"/>
              </w:rPr>
              <w:t>Other investments measured at net asset value</w:t>
            </w:r>
            <w:r>
              <w:rPr>
                <w:rFonts w:ascii="Arial" w:cs="Arial" w:eastAsia="Arial" w:hAnsi="Arial"/>
                <w:sz w:val="29"/>
                <w:szCs w:val="29"/>
                <w:color w:val="auto"/>
                <w:w w:val="96"/>
                <w:vertAlign w:val="superscript"/>
              </w:rPr>
              <w:t>(1)</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6,664</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6,664</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9,506</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755,550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2,224</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862,723</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862,900</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862,900</w:t>
            </w:r>
          </w:p>
        </w:tc>
        <w:tc>
          <w:tcPr>
            <w:tcW w:w="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20,004</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20,021</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845</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23,705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1,325</w:t>
            </w:r>
          </w:p>
        </w:tc>
        <w:tc>
          <w:tcPr>
            <w:tcW w:w="2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8"/>
                <w:szCs w:val="18"/>
                <w:color w:val="auto"/>
              </w:rPr>
              <w:t>Fair Value Measurements at June 30, 2017</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163,283</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163,283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163,283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90,071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90,071</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3"/>
          </w:tcPr>
          <w:p>
            <w:pPr>
              <w:spacing w:after="0" w:line="256" w:lineRule="exact"/>
              <w:rPr>
                <w:sz w:val="20"/>
                <w:szCs w:val="20"/>
                <w:color w:val="auto"/>
              </w:rPr>
            </w:pPr>
            <w:r>
              <w:rPr>
                <w:rFonts w:ascii="Arial" w:cs="Arial" w:eastAsia="Arial" w:hAnsi="Arial"/>
                <w:sz w:val="18"/>
                <w:szCs w:val="18"/>
                <w:color w:val="auto"/>
                <w:w w:val="96"/>
              </w:rPr>
              <w:t>Other investments measured at net asset value</w:t>
            </w:r>
            <w:r>
              <w:rPr>
                <w:rFonts w:ascii="Arial" w:cs="Arial" w:eastAsia="Arial" w:hAnsi="Arial"/>
                <w:sz w:val="29"/>
                <w:szCs w:val="29"/>
                <w:color w:val="auto"/>
                <w:w w:val="96"/>
                <w:vertAlign w:val="superscript"/>
              </w:rPr>
              <w:t>(1)</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6,622</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4,699</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775,530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2,111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2,111</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889,850</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889,877</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889,877</w:t>
            </w:r>
          </w:p>
        </w:tc>
        <w:tc>
          <w:tcPr>
            <w:tcW w:w="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20,057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873</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918</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23,620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2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2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118" w:right="81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2017,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Northeast Bancorp’s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operational risks including, but not limited to, cybersecurity, fraud and natural disasters; the risk that the Company may not be successful in the implementation of its business strategy;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2017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Northeast Bancorp (“we,” “our,” “us,” “Northeast” or the “Company”), incorporated under Maine law in 1987, is a bank holding company registered with the Board of Governors of the Federal Reserve System (the “Federal Reserve”). As a bank holding company registered under the Bank Holding Company Act of 1956, as amended (the “BHCA”), the Company is subject to regulation and supervision by the Federal Reserve. The Company’s primary subsidiary and principal asset is its wholly-owned banking subsidiary, Northeast Bank (the “Bank” or “Northeast Bank”), a Maine state-chartered bank originally organized in 1872. As a Federal Deposit Insurance Corporation (“FDIC”) insured Maine-chartered bank, the Bank is subject to regulation and supervision by the Maine Bureau of Financial Institutions (the “Bureau”) and the FDIC.</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to exclude owner-occupied commercial real estate loans from the commitment to hold commercial real estate loans to within 300% of total risk-based capital. All other commitments made to the Federal Reserve in connection with the merger remain unchanged. The Company and the Bank are currently in compliance with all commitments to the Federal Reserve. The Company’s compliance ratios at September 30, 2017 follow:</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Ratios as of September 30,</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Condition</w:t>
            </w:r>
          </w:p>
        </w:tc>
        <w:tc>
          <w:tcPr>
            <w:tcW w:w="2240" w:type="dxa"/>
            <w:vAlign w:val="bottom"/>
            <w:gridSpan w:val="2"/>
          </w:tcPr>
          <w:p>
            <w:pPr>
              <w:jc w:val="right"/>
              <w:ind w:right="79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 Tier 1 leverage capital ratio</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(ii) Total capital ratio</w:t>
            </w:r>
          </w:p>
        </w:tc>
        <w:tc>
          <w:tcPr>
            <w:tcW w:w="2420" w:type="dxa"/>
            <w:vAlign w:val="bottom"/>
            <w:gridSpan w:val="3"/>
          </w:tcPr>
          <w:p>
            <w:pPr>
              <w:jc w:val="right"/>
              <w:ind w:right="2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(iii) Ratio of purchased loans to total loans, including loans held for sale</w:t>
            </w:r>
          </w:p>
        </w:tc>
        <w:tc>
          <w:tcPr>
            <w:tcW w:w="2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(iv) Ratio of loans to core deposits (1)</w:t>
            </w:r>
          </w:p>
        </w:tc>
        <w:tc>
          <w:tcPr>
            <w:tcW w:w="2420" w:type="dxa"/>
            <w:vAlign w:val="bottom"/>
            <w:gridSpan w:val="3"/>
          </w:tcPr>
          <w:p>
            <w:pPr>
              <w:jc w:val="right"/>
              <w:ind w:right="20"/>
              <w:spacing w:after="0"/>
              <w:rPr>
                <w:sz w:val="20"/>
                <w:szCs w:val="20"/>
                <w:color w:val="auto"/>
              </w:rPr>
            </w:pPr>
            <w:r>
              <w:rPr>
                <w:rFonts w:ascii="Arial" w:cs="Arial" w:eastAsia="Arial" w:hAnsi="Arial"/>
                <w:sz w:val="18"/>
                <w:szCs w:val="18"/>
                <w:color w:val="auto"/>
              </w:rPr>
              <w:t>88.68%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(v) Ratio of non-owner occupied commercial real estate loans to total capital (2)</w:t>
            </w:r>
          </w:p>
        </w:tc>
        <w:tc>
          <w:tcPr>
            <w:tcW w:w="2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166.15%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Core deposits include all non-maturity deposits and non-brokered insured time deposits.</w:t>
      </w:r>
    </w:p>
    <w:p>
      <w:pPr>
        <w:spacing w:after="0" w:line="23" w:lineRule="exact"/>
        <w:rPr>
          <w:rFonts w:ascii="Arial" w:cs="Arial" w:eastAsia="Arial" w:hAnsi="Arial"/>
          <w:sz w:val="18"/>
          <w:szCs w:val="18"/>
          <w:color w:val="auto"/>
        </w:rPr>
      </w:pPr>
    </w:p>
    <w:p>
      <w:pPr>
        <w:ind w:right="160" w:firstLine="8"/>
        <w:spacing w:after="0" w:line="261"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purposes of calculating this ratio, commercial real estate includes all non-owner occupied commercial real estate loans defined as such by regulatory guidance, including all land development and construction loans.</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September 30, 2017, the Company, on a consolidated basis, had total assets of $1.0 billion, total deposits of $862.7 million, and shareholders’ equity of $126.7 million. The Company gathers retail deposits through its banking offices in Maine and the Bank's online affinity deposit program, ableBanking; originates loans through the Bank’s Community Banking Division; originates Small Business Administration (“SBA”) and United States Department of Agriculture (“USDA”) loans through the Bank’s national SBA group (“SBA Division”); and purchases and originates commercial loans through the Bank’s Loan Acquisition and Servicing Group (“LASG”). The Community Banking Division, with ten full-service branches and two loan production offices, operates from the Bank’s headquarters in Lewiston, Maine. LASG, ableBanking, and the SBA Division operate from the Company's offices in Boston, Massachusetts.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goal is to prudently grow its franchise, while maintaining sound operations and risk management, by means of the following strategies:</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Continuing to grow the LASG’s national originated and purchased loan business. </w:t>
      </w:r>
      <w:r>
        <w:rPr>
          <w:rFonts w:ascii="Arial" w:cs="Arial" w:eastAsia="Arial" w:hAnsi="Arial"/>
          <w:sz w:val="18"/>
          <w:szCs w:val="18"/>
          <w:color w:val="auto"/>
        </w:rPr>
        <w:t>We purchase commercial real estate loans nationally, at prices that on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have produced yields significantly higher than those available on our originated loan portfolio. We also originate loans nationally, taking advantage of our core expertise in underwriting and servicing national credits.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Growing our national SBA origination business. </w:t>
      </w:r>
      <w:r>
        <w:rPr>
          <w:rFonts w:ascii="Arial" w:cs="Arial" w:eastAsia="Arial" w:hAnsi="Arial"/>
          <w:sz w:val="18"/>
          <w:szCs w:val="18"/>
          <w:color w:val="auto"/>
        </w:rPr>
        <w:t>We originate loans on a national basis to small businesses, primarily through the SBA 7(a)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partial guarantee of the SBA.</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With a history that dates to 1872, our Community Banking Division maintains its focus on sales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goal of attracting and retaining deposits, and serving the lending needs of retail and commercial customers within our core markets.</w:t>
      </w:r>
    </w:p>
    <w:p>
      <w:pPr>
        <w:spacing w:after="0" w:line="14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 xml:space="preserve">Generating deposits to fund our business. </w:t>
      </w:r>
      <w:r>
        <w:rPr>
          <w:rFonts w:ascii="Arial" w:cs="Arial" w:eastAsia="Arial" w:hAnsi="Arial"/>
          <w:sz w:val="16"/>
          <w:szCs w:val="16"/>
          <w:color w:val="auto"/>
        </w:rPr>
        <w:t>We offer a full line of deposit products through our ten-branch network located in the Community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Division’s market. ableBanking is a direct savings platform providing an additional channel to raise core deposits to fund our asset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2017 to gain a better understanding of how Northeast’s financial performance is measured and reported. There has been no material change in critical accounting policies during the three months ended September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Net income was $4.6 million, or $0.50 per diluted common share, for the quarter ended September 30, 2017, compared to net income of $1.8 million, or $0.19 per diluted common share, for the quarter ended September 30, 2016.</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Net interest and dividend income before provision for loan losses increased by $3.5 million for the quarter ended September 30, 2017, compared to the quarter ended September 30, 2016. The increase is primarily due to higher transactional income on purchased loans and higher average balances in the total loan portfolio. This increase was partially offset by higher rates and higher average deposit balances.</w:t>
      </w:r>
    </w:p>
    <w:p>
      <w:pPr>
        <w:spacing w:after="0" w:line="190"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Noninterest income increased by $150 thousand for the quarter ended September 30, 2017, compared to the quarter ended September 30, 2016, principally due to the following:</w:t>
      </w:r>
    </w:p>
    <w:p>
      <w:pPr>
        <w:spacing w:after="0" w:line="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gain on sale of SBA loans of $276 thousand, due to a higher dollar amount sold in the quarter;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fees for other services to customers of $118 thousand, due to higher loan servicing fees on SBA loans sold.</w:t>
      </w:r>
    </w:p>
    <w:p>
      <w:pPr>
        <w:spacing w:after="0" w:line="9" w:lineRule="exact"/>
        <w:rPr>
          <w:rFonts w:ascii="Arial" w:cs="Arial" w:eastAsia="Arial" w:hAnsi="Arial"/>
          <w:sz w:val="18"/>
          <w:szCs w:val="18"/>
          <w:color w:val="auto"/>
        </w:rPr>
      </w:pPr>
    </w:p>
    <w:p>
      <w:pPr>
        <w:ind w:left="660" w:right="28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increases in noninterest income were partially offset by a decrease in gain on sale of residential loans held for sale of $251 thousand, due to a lower volume sold in the quarter.</w:t>
      </w:r>
    </w:p>
    <w:p>
      <w:pPr>
        <w:sectPr>
          <w:pgSz w:w="11900" w:h="16838" w:orient="portrait"/>
          <w:cols w:equalWidth="0" w:num="1">
            <w:col w:w="11420"/>
          </w:cols>
          <w:pgMar w:left="240" w:top="118"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Noninterest expense increased by $88 thousand for the quarter ended September 30, 2017, compared to the quarter ended September 30, 2016, primarily due to the following:</w:t>
      </w:r>
    </w:p>
    <w:p>
      <w:pPr>
        <w:spacing w:after="0" w:line="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data processing fees of $183 thousand, primarily due to the outsourcing of data processing.</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 in data processing fees was partially offset by a decrease in occupancy and equipment expense of $120 thousand, primarily due to lower computer equipment and software depreciation.</w:t>
      </w:r>
    </w:p>
    <w:p>
      <w:pPr>
        <w:spacing w:after="0" w:line="184"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 xml:space="preserve">Income tax expense increased by $602 thousand for the quarter ended September 30, 2017, compared to the quarter ended September 30, 2016, primarily due to the increase in income before income tax expense, offset by the effects of the adoption of ASU 2016-09, </w:t>
      </w:r>
      <w:r>
        <w:rPr>
          <w:rFonts w:ascii="Arial" w:cs="Arial" w:eastAsia="Arial" w:hAnsi="Arial"/>
          <w:sz w:val="16"/>
          <w:szCs w:val="16"/>
          <w:i w:val="1"/>
          <w:iCs w:val="1"/>
          <w:color w:val="auto"/>
        </w:rPr>
        <w:t>Compensation—Stock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to Employee Share-Based Payment Accounting </w:t>
      </w:r>
      <w:r>
        <w:rPr>
          <w:rFonts w:ascii="Arial" w:cs="Arial" w:eastAsia="Arial" w:hAnsi="Arial"/>
          <w:sz w:val="16"/>
          <w:szCs w:val="16"/>
          <w:color w:val="auto"/>
        </w:rPr>
        <w:t>(“ASU 2016-09”). For further information regarding the implementation of ASU 2016-09, see</w:t>
      </w:r>
      <w:r>
        <w:rPr>
          <w:rFonts w:ascii="Arial" w:cs="Arial" w:eastAsia="Arial" w:hAnsi="Arial"/>
          <w:sz w:val="16"/>
          <w:szCs w:val="16"/>
          <w:i w:val="1"/>
          <w:iCs w:val="1"/>
          <w:color w:val="auto"/>
        </w:rPr>
        <w:t xml:space="preserve"> </w:t>
      </w:r>
      <w:r>
        <w:rPr>
          <w:rFonts w:ascii="Arial" w:cs="Arial" w:eastAsia="Arial" w:hAnsi="Arial"/>
          <w:sz w:val="16"/>
          <w:szCs w:val="16"/>
          <w:color w:val="auto"/>
        </w:rPr>
        <w:t>Part I. Item I. “Notes to Unaudited Consolidated Financial Statements — Note 2: Recent Accounting Pronouncements.”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As of September 30, 2017, total assets were $1.0 billion, a decrease of $27.2 million, or 2.5%, from total assets of $1.1 billion as of June 30, 2017. The principal components of the change in the balance sheet follow:</w:t>
      </w:r>
    </w:p>
    <w:p>
      <w:pPr>
        <w:spacing w:after="0" w:line="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$74.4 million of loans were originated or acquired during the quarter ended September 30, 2017. Loans generated by the Bank's LASG totaled $44.5 million, which consisted of $3.7 million of purchased loans, at an average price of 84.6% of unpaid principal balance, and $40.8 million of originated loans. The Bank's SBA Division closed $7.8 million of new loans during the quarter, of which $5.9 million were funded. In addition, the Company sold $9.1 million of the guaranteed portion of SBA loans in the secondary market, of which $3.1 million were originated in the current quarter and $6.0 million were originated or purchased in prior quarters. Residential loan production sold in the secondary market totaled $19.2 million for the quarter.</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totality, the loan portfolio – excluding loans held for sale – decreased by $19.6 million, or 2.5%, compared to June 30, 2017, primarily due to payoffs, pay-downs and sales in the portfolio, partially offset by originations.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changes in the loan portfolio for the three months ended September 30, 2017:</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8"/>
                <w:szCs w:val="18"/>
                <w:color w:val="auto"/>
              </w:rPr>
            </w:pPr>
          </w:p>
        </w:tc>
      </w:tr>
      <w:tr>
        <w:trPr>
          <w:trHeight w:val="230"/>
        </w:trPr>
        <w:tc>
          <w:tcPr>
            <w:tcW w:w="5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September 30, 2017</w:t>
            </w:r>
          </w:p>
        </w:tc>
      </w:tr>
      <w:tr>
        <w:trPr>
          <w:trHeight w:val="195"/>
        </w:trPr>
        <w:tc>
          <w:tcPr>
            <w:tcW w:w="53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(Dollars in</w:t>
            </w:r>
          </w:p>
        </w:tc>
        <w:tc>
          <w:tcPr>
            <w:tcW w:w="80" w:type="dxa"/>
            <w:vAlign w:val="bottom"/>
          </w:tcPr>
          <w:p>
            <w:pPr>
              <w:spacing w:after="0"/>
              <w:rPr>
                <w:sz w:val="16"/>
                <w:szCs w:val="16"/>
                <w:color w:val="auto"/>
              </w:rPr>
            </w:pPr>
          </w:p>
        </w:tc>
      </w:tr>
      <w:tr>
        <w:trPr>
          <w:trHeight w:val="230"/>
        </w:trPr>
        <w:tc>
          <w:tcPr>
            <w:tcW w:w="5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thousands)</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Loan Portfolio Changes:</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LASG originations and acquisitions</w:t>
            </w:r>
          </w:p>
        </w:tc>
        <w:tc>
          <w:tcPr>
            <w:tcW w:w="2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44,430</w:t>
            </w:r>
          </w:p>
        </w:tc>
      </w:tr>
      <w:tr>
        <w:trPr>
          <w:trHeight w:val="216"/>
        </w:trPr>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SBA and USDA funded originations</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5,913</w:t>
            </w: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Community Banking Division originations</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22,147</w:t>
            </w:r>
          </w:p>
        </w:tc>
      </w:tr>
      <w:tr>
        <w:trPr>
          <w:trHeight w:val="216"/>
        </w:trPr>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SBA loan sales</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(9,135)</w:t>
            </w: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Residential loan sales</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(19,153)</w:t>
            </w:r>
          </w:p>
        </w:tc>
      </w:tr>
      <w:tr>
        <w:trPr>
          <w:trHeight w:val="216"/>
        </w:trPr>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 to real estate owned</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w:t>
            </w: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Payoffs, pay-downs and amortization, net</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(62,599)</w:t>
            </w:r>
          </w:p>
        </w:tc>
      </w:tr>
      <w:tr>
        <w:trPr>
          <w:trHeight w:val="20"/>
        </w:trPr>
        <w:tc>
          <w:tcPr>
            <w:tcW w:w="5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2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(19,611)</w:t>
            </w: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noted above in the “</w:t>
      </w:r>
      <w:r>
        <w:rPr>
          <w:rFonts w:ascii="Arial" w:cs="Arial" w:eastAsia="Arial" w:hAnsi="Arial"/>
          <w:sz w:val="18"/>
          <w:szCs w:val="18"/>
          <w:i w:val="1"/>
          <w:iCs w:val="1"/>
          <w:color w:val="auto"/>
        </w:rPr>
        <w:t>Business Overview</w:t>
      </w:r>
      <w:r>
        <w:rPr>
          <w:rFonts w:ascii="Arial" w:cs="Arial" w:eastAsia="Arial" w:hAnsi="Arial"/>
          <w:sz w:val="18"/>
          <w:szCs w:val="18"/>
          <w:color w:val="auto"/>
        </w:rPr>
        <w:t>” section, the Company made certain commitments to the Board of Governors of the Federal Reserve System in connection with the merger of FHB with and into the Company in December 2010. The Company’s loan purchase and commercial real estate loan availability under these conditions follow.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Availability at</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Basis for</w:t>
            </w:r>
          </w:p>
        </w:tc>
        <w:tc>
          <w:tcPr>
            <w:tcW w:w="2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2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Regulatory Condition</w:t>
            </w:r>
          </w:p>
        </w:tc>
        <w:tc>
          <w:tcPr>
            <w:tcW w:w="220" w:type="dxa"/>
            <w:vAlign w:val="bottom"/>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Condition</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6"/>
              </w:rPr>
              <w:t>(Dollars in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millions)</w:t>
            </w:r>
          </w:p>
        </w:tc>
        <w:tc>
          <w:tcPr>
            <w:tcW w:w="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22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 may not exceed 40% of total loans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w:t>
            </w:r>
          </w:p>
        </w:tc>
        <w:tc>
          <w:tcPr>
            <w:tcW w:w="2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Regulatory Capital</w:t>
            </w:r>
          </w:p>
        </w:tc>
        <w:tc>
          <w:tcPr>
            <w:tcW w:w="22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w w:val="97"/>
              </w:rPr>
              <w:t>Non-owner occupied commercial real estate loans may not exceed 300% of total capital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207.1</w:t>
            </w:r>
          </w:p>
        </w:tc>
        <w:tc>
          <w:tcPr>
            <w:tcW w:w="2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040" w:type="dxa"/>
            <w:vAlign w:val="bottom"/>
            <w:gridSpan w:val="2"/>
          </w:tcPr>
          <w:p>
            <w:pPr>
              <w:jc w:val="right"/>
              <w:ind w:right="365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8"/>
          </w:tcPr>
          <w:p>
            <w:pPr>
              <w:spacing w:after="0"/>
              <w:rPr>
                <w:sz w:val="20"/>
                <w:szCs w:val="20"/>
                <w:color w:val="auto"/>
              </w:rPr>
            </w:pPr>
            <w:r>
              <w:rPr>
                <w:rFonts w:ascii="Arial" w:cs="Arial" w:eastAsia="Arial" w:hAnsi="Arial"/>
                <w:sz w:val="18"/>
                <w:szCs w:val="18"/>
                <w:color w:val="auto"/>
              </w:rPr>
              <w:t>An overview of the Bank’s LASG portfolio follows:</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8"/>
                <w:szCs w:val="18"/>
                <w:color w:val="auto"/>
              </w:rPr>
              <w:t>LASG Portfolio</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12"/>
          </w:tcPr>
          <w:p>
            <w:pPr>
              <w:jc w:val="right"/>
              <w:ind w:right="70"/>
              <w:spacing w:after="0"/>
              <w:rPr>
                <w:sz w:val="20"/>
                <w:szCs w:val="20"/>
                <w:color w:val="auto"/>
              </w:rPr>
            </w:pPr>
            <w:r>
              <w:rPr>
                <w:rFonts w:ascii="Arial" w:cs="Arial" w:eastAsia="Arial" w:hAnsi="Arial"/>
                <w:sz w:val="18"/>
                <w:szCs w:val="18"/>
                <w:color w:val="auto"/>
                <w:w w:val="92"/>
              </w:rPr>
              <w:t>Three Months Ended September 30,</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rPr>
              <w:t>2016</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ind w:left="140"/>
              <w:spacing w:after="0" w:line="195" w:lineRule="exact"/>
              <w:rPr>
                <w:sz w:val="20"/>
                <w:szCs w:val="20"/>
                <w:color w:val="auto"/>
              </w:rPr>
            </w:pPr>
            <w:r>
              <w:rPr>
                <w:rFonts w:ascii="Arial" w:cs="Arial" w:eastAsia="Arial" w:hAnsi="Arial"/>
                <w:sz w:val="18"/>
                <w:szCs w:val="18"/>
                <w:color w:val="auto"/>
                <w:w w:val="92"/>
              </w:rPr>
              <w:t>Secured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Secured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Arial" w:cs="Arial" w:eastAsia="Arial" w:hAnsi="Arial"/>
                <w:sz w:val="18"/>
                <w:szCs w:val="18"/>
                <w:color w:val="auto"/>
                <w:w w:val="92"/>
              </w:rPr>
              <w:t>Loans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Loans to</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Broker-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Broker-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Purchased</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Originated</w:t>
            </w:r>
          </w:p>
        </w:tc>
        <w:tc>
          <w:tcPr>
            <w:tcW w:w="6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w w:val="96"/>
              </w:rPr>
              <w:t>Dealers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Total LASG</w:t>
            </w:r>
          </w:p>
        </w:tc>
        <w:tc>
          <w:tcPr>
            <w:tcW w:w="6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Purchased</w:t>
            </w:r>
          </w:p>
        </w:tc>
        <w:tc>
          <w:tcPr>
            <w:tcW w:w="60" w:type="dxa"/>
            <w:vAlign w:val="bottom"/>
          </w:tcPr>
          <w:p>
            <w:pPr>
              <w:spacing w:after="0"/>
              <w:rPr>
                <w:sz w:val="20"/>
                <w:szCs w:val="20"/>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Originated</w:t>
            </w:r>
          </w:p>
        </w:tc>
        <w:tc>
          <w:tcPr>
            <w:tcW w:w="10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Dealers</w:t>
            </w:r>
          </w:p>
        </w:tc>
        <w:tc>
          <w:tcPr>
            <w:tcW w:w="6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Total LASG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purchased or</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8"/>
              </w:rPr>
              <w:t>originated during the period:</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4,318</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40,779</w:t>
            </w:r>
          </w:p>
        </w:tc>
        <w:tc>
          <w:tcPr>
            <w:tcW w:w="84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45,097</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16,790</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42,002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40,779</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44,430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13,853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42,002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 returns during the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Yield (1)</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8.85%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10.40%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(1) (2)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loans as of period end: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262,144</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340,756</w:t>
            </w:r>
          </w:p>
        </w:tc>
        <w:tc>
          <w:tcPr>
            <w:tcW w:w="84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602,900</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269,462</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206,748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48,000</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231,232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340,756</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571,988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237,103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206,748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491,851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 Purchased loan balances include loans held for sale of $1.2 million and $789 thousand as of September 30, 2017 and 2016, respectively.</w:t>
      </w:r>
    </w:p>
    <w:p>
      <w:pPr>
        <w:spacing w:after="0" w:line="35"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(2)The total return on purchased loans represents scheduled accretion, accelerated accretion, gains on asset sales, and other noninterest income recorded during the period divided by the average invested balance, which includes loans held for sale, on an annualized basis. The total return does not include the effect of purchased loan charge-offs or recoveries in the quarter. Total return is considered a non-GAAP financial measure.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Due from Banks, Short-Term Investments and Available-for-Sale Securities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and cash equivalents were $150.8 million as of September 30, 2017, a decrease of $12.5 million, or 7.6%, from $163.3 million at June 30, 2017. The decrease is primarily due to the decrease in deposits, offset by the decrease in loans in the period.</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Available-for-sale securities totaled $94.5 million as of September 30, 2017, compared to $96.7 million as of June 30, 2017, representing a decrease of $2.2 million, or 2.3%, primarily due to principal payments on mortgage backed securities. Included in available-for-sale securities are securities issued by government agencies and government-sponsored enterprises, as well as an investment of approximately $5.0 million in a CRA qualified fund that seeks to invest in securities either issued or guaranteed by the U.S. government or its agencies, as well as an investment of approximately $1.5 million in a CRA qualified fund that primarily invests in the federally guaranteed portion of SBA 7(a) loans. At September 30, 2017, no securities were pledged for outstanding borrowings.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portfolio (excluding loans held-for-sale) by lending division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8"/>
              </w:rPr>
              <w:t>September 30, 2017</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5"/>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4"/>
              </w:rPr>
              <w:t>Community</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Banking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230"/>
        </w:trPr>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Division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LASG</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8"/>
              </w:rPr>
              <w:t>SBA Division</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20"/>
                <w:szCs w:val="20"/>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gridSpan w:val="5"/>
          </w:tcPr>
          <w:p>
            <w:pPr>
              <w:jc w:val="center"/>
              <w:ind w:right="145"/>
              <w:spacing w:after="0"/>
              <w:rPr>
                <w:sz w:val="20"/>
                <w:szCs w:val="20"/>
                <w:color w:val="auto"/>
              </w:rPr>
            </w:pPr>
            <w:r>
              <w:rPr>
                <w:rFonts w:ascii="Arial" w:cs="Arial" w:eastAsia="Arial" w:hAnsi="Arial"/>
                <w:sz w:val="18"/>
                <w:szCs w:val="18"/>
                <w:color w:val="auto"/>
                <w:w w:val="90"/>
              </w:rPr>
              <w:t>(Dollars in thousands)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00" w:type="dxa"/>
            <w:vAlign w:val="bottom"/>
            <w:shd w:val="clear" w:color="auto" w:fill="CCEEFF"/>
          </w:tcPr>
          <w:p>
            <w:pPr>
              <w:jc w:val="center"/>
              <w:ind w:right="3350"/>
              <w:spacing w:after="0"/>
              <w:rPr>
                <w:sz w:val="20"/>
                <w:szCs w:val="20"/>
                <w:color w:val="auto"/>
              </w:rPr>
            </w:pPr>
            <w:r>
              <w:rPr>
                <w:rFonts w:ascii="Arial" w:cs="Arial" w:eastAsia="Arial" w:hAnsi="Arial"/>
                <w:sz w:val="18"/>
                <w:szCs w:val="18"/>
                <w:color w:val="auto"/>
                <w:w w:val="92"/>
              </w:rPr>
              <w:t>Originated loans: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76,433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7,302</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83,864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11.04%</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22,340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91,694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18,035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132,069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17.39%</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78,406</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22,434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114,172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15.03%</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163,354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7,272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182,390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24.01%</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0.54%</w:t>
            </w:r>
          </w:p>
        </w:tc>
      </w:tr>
      <w:tr>
        <w:trPr>
          <w:trHeight w:val="20"/>
        </w:trPr>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700" w:type="dxa"/>
            <w:vAlign w:val="bottom"/>
          </w:tcPr>
          <w:p>
            <w:pPr>
              <w:jc w:val="center"/>
              <w:ind w:right="3330"/>
              <w:spacing w:after="0"/>
              <w:rPr>
                <w:sz w:val="20"/>
                <w:szCs w:val="20"/>
                <w:color w:val="auto"/>
              </w:rPr>
            </w:pPr>
            <w:r>
              <w:rPr>
                <w:rFonts w:ascii="Arial" w:cs="Arial" w:eastAsia="Arial" w:hAnsi="Arial"/>
                <w:sz w:val="18"/>
                <w:szCs w:val="18"/>
                <w:color w:val="auto"/>
                <w:w w:val="90"/>
              </w:rPr>
              <w:t>Subtotal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140,944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340,756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47,870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529,570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69.72%</w:t>
            </w:r>
          </w:p>
        </w:tc>
      </w:tr>
      <w:tr>
        <w:trPr>
          <w:trHeight w:val="216"/>
        </w:trPr>
        <w:tc>
          <w:tcPr>
            <w:tcW w:w="4700" w:type="dxa"/>
            <w:vAlign w:val="bottom"/>
            <w:shd w:val="clear" w:color="auto" w:fill="CCEEFF"/>
          </w:tcPr>
          <w:p>
            <w:pPr>
              <w:jc w:val="center"/>
              <w:ind w:right="3390"/>
              <w:spacing w:after="0"/>
              <w:rPr>
                <w:sz w:val="20"/>
                <w:szCs w:val="20"/>
                <w:color w:val="auto"/>
              </w:rPr>
            </w:pPr>
            <w:r>
              <w:rPr>
                <w:rFonts w:ascii="Arial" w:cs="Arial" w:eastAsia="Arial" w:hAnsi="Arial"/>
                <w:sz w:val="18"/>
                <w:szCs w:val="18"/>
                <w:color w:val="auto"/>
                <w:w w:val="87"/>
              </w:rPr>
              <w:t>Purchased loans: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3,208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125,185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125,185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16.48%</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100,420</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100,420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13.22%</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r>
      <w:tr>
        <w:trPr>
          <w:trHeight w:val="20"/>
        </w:trPr>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jc w:val="center"/>
              <w:ind w:right="3330"/>
              <w:spacing w:after="0"/>
              <w:rPr>
                <w:sz w:val="20"/>
                <w:szCs w:val="20"/>
                <w:color w:val="auto"/>
              </w:rPr>
            </w:pPr>
            <w:r>
              <w:rPr>
                <w:rFonts w:ascii="Arial" w:cs="Arial" w:eastAsia="Arial" w:hAnsi="Arial"/>
                <w:sz w:val="18"/>
                <w:szCs w:val="18"/>
                <w:color w:val="auto"/>
                <w:w w:val="90"/>
              </w:rPr>
              <w:t>Subtotal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230,014</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230,014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30.28%</w:t>
            </w:r>
          </w:p>
        </w:tc>
      </w:tr>
      <w:tr>
        <w:trPr>
          <w:trHeight w:val="20"/>
        </w:trPr>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70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140,944</w:t>
            </w:r>
          </w:p>
        </w:tc>
        <w:tc>
          <w:tcPr>
            <w:tcW w:w="1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570,770</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47,870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759,584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406"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406" w:gutter="0" w:footer="0" w:header="0"/>
          <w:type w:val="continuous"/>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7"/>
              </w:rPr>
              <w:t>June 30, 2017</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5"/>
        </w:trPr>
        <w:tc>
          <w:tcPr>
            <w:tcW w:w="4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4"/>
              </w:rPr>
              <w:t>Community</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Banking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230"/>
        </w:trPr>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Division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LASG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8"/>
              </w:rPr>
              <w:t>SBA Division</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20"/>
                <w:szCs w:val="20"/>
                <w:color w:val="auto"/>
              </w:rPr>
            </w:pPr>
          </w:p>
        </w:tc>
      </w:tr>
      <w:tr>
        <w:trPr>
          <w:trHeight w:val="210"/>
        </w:trPr>
        <w:tc>
          <w:tcPr>
            <w:tcW w:w="4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gridSpan w:val="6"/>
          </w:tcPr>
          <w:p>
            <w:pPr>
              <w:jc w:val="center"/>
              <w:ind w:right="145"/>
              <w:spacing w:after="0"/>
              <w:rPr>
                <w:sz w:val="20"/>
                <w:szCs w:val="20"/>
                <w:color w:val="auto"/>
              </w:rPr>
            </w:pPr>
            <w:r>
              <w:rPr>
                <w:rFonts w:ascii="Arial" w:cs="Arial" w:eastAsia="Arial" w:hAnsi="Arial"/>
                <w:sz w:val="18"/>
                <w:szCs w:val="18"/>
                <w:color w:val="auto"/>
                <w:w w:val="90"/>
              </w:rPr>
              <w:t>(Dollars in thousands)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jc w:val="center"/>
              <w:ind w:right="2710"/>
              <w:spacing w:after="0"/>
              <w:rPr>
                <w:sz w:val="20"/>
                <w:szCs w:val="20"/>
                <w:color w:val="auto"/>
              </w:rPr>
            </w:pPr>
            <w:r>
              <w:rPr>
                <w:rFonts w:ascii="Arial" w:cs="Arial" w:eastAsia="Arial" w:hAnsi="Arial"/>
                <w:sz w:val="18"/>
                <w:szCs w:val="18"/>
                <w:color w:val="auto"/>
                <w:w w:val="92"/>
              </w:rPr>
              <w:t>Originated loans: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81,538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2,092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83,759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10.75%</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23,638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90,154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23,720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137,512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17.65%</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83,446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21,820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118,768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154,823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7,296</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174,468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22.39%</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0.56%</w:t>
            </w:r>
          </w:p>
        </w:tc>
      </w:tr>
      <w:tr>
        <w:trPr>
          <w:trHeight w:val="20"/>
        </w:trPr>
        <w:tc>
          <w:tcPr>
            <w:tcW w:w="40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060" w:type="dxa"/>
            <w:vAlign w:val="bottom"/>
          </w:tcPr>
          <w:p>
            <w:pPr>
              <w:jc w:val="center"/>
              <w:ind w:right="2690"/>
              <w:spacing w:after="0"/>
              <w:rPr>
                <w:sz w:val="20"/>
                <w:szCs w:val="20"/>
                <w:color w:val="auto"/>
              </w:rPr>
            </w:pPr>
            <w:r>
              <w:rPr>
                <w:rFonts w:ascii="Arial" w:cs="Arial" w:eastAsia="Arial" w:hAnsi="Arial"/>
                <w:sz w:val="18"/>
                <w:szCs w:val="18"/>
                <w:color w:val="auto"/>
                <w:w w:val="90"/>
              </w:rPr>
              <w:t>Subtotal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149,327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330,515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52,965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532,807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68.38%</w:t>
            </w:r>
          </w:p>
        </w:tc>
      </w:tr>
      <w:tr>
        <w:trPr>
          <w:trHeight w:val="216"/>
        </w:trPr>
        <w:tc>
          <w:tcPr>
            <w:tcW w:w="4060" w:type="dxa"/>
            <w:vAlign w:val="bottom"/>
            <w:shd w:val="clear" w:color="auto" w:fill="CCEEFF"/>
          </w:tcPr>
          <w:p>
            <w:pPr>
              <w:jc w:val="center"/>
              <w:ind w:right="2750"/>
              <w:spacing w:after="0"/>
              <w:rPr>
                <w:sz w:val="20"/>
                <w:szCs w:val="20"/>
                <w:color w:val="auto"/>
              </w:rPr>
            </w:pPr>
            <w:r>
              <w:rPr>
                <w:rFonts w:ascii="Arial" w:cs="Arial" w:eastAsia="Arial" w:hAnsi="Arial"/>
                <w:sz w:val="18"/>
                <w:szCs w:val="18"/>
                <w:color w:val="auto"/>
                <w:w w:val="87"/>
              </w:rPr>
              <w:t>Purchased loans: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3,478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134,970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134,970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106,754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106,754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r>
      <w:tr>
        <w:trPr>
          <w:trHeight w:val="20"/>
        </w:trPr>
        <w:tc>
          <w:tcPr>
            <w:tcW w:w="40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060" w:type="dxa"/>
            <w:vAlign w:val="bottom"/>
          </w:tcPr>
          <w:p>
            <w:pPr>
              <w:jc w:val="center"/>
              <w:ind w:right="2690"/>
              <w:spacing w:after="0"/>
              <w:rPr>
                <w:sz w:val="20"/>
                <w:szCs w:val="20"/>
                <w:color w:val="auto"/>
              </w:rPr>
            </w:pPr>
            <w:r>
              <w:rPr>
                <w:rFonts w:ascii="Arial" w:cs="Arial" w:eastAsia="Arial" w:hAnsi="Arial"/>
                <w:sz w:val="18"/>
                <w:szCs w:val="18"/>
                <w:color w:val="auto"/>
                <w:w w:val="90"/>
              </w:rPr>
              <w:t>Subtotal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246,388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246,388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31.62%</w:t>
            </w:r>
          </w:p>
        </w:tc>
      </w:tr>
      <w:tr>
        <w:trPr>
          <w:trHeight w:val="20"/>
        </w:trPr>
        <w:tc>
          <w:tcPr>
            <w:tcW w:w="4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149,327</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576,903</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52,965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779,195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40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Loans are classified as nonperforming when 90 or more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cases where a borrower experiences financial difficulties and the Company makes certain concessionary modifications,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8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written down to its estimated realizable value upon repossession. Revenues and expenses are recognized in the period when received or incurred on OREO and in substance foreclosures. Gains and losses on disposition are recognized in noninterest income.</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September 30, 2017 and June 30, 2017. Management believes that, based on their carrying amounts, nonperforming assets are well secured based on the estimated fair value of underlying collateral.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100" w:type="dxa"/>
            <w:vAlign w:val="bottom"/>
            <w:gridSpan w:val="11"/>
          </w:tcPr>
          <w:p>
            <w:pPr>
              <w:jc w:val="right"/>
              <w:ind w:right="940"/>
              <w:spacing w:after="0"/>
              <w:rPr>
                <w:sz w:val="20"/>
                <w:szCs w:val="20"/>
                <w:color w:val="auto"/>
              </w:rPr>
            </w:pPr>
            <w:r>
              <w:rPr>
                <w:rFonts w:ascii="Arial" w:cs="Arial" w:eastAsia="Arial" w:hAnsi="Arial"/>
                <w:sz w:val="18"/>
                <w:szCs w:val="18"/>
                <w:color w:val="auto"/>
              </w:rPr>
              <w:t>Nonperforming Assets at September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Originated</w:t>
            </w:r>
          </w:p>
        </w:tc>
        <w:tc>
          <w:tcPr>
            <w:tcW w:w="4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Purchased</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(Dollars in thousands)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160" w:type="dxa"/>
            <w:vAlign w:val="bottom"/>
          </w:tcPr>
          <w:p>
            <w:pPr>
              <w:jc w:val="right"/>
              <w:ind w:right="997"/>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3,667</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1,078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2,409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6,653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2,629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8,894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6"/>
              </w:rPr>
              <w:t>Real estate owned and other repossessed collateral</w:t>
            </w: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ind w:right="99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8,898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18,692</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020" w:type="dxa"/>
            <w:vAlign w:val="bottom"/>
            <w:tcBorders>
              <w:top w:val="single" w:sz="8" w:color="CCEEFF"/>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loans to total loans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9"/>
              </w:rPr>
              <w:t>Commercial loans risk rated substandard or worse</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accrual status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On nonaccrual status</w:t>
            </w: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96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960" w:gutter="0" w:footer="0" w:header="0"/>
          <w:type w:val="continuous"/>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00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8"/>
                <w:szCs w:val="18"/>
                <w:color w:val="auto"/>
              </w:rPr>
              <w:t>Nonperforming Assets at June 30, 2017</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Originated</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Purchased</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99"/>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(Dollars in thousands)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160" w:type="dxa"/>
            <w:vAlign w:val="bottom"/>
          </w:tcPr>
          <w:p>
            <w:pPr>
              <w:jc w:val="right"/>
              <w:ind w:right="997"/>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3,337</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1,056</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6,364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2,600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6"/>
              </w:rPr>
              <w:t>Real estate owned and other repossessed collateral</w:t>
            </w: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ind w:right="99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6,515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8,274</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14,789</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020" w:type="dxa"/>
            <w:vAlign w:val="bottom"/>
            <w:tcBorders>
              <w:top w:val="single" w:sz="8" w:color="CCEEFF"/>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loans to total loans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9"/>
              </w:rPr>
              <w:t>Commercial loans risk rated substandard or worse</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accrual status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Nonaccrual status</w:t>
            </w: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As of September 30, 2017, nonperforming assets totaled $18.7 million, or 1.78% of total assets, as compared to $14.8 million, or 1.37% of total assets, as of June 30, 2017. The increase of $3.9 million from June 30, 2017 is primarily due to three loans placed on non-accrual totaling $3.4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Company’s allowance for loan losses was $4.0 million as of September 30, 2017, compared to $3.7 million as of June 30, 2017. The increase in the period is primarily the result of the effect of changes in the qualitative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1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September 30, 2017</w:t>
            </w:r>
          </w:p>
        </w:tc>
        <w:tc>
          <w:tcPr>
            <w:tcW w:w="220" w:type="dxa"/>
            <w:vAlign w:val="bottom"/>
          </w:tcPr>
          <w:p>
            <w:pPr>
              <w:spacing w:after="0"/>
              <w:rPr>
                <w:sz w:val="20"/>
                <w:szCs w:val="20"/>
                <w:color w:val="auto"/>
              </w:rPr>
            </w:pPr>
          </w:p>
        </w:tc>
        <w:tc>
          <w:tcPr>
            <w:tcW w:w="1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June 30, 2017</w:t>
            </w:r>
          </w:p>
        </w:tc>
        <w:tc>
          <w:tcPr>
            <w:tcW w:w="220" w:type="dxa"/>
            <w:vAlign w:val="bottom"/>
          </w:tcPr>
          <w:p>
            <w:pPr>
              <w:spacing w:after="0"/>
              <w:rPr>
                <w:sz w:val="20"/>
                <w:szCs w:val="20"/>
                <w:color w:val="auto"/>
              </w:rPr>
            </w:pPr>
          </w:p>
        </w:tc>
        <w:tc>
          <w:tcPr>
            <w:tcW w:w="1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September 30, 2016</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24.23%</w:t>
            </w:r>
          </w:p>
        </w:tc>
        <w:tc>
          <w:tcPr>
            <w:tcW w:w="2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8"/>
              </w:rPr>
              <w:t>26.25%</w:t>
            </w:r>
          </w:p>
        </w:tc>
        <w:tc>
          <w:tcPr>
            <w:tcW w:w="2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8"/>
              </w:rPr>
              <w:t>28.08%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0.53%</w:t>
            </w:r>
          </w:p>
        </w:tc>
        <w:tc>
          <w:tcPr>
            <w:tcW w:w="2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0.47%</w:t>
            </w:r>
          </w:p>
        </w:tc>
        <w:tc>
          <w:tcPr>
            <w:tcW w:w="2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0.35%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0.03%</w:t>
            </w:r>
          </w:p>
        </w:tc>
        <w:tc>
          <w:tcPr>
            <w:tcW w:w="2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0.04%</w:t>
            </w:r>
          </w:p>
        </w:tc>
        <w:tc>
          <w:tcPr>
            <w:tcW w:w="2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0.18%</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Premises and equipment, net, increased by $337 thousand, or 4.9%, to $7.3 million at September 30, 2017, compared to $6.9 million at June 30, 2017. The increase was primarily due to fixed assets acquired during the period, offset by depreciation.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Real estate owned and other repossessed collateral, net, increased by $1.2 million to $2.0 million at September 30, 2017, compared to $826 thousand at June 30, 2017. The increase was primarily due to the addition of one property into real estate owned during the period.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Intangible assets totaled $1.2 million and $1.3 million at September 30, 2017 and June 30, 2017, respectively. The $109 thousand decrease was the result of core deposit intangible asset amortization during the period.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Servicing rights totaled $3.0 million and $2.8 million at September 30, 2017 and June 30, 2017, respectively. The $109 thousand increase was the result of SBA loans sold during the quarter, offset by amortization.</w:t>
      </w:r>
    </w:p>
    <w:p>
      <w:pPr>
        <w:spacing w:after="0" w:line="1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cash surrender value of the Company’s bank-owned life insurance (“BOLI”) assets increased $112 thousand, or 0.7% to $16.3 million at September 30, 2017, compared to $16.2 million at June 30, 2017. Increases in cash surrender value are recognized in other income and are not subject to income taxes. Borrowing on, or surrendering a policy, may subject the Company to income tax expense on the increase in cash surrender value. For these reasons, management considers BOLI an illiquid asset. BOLI represented 10.5% of the Company’s regulatory total capital at September 30, 2017.</w:t>
      </w:r>
    </w:p>
    <w:p>
      <w:pPr>
        <w:sectPr>
          <w:pgSz w:w="11900" w:h="16838" w:orient="portrait"/>
          <w:cols w:equalWidth="0" w:num="1">
            <w:col w:w="11400"/>
          </w:cols>
          <w:pgMar w:left="240" w:top="118" w:right="259"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FHLBB Advances, Subordinated Debt, Liquidity, Capital, and Stock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September 30, 2017, non-maturity accounts, and non-brokered insured time deposits represented 100% of total deposits.</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Total deposits decreased $27.1 million to $862.7 million as of September 30, 2017 from $889.9 million as of June 30, 2017. The decrease was attributable primarily to a decrease in time deposits of $35.7 million, or 10.6%, partially offset by growth in non-maturity (demand, savings and interest checking, and money market) accounts, which increased by $8.6 million, or 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total deposits at September 30, 2017 and June 30, 2017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4"/>
          </w:tcPr>
          <w:p>
            <w:pPr>
              <w:jc w:val="right"/>
              <w:ind w:right="840"/>
              <w:spacing w:after="0"/>
              <w:rPr>
                <w:sz w:val="20"/>
                <w:szCs w:val="20"/>
                <w:color w:val="auto"/>
              </w:rPr>
            </w:pPr>
            <w:r>
              <w:rPr>
                <w:rFonts w:ascii="Arial" w:cs="Arial" w:eastAsia="Arial" w:hAnsi="Arial"/>
                <w:sz w:val="18"/>
                <w:szCs w:val="18"/>
                <w:color w:val="auto"/>
              </w:rPr>
              <w:t>September 30, 2017</w:t>
            </w:r>
          </w:p>
        </w:tc>
        <w:tc>
          <w:tcPr>
            <w:tcW w:w="220" w:type="dxa"/>
            <w:vAlign w:val="bottom"/>
          </w:tcPr>
          <w:p>
            <w:pPr>
              <w:spacing w:after="0"/>
              <w:rPr>
                <w:sz w:val="20"/>
                <w:szCs w:val="20"/>
                <w:color w:val="auto"/>
              </w:rPr>
            </w:pPr>
          </w:p>
        </w:tc>
        <w:tc>
          <w:tcPr>
            <w:tcW w:w="2580" w:type="dxa"/>
            <w:vAlign w:val="bottom"/>
            <w:gridSpan w:val="4"/>
          </w:tcPr>
          <w:p>
            <w:pPr>
              <w:jc w:val="right"/>
              <w:ind w:right="980"/>
              <w:spacing w:after="0"/>
              <w:rPr>
                <w:sz w:val="20"/>
                <w:szCs w:val="20"/>
                <w:color w:val="auto"/>
              </w:rPr>
            </w:pPr>
            <w:r>
              <w:rPr>
                <w:rFonts w:ascii="Arial" w:cs="Arial" w:eastAsia="Arial" w:hAnsi="Arial"/>
                <w:sz w:val="18"/>
                <w:szCs w:val="18"/>
                <w:color w:val="auto"/>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Percent of Total</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Percent of Total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jc w:val="right"/>
              <w:ind w:right="740"/>
              <w:spacing w:after="0"/>
              <w:rPr>
                <w:sz w:val="20"/>
                <w:szCs w:val="20"/>
                <w:color w:val="auto"/>
              </w:rPr>
            </w:pPr>
            <w:r>
              <w:rPr>
                <w:rFonts w:ascii="Arial" w:cs="Arial" w:eastAsia="Arial" w:hAnsi="Arial"/>
                <w:sz w:val="18"/>
                <w:szCs w:val="18"/>
                <w:color w:val="auto"/>
              </w:rPr>
              <w:t>(Dollars in thousands)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74,731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69,827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NOW accounts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68,003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71,247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37,688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37,170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Money market deposits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380,992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44.16%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374,569</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non-certificate accounts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561,414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552,814</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Term certificates of $250 thousand or less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301,309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34.93%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337,037</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Term certificates greater than $250 thousand</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Total certificate accounts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301,309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34.93%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337,037</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deposits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862,723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889,850</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FHLBB Advances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Advances from the Federal Home Loan Bank of Boston (“FHLBB”) were $20.0 million at both September 30, 2017 and June 30, 2017. As of September 30, 2017, the Company had pledged certain residential real estate loans and commercial real estate loans to secure outstanding advances and provide additional borrowing capacity. As of September 30, 2017, no securities were pledged for outstanding borrowings.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On June 29, 2016, the Company entered into a Subordinated Note Purchase Agreement with certain institutional accredited investors pursuant to which the Company issued subordinated notes equal to $15.05 million in aggregate principal amount with an interest rate of 6.75% fixed-to-floating maturing in 2026 (“subordinated notes”). The subordinated notes, net of issuance costs, totaled $14.6 million at both September 30, 2017 and June 30, 2017.</w:t>
      </w:r>
    </w:p>
    <w:p>
      <w:pPr>
        <w:spacing w:after="0" w:line="14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Company had junior subordinated debentures issued to affiliated trusts totaling $9.1 million and $9.0 million at September 30, 2017 and June 30,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unused borrowing capacity of the Company at September 30, 2017, in addition to traditional retail deposit products:</w:t>
      </w:r>
    </w:p>
    <w:p>
      <w:pPr>
        <w:sectPr>
          <w:pgSz w:w="11900" w:h="16838" w:orient="portrait"/>
          <w:cols w:equalWidth="0" w:num="1">
            <w:col w:w="11300"/>
          </w:cols>
          <w:pgMar w:left="24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Brokered time deposits</w:t>
      </w:r>
    </w:p>
    <w:p>
      <w:pPr>
        <w:spacing w:after="0" w:line="225"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Federal Home Loan Bank of Boston Federal Discount Window Borrower-in-Custody</w:t>
      </w:r>
    </w:p>
    <w:p>
      <w:pPr>
        <w:ind w:left="500"/>
        <w:spacing w:after="0"/>
        <w:rPr>
          <w:sz w:val="20"/>
          <w:szCs w:val="20"/>
          <w:color w:val="auto"/>
        </w:rPr>
      </w:pPr>
      <w:r>
        <w:rPr>
          <w:rFonts w:ascii="Arial" w:cs="Arial" w:eastAsia="Arial" w:hAnsi="Arial"/>
          <w:sz w:val="18"/>
          <w:szCs w:val="18"/>
          <w:color w:val="auto"/>
        </w:rPr>
        <w:t>Other available lines</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unused borrowing capacity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6060"/>
        <w:spacing w:after="0"/>
        <w:rPr>
          <w:sz w:val="20"/>
          <w:szCs w:val="20"/>
          <w:color w:val="auto"/>
        </w:rPr>
      </w:pPr>
      <w:r>
        <w:rPr>
          <w:rFonts w:ascii="Arial" w:cs="Arial" w:eastAsia="Arial" w:hAnsi="Arial"/>
          <w:sz w:val="17"/>
          <w:szCs w:val="17"/>
          <w:color w:val="auto"/>
        </w:rPr>
        <w:t>As of September 30,</w:t>
      </w:r>
    </w:p>
    <w:p>
      <w:pPr>
        <w:spacing w:after="0" w:line="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2017</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(Dollars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9861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thousands)</w:t>
      </w:r>
    </w:p>
    <w:p>
      <w:pPr>
        <w:spacing w:after="0" w:line="9" w:lineRule="exact"/>
        <w:rPr>
          <w:sz w:val="20"/>
          <w:szCs w:val="20"/>
          <w:color w:val="auto"/>
        </w:rPr>
      </w:pPr>
    </w:p>
    <w:p>
      <w:pPr>
        <w:ind w:left="1640" w:right="1840" w:hanging="1639"/>
        <w:spacing w:after="0" w:line="281" w:lineRule="auto"/>
        <w:tabs>
          <w:tab w:leader="none" w:pos="974" w:val="left"/>
        </w:tabs>
        <w:numPr>
          <w:ilvl w:val="0"/>
          <w:numId w:val="21"/>
        </w:numPr>
        <w:rPr>
          <w:rFonts w:ascii="Arial" w:cs="Arial" w:eastAsia="Arial" w:hAnsi="Arial"/>
          <w:sz w:val="16"/>
          <w:szCs w:val="16"/>
          <w:color w:val="auto"/>
        </w:rPr>
      </w:pPr>
      <w:r>
        <w:rPr>
          <w:rFonts w:ascii="Arial" w:cs="Arial" w:eastAsia="Arial" w:hAnsi="Arial"/>
          <w:sz w:val="16"/>
          <w:szCs w:val="16"/>
          <w:color w:val="auto"/>
        </w:rPr>
        <w:t>262,409 Subject to policy limitation of 25% of total assets Unused advance capacity subject to eligible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-2022475</wp:posOffset>
            </wp:positionH>
            <wp:positionV relativeFrom="paragraph">
              <wp:posOffset>-273050</wp:posOffset>
            </wp:positionV>
            <wp:extent cx="57975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8"/>
          <w:szCs w:val="18"/>
          <w:color w:val="auto"/>
        </w:rPr>
        <w:t>55,328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-2022475</wp:posOffset>
            </wp:positionH>
            <wp:positionV relativeFrom="paragraph">
              <wp:posOffset>5715</wp:posOffset>
            </wp:positionV>
            <wp:extent cx="579755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spacing w:after="0" w:line="19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1,325 Unused credit line subject to the pledge of loans</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17,500</w:t>
      </w:r>
    </w:p>
    <w:p>
      <w:pPr>
        <w:spacing w:after="0" w:line="9" w:lineRule="exact"/>
        <w:rPr>
          <w:sz w:val="20"/>
          <w:szCs w:val="20"/>
          <w:color w:val="auto"/>
        </w:rPr>
      </w:pPr>
    </w:p>
    <w:p>
      <w:pPr>
        <w:ind w:left="960" w:hanging="95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336,562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-2022475</wp:posOffset>
            </wp:positionH>
            <wp:positionV relativeFrom="paragraph">
              <wp:posOffset>-130810</wp:posOffset>
            </wp:positionV>
            <wp:extent cx="579755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3380" w:space="300"/>
            <w:col w:w="7620"/>
          </w:cols>
          <w:pgMar w:left="240" w:top="118" w:right="359" w:bottom="1440" w:gutter="0" w:footer="0" w:header="0"/>
          <w:type w:val="continuous"/>
        </w:sectPr>
      </w:pPr>
    </w:p>
    <w:p>
      <w:pPr>
        <w:spacing w:after="0" w:line="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Retail deposits and other core deposit sources including deposit listing services are used by the Bank to manage its overall liquidity position. While we currently do not seek wholesale funding such as FHLBB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FHLBB advance capacity, the purchase of additional capital stock of the FHLBB may be required.</w:t>
      </w:r>
    </w:p>
    <w:p>
      <w:pPr>
        <w:sectPr>
          <w:pgSz w:w="11900" w:h="16838" w:orient="portrait"/>
          <w:cols w:equalWidth="0" w:num="1">
            <w:col w:w="11300"/>
          </w:cols>
          <w:pgMar w:left="240" w:top="118" w:right="359" w:bottom="1440" w:gutter="0" w:footer="0" w:header="0"/>
          <w:type w:val="continuous"/>
        </w:sectPr>
      </w:pP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type w:val="continuous"/>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September 30, 2017, the Company had $412.1 million of immediately accessible liquidity, defined as cash that the Bank reasonably believes could be raised within seven days through collateralized borrowings, brokered deposits or security sales. This position represented 39.3% of total assets. The Company also had $150.8 million of cash and cash equivalents at September 30, 2017.</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unpaid principal balance and carrying amount of junior subordinated debentures totaled $16.5 million and $9.1 million, respectively, as of September 30, 2017. The unpaid principal balance and carrying amount of subordinated debt totaled $15.1 million and $14.6 million, respectively, as of September 30, 2017. The junior subordinated debt represents qualifying Tier 1 capital for the Company, up to a maximum of 25% of total Tier 1 capital, and the and subordinated debt represents qualifying Tier II capital for the Company. At September 30, 2017, the carrying amounts of the junior subordinated debt, net of the Company’s $496 thousand investment in the affiliated trusts, qualified as Tier 1 capital, and the subordinated debt qualified as Tier II capital.</w:t>
      </w:r>
    </w:p>
    <w:p>
      <w:pPr>
        <w:spacing w:after="0" w:line="158"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At September 30, 2017, shareholders’ equity was $126.7 million, an increase of $3.9 million, or 3.2% from June 30, 2017. Book value per outstanding common share was $14.25 at September 30, 2017 and $13.90 at June 30, 2017. Tier 1 capital to total average assets of the Company was 12.77% as of September 30, 2017 and 12.81% at June 30, 2017.</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capital rules, risk-based capital ratios are calculated by dividing Tier 1 and total capital, respectively, by risk-weighted assets. Assets and off-balance sheet credit equivalents are assigned to one of several risk-weight categories, based primarily on relative risk. The rules require banks and bank holding companies to maintain a minimum common equity Tier 1 capital ratio of 4.5%, a minimum Tier 1 capital ratio of 6%, a total capital ratio of 8% and a leverage ratio of 4%. Additionally, subject to a transition schedule, the capital rules require a bank holding company to establish a capital conservation buffer of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 bank holding company, such as the Company, is considered "well capitalized" if the bank holding company (i) has a total capital ratio of at least 10%, (ii) has a Tier 1 risk-based capital ratio of at least 6%, and (iii) is not subject to any written agreement order, capital directive or prompt corrective action directive to meet and maintain a specific capital level for any capital measure. In addition, the FDIC has amended its prompt corrective action rules to reflect the revisions made by the revised capital rules described above. Under the FDIC's revised rules, which became effective January 1, 2015, an insured state nonmember bank is considered "well capitalized" if it (i) has a total capital ratio of 10.0% or greater; (ii) a Tier 1 risk-based capital ratio of 8.0% or greater;</w:t>
      </w:r>
    </w:p>
    <w:p>
      <w:pPr>
        <w:spacing w:after="0" w:line="2" w:lineRule="exact"/>
        <w:rPr>
          <w:sz w:val="20"/>
          <w:szCs w:val="20"/>
          <w:color w:val="auto"/>
        </w:rPr>
      </w:pPr>
    </w:p>
    <w:p>
      <w:pPr>
        <w:ind w:right="240" w:firstLine="8"/>
        <w:spacing w:after="0" w:line="290" w:lineRule="auto"/>
        <w:tabs>
          <w:tab w:leader="none" w:pos="3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common Tier 1 equity ratio of 6.5% or greater, (iv) a leverage capital ratio of 5.0% or greater; and (iv) is not subject to any written agreement, order, capital directive, or prompt corrective action directive to meet and maintain a specific capital level for any capital measure.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and the Bank are considered "well capitalized" under all regulatory definitions. The Company's and the Bank's regulatory capital ratios are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Minimum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Capital Ratio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gridSpan w:val="10"/>
          </w:tcPr>
          <w:p>
            <w:pPr>
              <w:ind w:left="20"/>
              <w:spacing w:after="0"/>
              <w:rPr>
                <w:sz w:val="20"/>
                <w:szCs w:val="20"/>
                <w:color w:val="auto"/>
              </w:rPr>
            </w:pPr>
            <w:r>
              <w:rPr>
                <w:rFonts w:ascii="Arial" w:cs="Arial" w:eastAsia="Arial" w:hAnsi="Arial"/>
                <w:sz w:val="18"/>
                <w:szCs w:val="18"/>
                <w:color w:val="auto"/>
              </w:rPr>
              <w:t>Minimum To Be Well Capitalized</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with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6"/>
          </w:tcPr>
          <w:p>
            <w:pPr>
              <w:jc w:val="center"/>
              <w:ind w:right="200"/>
              <w:spacing w:after="0"/>
              <w:rPr>
                <w:sz w:val="20"/>
                <w:szCs w:val="20"/>
                <w:color w:val="auto"/>
              </w:rPr>
            </w:pPr>
            <w:r>
              <w:rPr>
                <w:rFonts w:ascii="Arial" w:cs="Arial" w:eastAsia="Arial" w:hAnsi="Arial"/>
                <w:sz w:val="18"/>
                <w:szCs w:val="18"/>
                <w:color w:val="auto"/>
                <w:w w:val="95"/>
              </w:rPr>
              <w:t>Minimum Capital</w:t>
            </w:r>
          </w:p>
        </w:tc>
        <w:tc>
          <w:tcPr>
            <w:tcW w:w="60" w:type="dxa"/>
            <w:vAlign w:val="bottom"/>
          </w:tcPr>
          <w:p>
            <w:pPr>
              <w:spacing w:after="0"/>
              <w:rPr>
                <w:sz w:val="18"/>
                <w:szCs w:val="18"/>
                <w:color w:val="auto"/>
              </w:rPr>
            </w:pPr>
          </w:p>
        </w:tc>
        <w:tc>
          <w:tcPr>
            <w:tcW w:w="2700" w:type="dxa"/>
            <w:vAlign w:val="bottom"/>
            <w:gridSpan w:val="10"/>
          </w:tcPr>
          <w:p>
            <w:pPr>
              <w:jc w:val="center"/>
              <w:ind w:right="220"/>
              <w:spacing w:after="0"/>
              <w:rPr>
                <w:sz w:val="20"/>
                <w:szCs w:val="20"/>
                <w:color w:val="auto"/>
              </w:rPr>
            </w:pPr>
            <w:r>
              <w:rPr>
                <w:rFonts w:ascii="Arial" w:cs="Arial" w:eastAsia="Arial" w:hAnsi="Arial"/>
                <w:sz w:val="18"/>
                <w:szCs w:val="18"/>
                <w:color w:val="auto"/>
                <w:w w:val="92"/>
              </w:rPr>
              <w:t>Under Prompt Corrective Action</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Conservation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ind w:left="820"/>
              <w:spacing w:after="0"/>
              <w:rPr>
                <w:sz w:val="20"/>
                <w:szCs w:val="20"/>
                <w:color w:val="auto"/>
              </w:rPr>
            </w:pPr>
            <w:r>
              <w:rPr>
                <w:rFonts w:ascii="Arial" w:cs="Arial" w:eastAsia="Arial" w:hAnsi="Arial"/>
                <w:sz w:val="18"/>
                <w:szCs w:val="18"/>
                <w:color w:val="auto"/>
              </w:rPr>
              <w:t>Actual</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6"/>
          </w:tcPr>
          <w:p>
            <w:pPr>
              <w:jc w:val="center"/>
              <w:ind w:right="200"/>
              <w:spacing w:after="0"/>
              <w:rPr>
                <w:sz w:val="20"/>
                <w:szCs w:val="20"/>
                <w:color w:val="auto"/>
              </w:rPr>
            </w:pPr>
            <w:r>
              <w:rPr>
                <w:rFonts w:ascii="Arial" w:cs="Arial" w:eastAsia="Arial" w:hAnsi="Arial"/>
                <w:sz w:val="18"/>
                <w:szCs w:val="18"/>
                <w:color w:val="auto"/>
                <w:w w:val="89"/>
              </w:rPr>
              <w:t>Requirements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Provisions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Buffer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Ratio</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Ratio</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5"/>
          </w:tcPr>
          <w:p>
            <w:pPr>
              <w:ind w:left="4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Ratio</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40" w:type="dxa"/>
            <w:vAlign w:val="bottom"/>
            <w:gridSpan w:val="11"/>
          </w:tcPr>
          <w:p>
            <w:pPr>
              <w:ind w:left="600"/>
              <w:spacing w:after="0"/>
              <w:rPr>
                <w:sz w:val="20"/>
                <w:szCs w:val="20"/>
                <w:color w:val="auto"/>
              </w:rPr>
            </w:pPr>
            <w:r>
              <w:rPr>
                <w:rFonts w:ascii="Arial" w:cs="Arial" w:eastAsia="Arial" w:hAnsi="Arial"/>
                <w:sz w:val="18"/>
                <w:szCs w:val="18"/>
                <w:color w:val="auto"/>
              </w:rPr>
              <w:t>(Dollars in thousands)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line="201" w:lineRule="exact"/>
              <w:rPr>
                <w:sz w:val="20"/>
                <w:szCs w:val="20"/>
                <w:color w:val="auto"/>
              </w:rPr>
            </w:pPr>
            <w:r>
              <w:rPr>
                <w:rFonts w:ascii="Arial" w:cs="Arial" w:eastAsia="Arial" w:hAnsi="Arial"/>
                <w:sz w:val="18"/>
                <w:szCs w:val="18"/>
                <w:color w:val="auto"/>
                <w:w w:val="98"/>
              </w:rPr>
              <w:t>Common equity tier 1 capital to</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risk weighted assets: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3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127,390</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16.50%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34,736</w:t>
            </w:r>
          </w:p>
        </w:tc>
        <w:tc>
          <w:tcPr>
            <w:tcW w:w="70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&gt;4.5%</w:t>
            </w:r>
          </w:p>
        </w:tc>
        <w:tc>
          <w:tcPr>
            <w:tcW w:w="24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540"/>
              <w:spacing w:after="0" w:line="176" w:lineRule="exact"/>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143,851</w:t>
            </w:r>
          </w:p>
        </w:tc>
        <w:tc>
          <w:tcPr>
            <w:tcW w:w="260" w:type="dxa"/>
            <w:vAlign w:val="bottom"/>
          </w:tcPr>
          <w:p>
            <w:pPr>
              <w:spacing w:after="0"/>
              <w:rPr>
                <w:sz w:val="15"/>
                <w:szCs w:val="15"/>
                <w:color w:val="auto"/>
              </w:rPr>
            </w:pPr>
          </w:p>
        </w:tc>
        <w:tc>
          <w:tcPr>
            <w:tcW w:w="11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18.63%</w:t>
            </w:r>
          </w:p>
        </w:tc>
        <w:tc>
          <w:tcPr>
            <w:tcW w:w="140" w:type="dxa"/>
            <w:vAlign w:val="bottom"/>
          </w:tcPr>
          <w:p>
            <w:pPr>
              <w:spacing w:after="0"/>
              <w:rPr>
                <w:sz w:val="15"/>
                <w:szCs w:val="15"/>
                <w:color w:val="auto"/>
              </w:rPr>
            </w:pPr>
          </w:p>
        </w:tc>
        <w:tc>
          <w:tcPr>
            <w:tcW w:w="11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34,752</w:t>
            </w:r>
          </w:p>
        </w:tc>
        <w:tc>
          <w:tcPr>
            <w:tcW w:w="70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&gt;4.5%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50,198</w:t>
            </w:r>
          </w:p>
        </w:tc>
        <w:tc>
          <w:tcPr>
            <w:tcW w:w="320" w:type="dxa"/>
            <w:vAlign w:val="bottom"/>
          </w:tcPr>
          <w:p>
            <w:pPr>
              <w:spacing w:after="0"/>
              <w:rPr>
                <w:sz w:val="15"/>
                <w:szCs w:val="15"/>
                <w:color w:val="auto"/>
              </w:rPr>
            </w:pPr>
          </w:p>
        </w:tc>
        <w:tc>
          <w:tcPr>
            <w:tcW w:w="1020" w:type="dxa"/>
            <w:vAlign w:val="bottom"/>
            <w:gridSpan w:val="6"/>
          </w:tcPr>
          <w:p>
            <w:pPr>
              <w:jc w:val="right"/>
              <w:ind w:right="220"/>
              <w:spacing w:after="0" w:line="176" w:lineRule="exact"/>
              <w:rPr>
                <w:sz w:val="20"/>
                <w:szCs w:val="20"/>
                <w:color w:val="auto"/>
              </w:rPr>
            </w:pPr>
            <w:r>
              <w:rPr>
                <w:rFonts w:ascii="Arial" w:cs="Arial" w:eastAsia="Arial" w:hAnsi="Arial"/>
                <w:sz w:val="18"/>
                <w:szCs w:val="18"/>
                <w:color w:val="auto"/>
              </w:rPr>
              <w:t>&gt;6.5%</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tcPr>
          <w:p>
            <w:pPr>
              <w:spacing w:after="0" w:line="201" w:lineRule="exact"/>
              <w:rPr>
                <w:sz w:val="20"/>
                <w:szCs w:val="20"/>
                <w:color w:val="auto"/>
              </w:rPr>
            </w:pPr>
            <w:r>
              <w:rPr>
                <w:rFonts w:ascii="Arial" w:cs="Arial" w:eastAsia="Arial" w:hAnsi="Arial"/>
                <w:sz w:val="18"/>
                <w:szCs w:val="18"/>
                <w:color w:val="auto"/>
              </w:rPr>
              <w:t>Total capital to risk weighted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154,706</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20.04%</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61,753</w:t>
            </w:r>
          </w:p>
        </w:tc>
        <w:tc>
          <w:tcPr>
            <w:tcW w:w="70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&gt;8.0%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ind w:right="540"/>
              <w:spacing w:after="0" w:line="176" w:lineRule="exact"/>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147,958</w:t>
            </w:r>
          </w:p>
        </w:tc>
        <w:tc>
          <w:tcPr>
            <w:tcW w:w="260" w:type="dxa"/>
            <w:vAlign w:val="bottom"/>
          </w:tcPr>
          <w:p>
            <w:pPr>
              <w:spacing w:after="0"/>
              <w:rPr>
                <w:sz w:val="15"/>
                <w:szCs w:val="15"/>
                <w:color w:val="auto"/>
              </w:rPr>
            </w:pPr>
          </w:p>
        </w:tc>
        <w:tc>
          <w:tcPr>
            <w:tcW w:w="11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19.16%</w:t>
            </w:r>
          </w:p>
        </w:tc>
        <w:tc>
          <w:tcPr>
            <w:tcW w:w="140" w:type="dxa"/>
            <w:vAlign w:val="bottom"/>
          </w:tcPr>
          <w:p>
            <w:pPr>
              <w:spacing w:after="0"/>
              <w:rPr>
                <w:sz w:val="15"/>
                <w:szCs w:val="15"/>
                <w:color w:val="auto"/>
              </w:rPr>
            </w:pPr>
          </w:p>
        </w:tc>
        <w:tc>
          <w:tcPr>
            <w:tcW w:w="11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61,782</w:t>
            </w:r>
          </w:p>
        </w:tc>
        <w:tc>
          <w:tcPr>
            <w:tcW w:w="70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&gt;8.0%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77,227</w:t>
            </w:r>
          </w:p>
        </w:tc>
        <w:tc>
          <w:tcPr>
            <w:tcW w:w="320" w:type="dxa"/>
            <w:vAlign w:val="bottom"/>
          </w:tcPr>
          <w:p>
            <w:pPr>
              <w:spacing w:after="0"/>
              <w:rPr>
                <w:sz w:val="15"/>
                <w:szCs w:val="15"/>
                <w:color w:val="auto"/>
              </w:rPr>
            </w:pPr>
          </w:p>
        </w:tc>
        <w:tc>
          <w:tcPr>
            <w:tcW w:w="1020" w:type="dxa"/>
            <w:vAlign w:val="bottom"/>
            <w:gridSpan w:val="6"/>
          </w:tcPr>
          <w:p>
            <w:pPr>
              <w:jc w:val="right"/>
              <w:ind w:right="220"/>
              <w:spacing w:after="0" w:line="176" w:lineRule="exact"/>
              <w:rPr>
                <w:sz w:val="20"/>
                <w:szCs w:val="20"/>
                <w:color w:val="auto"/>
              </w:rPr>
            </w:pPr>
            <w:r>
              <w:rPr>
                <w:rFonts w:ascii="Arial" w:cs="Arial" w:eastAsia="Arial" w:hAnsi="Arial"/>
                <w:sz w:val="18"/>
                <w:szCs w:val="18"/>
                <w:color w:val="auto"/>
              </w:rPr>
              <w:t>&gt;10.0%</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tcPr>
          <w:p>
            <w:pPr>
              <w:spacing w:after="0" w:line="201" w:lineRule="exact"/>
              <w:rPr>
                <w:sz w:val="20"/>
                <w:szCs w:val="20"/>
                <w:color w:val="auto"/>
              </w:rPr>
            </w:pPr>
            <w:r>
              <w:rPr>
                <w:rFonts w:ascii="Arial" w:cs="Arial" w:eastAsia="Arial" w:hAnsi="Arial"/>
                <w:sz w:val="18"/>
                <w:szCs w:val="18"/>
                <w:color w:val="auto"/>
              </w:rPr>
              <w:t>Tier 1 capital to risk weighted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135,963</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17.61%</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46,315</w:t>
            </w:r>
          </w:p>
        </w:tc>
        <w:tc>
          <w:tcPr>
            <w:tcW w:w="70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&gt;6.0%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ind w:right="540"/>
              <w:spacing w:after="0" w:line="176" w:lineRule="exact"/>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143,851</w:t>
            </w:r>
          </w:p>
        </w:tc>
        <w:tc>
          <w:tcPr>
            <w:tcW w:w="260" w:type="dxa"/>
            <w:vAlign w:val="bottom"/>
          </w:tcPr>
          <w:p>
            <w:pPr>
              <w:spacing w:after="0"/>
              <w:rPr>
                <w:sz w:val="15"/>
                <w:szCs w:val="15"/>
                <w:color w:val="auto"/>
              </w:rPr>
            </w:pPr>
          </w:p>
        </w:tc>
        <w:tc>
          <w:tcPr>
            <w:tcW w:w="11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18.63%</w:t>
            </w:r>
          </w:p>
        </w:tc>
        <w:tc>
          <w:tcPr>
            <w:tcW w:w="140" w:type="dxa"/>
            <w:vAlign w:val="bottom"/>
          </w:tcPr>
          <w:p>
            <w:pPr>
              <w:spacing w:after="0"/>
              <w:rPr>
                <w:sz w:val="15"/>
                <w:szCs w:val="15"/>
                <w:color w:val="auto"/>
              </w:rPr>
            </w:pPr>
          </w:p>
        </w:tc>
        <w:tc>
          <w:tcPr>
            <w:tcW w:w="11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46,336</w:t>
            </w:r>
          </w:p>
        </w:tc>
        <w:tc>
          <w:tcPr>
            <w:tcW w:w="70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&gt;6.0%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61,782</w:t>
            </w:r>
          </w:p>
        </w:tc>
        <w:tc>
          <w:tcPr>
            <w:tcW w:w="320" w:type="dxa"/>
            <w:vAlign w:val="bottom"/>
          </w:tcPr>
          <w:p>
            <w:pPr>
              <w:spacing w:after="0"/>
              <w:rPr>
                <w:sz w:val="15"/>
                <w:szCs w:val="15"/>
                <w:color w:val="auto"/>
              </w:rPr>
            </w:pPr>
          </w:p>
        </w:tc>
        <w:tc>
          <w:tcPr>
            <w:tcW w:w="1020" w:type="dxa"/>
            <w:vAlign w:val="bottom"/>
            <w:gridSpan w:val="6"/>
          </w:tcPr>
          <w:p>
            <w:pPr>
              <w:jc w:val="right"/>
              <w:ind w:right="220"/>
              <w:spacing w:after="0" w:line="176" w:lineRule="exact"/>
              <w:rPr>
                <w:sz w:val="20"/>
                <w:szCs w:val="20"/>
                <w:color w:val="auto"/>
              </w:rPr>
            </w:pPr>
            <w:r>
              <w:rPr>
                <w:rFonts w:ascii="Arial" w:cs="Arial" w:eastAsia="Arial" w:hAnsi="Arial"/>
                <w:sz w:val="18"/>
                <w:szCs w:val="18"/>
                <w:color w:val="auto"/>
              </w:rPr>
              <w:t>&gt;8.0%</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w w:val="95"/>
              </w:rPr>
              <w:t>Tier 1 capital to average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135,963</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12.77%</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42,579</w:t>
            </w:r>
          </w:p>
        </w:tc>
        <w:tc>
          <w:tcPr>
            <w:tcW w:w="70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&gt;4.0%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ind w:right="540"/>
              <w:spacing w:after="0" w:line="176" w:lineRule="exact"/>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143,851</w:t>
            </w:r>
          </w:p>
        </w:tc>
        <w:tc>
          <w:tcPr>
            <w:tcW w:w="260" w:type="dxa"/>
            <w:vAlign w:val="bottom"/>
          </w:tcPr>
          <w:p>
            <w:pPr>
              <w:spacing w:after="0"/>
              <w:rPr>
                <w:sz w:val="15"/>
                <w:szCs w:val="15"/>
                <w:color w:val="auto"/>
              </w:rPr>
            </w:pPr>
          </w:p>
        </w:tc>
        <w:tc>
          <w:tcPr>
            <w:tcW w:w="11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13.51%</w:t>
            </w:r>
          </w:p>
        </w:tc>
        <w:tc>
          <w:tcPr>
            <w:tcW w:w="140" w:type="dxa"/>
            <w:vAlign w:val="bottom"/>
          </w:tcPr>
          <w:p>
            <w:pPr>
              <w:spacing w:after="0"/>
              <w:rPr>
                <w:sz w:val="15"/>
                <w:szCs w:val="15"/>
                <w:color w:val="auto"/>
              </w:rPr>
            </w:pPr>
          </w:p>
        </w:tc>
        <w:tc>
          <w:tcPr>
            <w:tcW w:w="11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42,585</w:t>
            </w:r>
          </w:p>
        </w:tc>
        <w:tc>
          <w:tcPr>
            <w:tcW w:w="70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&gt;4.0%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53,231</w:t>
            </w:r>
          </w:p>
        </w:tc>
        <w:tc>
          <w:tcPr>
            <w:tcW w:w="320" w:type="dxa"/>
            <w:vAlign w:val="bottom"/>
          </w:tcPr>
          <w:p>
            <w:pPr>
              <w:spacing w:after="0"/>
              <w:rPr>
                <w:sz w:val="15"/>
                <w:szCs w:val="15"/>
                <w:color w:val="auto"/>
              </w:rPr>
            </w:pPr>
          </w:p>
        </w:tc>
        <w:tc>
          <w:tcPr>
            <w:tcW w:w="1020" w:type="dxa"/>
            <w:vAlign w:val="bottom"/>
            <w:gridSpan w:val="6"/>
          </w:tcPr>
          <w:p>
            <w:pPr>
              <w:jc w:val="right"/>
              <w:ind w:right="220"/>
              <w:spacing w:after="0" w:line="176" w:lineRule="exact"/>
              <w:rPr>
                <w:sz w:val="20"/>
                <w:szCs w:val="20"/>
                <w:color w:val="auto"/>
              </w:rPr>
            </w:pPr>
            <w:r>
              <w:rPr>
                <w:rFonts w:ascii="Arial" w:cs="Arial" w:eastAsia="Arial" w:hAnsi="Arial"/>
                <w:sz w:val="18"/>
                <w:szCs w:val="18"/>
                <w:color w:val="auto"/>
              </w:rPr>
              <w:t>&gt;5.0%</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June 30, 2017: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equity tier 1 capital to</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risk weighted assets: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3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123,442</w:t>
            </w:r>
          </w:p>
        </w:tc>
        <w:tc>
          <w:tcPr>
            <w:tcW w:w="260" w:type="dxa"/>
            <w:vAlign w:val="bottom"/>
          </w:tcPr>
          <w:p>
            <w:pPr>
              <w:spacing w:after="0"/>
              <w:rPr>
                <w:sz w:val="15"/>
                <w:szCs w:val="15"/>
                <w:color w:val="auto"/>
              </w:rPr>
            </w:pPr>
          </w:p>
        </w:tc>
        <w:tc>
          <w:tcPr>
            <w:tcW w:w="11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16.00%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34,714</w:t>
            </w:r>
          </w:p>
        </w:tc>
        <w:tc>
          <w:tcPr>
            <w:tcW w:w="70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&gt;4.5%</w:t>
            </w:r>
          </w:p>
        </w:tc>
        <w:tc>
          <w:tcPr>
            <w:tcW w:w="24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540"/>
              <w:spacing w:after="0" w:line="176"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138,744</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17.98%</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34,727</w:t>
            </w:r>
          </w:p>
        </w:tc>
        <w:tc>
          <w:tcPr>
            <w:tcW w:w="70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&gt;4.5%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50,162</w:t>
            </w:r>
          </w:p>
        </w:tc>
        <w:tc>
          <w:tcPr>
            <w:tcW w:w="320" w:type="dxa"/>
            <w:vAlign w:val="bottom"/>
            <w:shd w:val="clear" w:color="auto" w:fill="CCEEFF"/>
          </w:tcPr>
          <w:p>
            <w:pPr>
              <w:spacing w:after="0"/>
              <w:rPr>
                <w:sz w:val="17"/>
                <w:szCs w:val="17"/>
                <w:color w:val="auto"/>
              </w:rPr>
            </w:pPr>
          </w:p>
        </w:tc>
        <w:tc>
          <w:tcPr>
            <w:tcW w:w="1020" w:type="dxa"/>
            <w:vAlign w:val="bottom"/>
            <w:gridSpan w:val="6"/>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&gt;6.5%</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capital to risk weighted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150,269</w:t>
            </w:r>
          </w:p>
        </w:tc>
        <w:tc>
          <w:tcPr>
            <w:tcW w:w="260" w:type="dxa"/>
            <w:vAlign w:val="bottom"/>
          </w:tcPr>
          <w:p>
            <w:pPr>
              <w:spacing w:after="0"/>
              <w:rPr>
                <w:sz w:val="15"/>
                <w:szCs w:val="15"/>
                <w:color w:val="auto"/>
              </w:rPr>
            </w:pPr>
          </w:p>
        </w:tc>
        <w:tc>
          <w:tcPr>
            <w:tcW w:w="11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19.48%</w:t>
            </w:r>
          </w:p>
        </w:tc>
        <w:tc>
          <w:tcPr>
            <w:tcW w:w="140" w:type="dxa"/>
            <w:vAlign w:val="bottom"/>
          </w:tcPr>
          <w:p>
            <w:pPr>
              <w:spacing w:after="0"/>
              <w:rPr>
                <w:sz w:val="15"/>
                <w:szCs w:val="15"/>
                <w:color w:val="auto"/>
              </w:rPr>
            </w:pPr>
          </w:p>
        </w:tc>
        <w:tc>
          <w:tcPr>
            <w:tcW w:w="11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61,715</w:t>
            </w:r>
          </w:p>
        </w:tc>
        <w:tc>
          <w:tcPr>
            <w:tcW w:w="70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&gt;8.0%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3"/>
          </w:tcPr>
          <w:p>
            <w:pPr>
              <w:jc w:val="right"/>
              <w:ind w:right="540"/>
              <w:spacing w:after="0" w:line="176"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142,447</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18.46%</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61,737</w:t>
            </w:r>
          </w:p>
        </w:tc>
        <w:tc>
          <w:tcPr>
            <w:tcW w:w="70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&gt;8.0%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77,172</w:t>
            </w:r>
          </w:p>
        </w:tc>
        <w:tc>
          <w:tcPr>
            <w:tcW w:w="320" w:type="dxa"/>
            <w:vAlign w:val="bottom"/>
            <w:shd w:val="clear" w:color="auto" w:fill="CCEEFF"/>
          </w:tcPr>
          <w:p>
            <w:pPr>
              <w:spacing w:after="0"/>
              <w:rPr>
                <w:sz w:val="17"/>
                <w:szCs w:val="17"/>
                <w:color w:val="auto"/>
              </w:rPr>
            </w:pPr>
          </w:p>
        </w:tc>
        <w:tc>
          <w:tcPr>
            <w:tcW w:w="1020" w:type="dxa"/>
            <w:vAlign w:val="bottom"/>
            <w:gridSpan w:val="6"/>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&gt;10.0%</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Tier 1 capital to risk weighted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131,958</w:t>
            </w:r>
          </w:p>
        </w:tc>
        <w:tc>
          <w:tcPr>
            <w:tcW w:w="260" w:type="dxa"/>
            <w:vAlign w:val="bottom"/>
          </w:tcPr>
          <w:p>
            <w:pPr>
              <w:spacing w:after="0"/>
              <w:rPr>
                <w:sz w:val="15"/>
                <w:szCs w:val="15"/>
                <w:color w:val="auto"/>
              </w:rPr>
            </w:pPr>
          </w:p>
        </w:tc>
        <w:tc>
          <w:tcPr>
            <w:tcW w:w="11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17.11%</w:t>
            </w:r>
          </w:p>
        </w:tc>
        <w:tc>
          <w:tcPr>
            <w:tcW w:w="140" w:type="dxa"/>
            <w:vAlign w:val="bottom"/>
          </w:tcPr>
          <w:p>
            <w:pPr>
              <w:spacing w:after="0"/>
              <w:rPr>
                <w:sz w:val="15"/>
                <w:szCs w:val="15"/>
                <w:color w:val="auto"/>
              </w:rPr>
            </w:pPr>
          </w:p>
        </w:tc>
        <w:tc>
          <w:tcPr>
            <w:tcW w:w="11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46,286</w:t>
            </w:r>
          </w:p>
        </w:tc>
        <w:tc>
          <w:tcPr>
            <w:tcW w:w="70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&gt;6.0%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3"/>
          </w:tcPr>
          <w:p>
            <w:pPr>
              <w:jc w:val="right"/>
              <w:ind w:right="540"/>
              <w:spacing w:after="0" w:line="176"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138,744</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17.98%</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46,303</w:t>
            </w:r>
          </w:p>
        </w:tc>
        <w:tc>
          <w:tcPr>
            <w:tcW w:w="70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&gt;6.0%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61,737</w:t>
            </w:r>
          </w:p>
        </w:tc>
        <w:tc>
          <w:tcPr>
            <w:tcW w:w="320" w:type="dxa"/>
            <w:vAlign w:val="bottom"/>
            <w:shd w:val="clear" w:color="auto" w:fill="CCEEFF"/>
          </w:tcPr>
          <w:p>
            <w:pPr>
              <w:spacing w:after="0"/>
              <w:rPr>
                <w:sz w:val="17"/>
                <w:szCs w:val="17"/>
                <w:color w:val="auto"/>
              </w:rPr>
            </w:pPr>
          </w:p>
        </w:tc>
        <w:tc>
          <w:tcPr>
            <w:tcW w:w="1020" w:type="dxa"/>
            <w:vAlign w:val="bottom"/>
            <w:gridSpan w:val="6"/>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&gt;8.0%</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w w:val="95"/>
              </w:rPr>
              <w:t>Tier 1 capital to average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131,958</w:t>
            </w:r>
          </w:p>
        </w:tc>
        <w:tc>
          <w:tcPr>
            <w:tcW w:w="260" w:type="dxa"/>
            <w:vAlign w:val="bottom"/>
          </w:tcPr>
          <w:p>
            <w:pPr>
              <w:spacing w:after="0"/>
              <w:rPr>
                <w:sz w:val="15"/>
                <w:szCs w:val="15"/>
                <w:color w:val="auto"/>
              </w:rPr>
            </w:pPr>
          </w:p>
        </w:tc>
        <w:tc>
          <w:tcPr>
            <w:tcW w:w="11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12.81%</w:t>
            </w:r>
          </w:p>
        </w:tc>
        <w:tc>
          <w:tcPr>
            <w:tcW w:w="140" w:type="dxa"/>
            <w:vAlign w:val="bottom"/>
          </w:tcPr>
          <w:p>
            <w:pPr>
              <w:spacing w:after="0"/>
              <w:rPr>
                <w:sz w:val="15"/>
                <w:szCs w:val="15"/>
                <w:color w:val="auto"/>
              </w:rPr>
            </w:pPr>
          </w:p>
        </w:tc>
        <w:tc>
          <w:tcPr>
            <w:tcW w:w="11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41,215</w:t>
            </w:r>
          </w:p>
        </w:tc>
        <w:tc>
          <w:tcPr>
            <w:tcW w:w="70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&gt;4.0%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3"/>
          </w:tcPr>
          <w:p>
            <w:pPr>
              <w:jc w:val="right"/>
              <w:ind w:right="540"/>
              <w:spacing w:after="0" w:line="176"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138,744</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13.46%</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41,238</w:t>
            </w:r>
          </w:p>
        </w:tc>
        <w:tc>
          <w:tcPr>
            <w:tcW w:w="70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&gt;4.0%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51,547</w:t>
            </w:r>
          </w:p>
        </w:tc>
        <w:tc>
          <w:tcPr>
            <w:tcW w:w="320" w:type="dxa"/>
            <w:vAlign w:val="bottom"/>
            <w:shd w:val="clear" w:color="auto" w:fill="CCEEFF"/>
          </w:tcPr>
          <w:p>
            <w:pPr>
              <w:spacing w:after="0"/>
              <w:rPr>
                <w:sz w:val="17"/>
                <w:szCs w:val="17"/>
                <w:color w:val="auto"/>
              </w:rPr>
            </w:pPr>
          </w:p>
        </w:tc>
        <w:tc>
          <w:tcPr>
            <w:tcW w:w="1020" w:type="dxa"/>
            <w:vAlign w:val="bottom"/>
            <w:gridSpan w:val="6"/>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&gt;5.0%</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jc w:val="right"/>
              <w:ind w:right="650"/>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the minimum regulatory capital required for capital adequacy purposes included in the table above, the Company is required to maintain a capital conservation buffer, in the form of common equity, in order to avoid restrictions on capital distributions and discretionary bonuses. The required amount of the capital conservation buffer was 0.625% on January 1, 2016 and will increase by 0.625% each year until it reaches 2.5% on January 1, 2019. As of January 1, 2017, the capital conservation buffer is 1.25%.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Bank may not declare or pay a cash dividend on, or repurchase, any of its capital stock from the Company if the effect thereof would cause the capital of the Bank to be reduced below the capital requirements imposed by the regulatory authorities or if such amount exceeds the otherwise allowable amount under FRB rules.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merger, as part of the regulatory approval process, the Company and the Bank made certain commitments to the Federal Reserve, the most significant of which are (i) to maintain a Tier 1 leverage ratio of at least 10%, (ii) to maintain a total capital ratio of at least 15%, (iii) to limit purchased loans to 40% of total loans, (iv) to fund 100% of the Company's loans with core deposits (defined as non-maturity deposits and non-brokered insured time deposits), and (v) to hold non-owner occupied commercial real estate loans to within 300% of total capital. The Company and the Bank are currently in compliance with all commitments to the Federal Reserve.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On October 21, 2016, the Board of Directors voted to amend the existing stock repurchase program to authorize the Company to purchase an additional 500,000 shares of its common stock, representing 5.7% of the Company’s outstanding common shares. Under the existing program, implemented in April 2014, the Company has purchased 1,970,000 shares through October 25, 2016 and no shares remained available for repurchase under the program on that date, prior to the 500,000 share increase in the repurchase plan. The amended stock repurchase program will expire on October 21,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These financial instruments include commitments to extend credit, unused lines of credit, standby letters of credit, and commitments to fund investments.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 “Notes to Unaudited Consolidated Financial Statements – Note 9: Commitments and Contingencies” for further discussion.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income increased by $2.8 million to $4.6 million for the quarter ended September 30, 2017, compared to $1.8 million for the quarter ended September 30, 2016.</w:t>
      </w:r>
    </w:p>
    <w:p>
      <w:pPr>
        <w:spacing w:after="0" w:line="170"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The following table details the “Total Return” on purchased loans. When compared to the three months ended September 30, 2016, transactional income increased by $1.5 million to $2.8 million. The total return on purchased loans for the three months ended September 30, 2017 was 12.28% compared to 10.43% for the three months ended September 30, 2016. The increase over the prior comparable period was primarily due to higher average balances and transactional income in the three months ended September 30, 2017. The following table details the total return on purchased loans: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8"/>
                <w:szCs w:val="18"/>
                <w:color w:val="auto"/>
                <w:w w:val="89"/>
              </w:rPr>
              <w:t>Total Return on Purchased Loans</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8"/>
                <w:szCs w:val="18"/>
                <w:color w:val="auto"/>
                <w:w w:val="89"/>
              </w:rPr>
              <w:t>Three Months Ended September 30,</w:t>
            </w: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2016</w:t>
            </w: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Return (1)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6"/>
          </w:tcPr>
          <w:p>
            <w:pPr>
              <w:jc w:val="center"/>
              <w:ind w:right="480"/>
              <w:spacing w:after="0"/>
              <w:rPr>
                <w:sz w:val="20"/>
                <w:szCs w:val="20"/>
                <w:color w:val="auto"/>
              </w:rPr>
            </w:pPr>
            <w:r>
              <w:rPr>
                <w:rFonts w:ascii="Arial" w:cs="Arial" w:eastAsia="Arial" w:hAnsi="Arial"/>
                <w:sz w:val="18"/>
                <w:szCs w:val="18"/>
                <w:color w:val="auto"/>
                <w:w w:val="91"/>
              </w:rPr>
              <w:t>(Dollars in thousands)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4,754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r>
      <w:tr>
        <w:trPr>
          <w:trHeight w:val="216"/>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r>
      <w:tr>
        <w:trPr>
          <w:trHeight w:val="210"/>
        </w:trPr>
        <w:tc>
          <w:tcPr>
            <w:tcW w:w="4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r>
      <w:tr>
        <w:trPr>
          <w:trHeight w:val="210"/>
        </w:trPr>
        <w:tc>
          <w:tcPr>
            <w:tcW w:w="46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12.28%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6,100</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10.43%</w:t>
            </w:r>
          </w:p>
        </w:tc>
      </w:tr>
      <w:tr>
        <w:trPr>
          <w:trHeight w:val="20"/>
        </w:trPr>
        <w:tc>
          <w:tcPr>
            <w:tcW w:w="4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20" w:hanging="486"/>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gains on real estate owned and other noninterest income recorded during the period divided by the average invested balance, which includes loans held for sale, on an annualized basis. The total return does not include the effect of purchased loan charge-offs or recoveries in the quarter. Total return is considered a non-GAAP financial measure.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interest and dividend income before provision for loan losses increased by $3.5 million for the quarter ended September 30, 2017, compared to the quarter ended September 30, 2016. The increase is primarily due to higher transactional income on purchased loans and higher average balances in the total loan portfolio. This increase was partially offset by higher rates and higher average deposit balances.</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8"/>
              </w:rPr>
              <w:t>Interest Income and Yield on Loans</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6"/>
              </w:rPr>
              <w:t>Three Months Ended September 30,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Balance (1)</w:t>
            </w:r>
          </w:p>
        </w:tc>
        <w:tc>
          <w:tcPr>
            <w:tcW w:w="1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Income (2)</w:t>
            </w:r>
          </w:p>
        </w:tc>
        <w:tc>
          <w:tcPr>
            <w:tcW w:w="1440" w:type="dxa"/>
            <w:vAlign w:val="bottom"/>
            <w:gridSpan w:val="2"/>
          </w:tcPr>
          <w:p>
            <w:pPr>
              <w:jc w:val="right"/>
              <w:ind w:right="570"/>
              <w:spacing w:after="0"/>
              <w:rPr>
                <w:sz w:val="20"/>
                <w:szCs w:val="20"/>
                <w:color w:val="auto"/>
              </w:rPr>
            </w:pPr>
            <w:r>
              <w:rPr>
                <w:rFonts w:ascii="Arial" w:cs="Arial" w:eastAsia="Arial" w:hAnsi="Arial"/>
                <w:sz w:val="18"/>
                <w:szCs w:val="18"/>
                <w:color w:val="auto"/>
              </w:rPr>
              <w:t>Yield</w:t>
            </w:r>
          </w:p>
        </w:tc>
        <w:tc>
          <w:tcPr>
            <w:tcW w:w="1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Balance (1)</w:t>
            </w:r>
          </w:p>
        </w:tc>
        <w:tc>
          <w:tcPr>
            <w:tcW w:w="16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Income (2)</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Yield</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71"/>
              </w:rPr>
              <w:t>in</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1,746</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205,765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SBA</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53,527</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941</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6.97%</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31,148</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328,775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5,265</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185,109</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2,742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7,431</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231,999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02"/>
        </w:trPr>
        <w:tc>
          <w:tcPr>
            <w:tcW w:w="2420" w:type="dxa"/>
            <w:vAlign w:val="bottom"/>
          </w:tcPr>
          <w:p>
            <w:pPr>
              <w:ind w:left="160"/>
              <w:spacing w:after="0" w:line="201" w:lineRule="exact"/>
              <w:rPr>
                <w:sz w:val="20"/>
                <w:szCs w:val="20"/>
                <w:color w:val="auto"/>
              </w:rPr>
            </w:pPr>
            <w:r>
              <w:rPr>
                <w:rFonts w:ascii="Arial" w:cs="Arial" w:eastAsia="Arial" w:hAnsi="Arial"/>
                <w:sz w:val="18"/>
                <w:szCs w:val="18"/>
                <w:color w:val="auto"/>
              </w:rPr>
              <w:t>Secured Loans to Broker-</w:t>
            </w: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7"/>
                <w:szCs w:val="17"/>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48,000</w:t>
            </w:r>
          </w:p>
        </w:tc>
        <w:tc>
          <w:tcPr>
            <w:tcW w:w="160" w:type="dxa"/>
            <w:vAlign w:val="bottom"/>
          </w:tcPr>
          <w:p>
            <w:pPr>
              <w:spacing w:after="0"/>
              <w:rPr>
                <w:sz w:val="17"/>
                <w:szCs w:val="17"/>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60</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7"/>
        </w:trPr>
        <w:tc>
          <w:tcPr>
            <w:tcW w:w="2420" w:type="dxa"/>
            <w:vAlign w:val="bottom"/>
          </w:tcPr>
          <w:p>
            <w:pPr>
              <w:ind w:left="160"/>
              <w:spacing w:after="0"/>
              <w:rPr>
                <w:sz w:val="20"/>
                <w:szCs w:val="20"/>
                <w:color w:val="auto"/>
              </w:rPr>
            </w:pPr>
            <w:r>
              <w:rPr>
                <w:rFonts w:ascii="Arial" w:cs="Arial" w:eastAsia="Arial" w:hAnsi="Arial"/>
                <w:sz w:val="18"/>
                <w:szCs w:val="18"/>
                <w:color w:val="auto"/>
              </w:rPr>
              <w:t>Dealers</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LASG</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12,696</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465,108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772,616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15,383</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702,021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11,803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00" w:hanging="48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36" w:lineRule="exact"/>
        <w:rPr>
          <w:rFonts w:ascii="Arial" w:cs="Arial" w:eastAsia="Arial" w:hAnsi="Arial"/>
          <w:sz w:val="18"/>
          <w:szCs w:val="18"/>
          <w:color w:val="auto"/>
        </w:rPr>
      </w:pPr>
    </w:p>
    <w:p>
      <w:pPr>
        <w:ind w:left="1300" w:right="860" w:hanging="48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SBA interest income includes SBA fees of $48 thousand and $50 thousand for the quarters ended September 30, 2017 and 2016, respectively.</w:t>
      </w:r>
    </w:p>
    <w:p>
      <w:pPr>
        <w:spacing w:after="0" w:line="17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Company’s interest rate spread increased by 103 basis points and net interest margin increased by 106 basis points for the quarter ended September 30, 2017 compared to the quarter ended September 30, 2016. The increase was principally due to higher transactional interest income in the purchased portfolio and higher yield and average balances in the loan portfolio, offset by higher rates and average deposit balances.</w:t>
      </w:r>
    </w:p>
    <w:p>
      <w:pPr>
        <w:sectPr>
          <w:pgSz w:w="11900" w:h="16838" w:orient="portrait"/>
          <w:cols w:equalWidth="0" w:num="1">
            <w:col w:w="11420"/>
          </w:cols>
          <w:pgMar w:left="240" w:top="118"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sets forth the average balance sheets, interest income and interest expense, and average yields and costs for the three months ended September 30, 2017 and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w w:val="95"/>
              </w:rPr>
              <w:t>Three Months Ended September 30,</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Interest</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Income/</w:t>
            </w:r>
          </w:p>
        </w:tc>
        <w:tc>
          <w:tcPr>
            <w:tcW w:w="1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Yield/</w:t>
            </w:r>
          </w:p>
        </w:tc>
        <w:tc>
          <w:tcPr>
            <w:tcW w:w="18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Income/</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Yield/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Expense</w:t>
            </w:r>
          </w:p>
        </w:tc>
        <w:tc>
          <w:tcPr>
            <w:tcW w:w="1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Rate</w:t>
            </w: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Expense</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94,899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Loans (1) (2) (3)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772,616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15,393</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702,021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11,821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stock</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Short-term investments (4)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160,354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154,392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16,188</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953,720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12,275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due from banks</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3,134</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1,064,756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987,473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Liabilities &amp; Shareholders'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69,577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0.29%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70,850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387,632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291,734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37,033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35,769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336,271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interest-bearing deposits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806,727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734,624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1,754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30,061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23,661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8.52%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23,360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851,225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2,867</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789,132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2,482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7"/>
              </w:rPr>
              <w:t>Demand deposits and escrow accounts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80,565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75,672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940,254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873,017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liabilities and shareholders' equity</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1,064,756</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987,473</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(5)</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13,321</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9,793</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interest margin (6)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Nonaccrual loans are included in the computation of average, but unpaid interest has not been included for purposes of determining interest income.</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 term investments include FHLBB overnight deposits and other interest-bearing deposits.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tax exempt interest income of $10 thousand and $18 thousand for the three months ended September 30, 2017 and 2016, respectively.</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9"/>
          </w:tcPr>
          <w:p>
            <w:pPr>
              <w:jc w:val="right"/>
              <w:ind w:right="440"/>
              <w:spacing w:after="0"/>
              <w:rPr>
                <w:sz w:val="20"/>
                <w:szCs w:val="20"/>
                <w:color w:val="auto"/>
              </w:rPr>
            </w:pPr>
            <w:r>
              <w:rPr>
                <w:rFonts w:ascii="Arial" w:cs="Arial" w:eastAsia="Arial" w:hAnsi="Arial"/>
                <w:sz w:val="18"/>
                <w:szCs w:val="18"/>
                <w:color w:val="auto"/>
                <w:w w:val="92"/>
              </w:rPr>
              <w:t>Three Months Ended September 30, 2017 compared to 2016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w w:val="94"/>
              </w:rPr>
              <w:t>Change Due to</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20"/>
                <w:szCs w:val="20"/>
                <w:color w:val="auto"/>
              </w:rPr>
            </w:pP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Change Due to Rate</w:t>
            </w: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2,306</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Federal Home Loan Bank stock</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2,643</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3,913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change in net interest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2,345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8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Quarterly, the Company determines the amount of the allowance for loan losses that is appropriate to provide for losses inherent in the Company’s loan portfolios, with the provision for loan losses determined by the net change in the allowance for loan losses. For loans accounted for under ASC 310-30, a provision for loan loss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provision for loan losses for periods subsequent to the merger with FHB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provision for loan losses for the quarter ended September 30, 2017 and 2016 was $354 thousand and $193 thousand, respectively. The increase in the Company’s loan loss provision was primarily the effect of changes in the qualitative factors and updates to the specific reserve on impaired loans.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Noninterest income increased by $150 thousand for the quarter ended September 30, 2017, compared to the quarter ended September 30, 2016, principally due to the following:</w:t>
      </w:r>
    </w:p>
    <w:p>
      <w:pPr>
        <w:spacing w:after="0" w:line="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gain on sale of SBA loans of $276 thousand, due to a higher dollar amount sold in the quarter;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fees for other services to customers of $118 thousand, due to higher loan servicing fees on SBA loans sold.</w:t>
      </w:r>
    </w:p>
    <w:p>
      <w:pPr>
        <w:spacing w:after="0" w:line="9" w:lineRule="exact"/>
        <w:rPr>
          <w:rFonts w:ascii="Arial" w:cs="Arial" w:eastAsia="Arial" w:hAnsi="Arial"/>
          <w:sz w:val="18"/>
          <w:szCs w:val="18"/>
          <w:color w:val="auto"/>
        </w:rPr>
      </w:pPr>
    </w:p>
    <w:p>
      <w:pPr>
        <w:ind w:left="660" w:right="28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increases in noninterest income were partially offset by a decrease in gain on sale of residential loans held for sale of $251 thousand, due to a lower volume sold in the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Noninterest expense increased by $88 thousand for the quarter ended September 30, 2017, compared to the quarter ended September 30, 2016, primarily due to the following:</w:t>
      </w:r>
    </w:p>
    <w:p>
      <w:pPr>
        <w:spacing w:after="0" w:line="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data processing fees of $183 thousand, primarily due to the outsourcing of data processing.</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increase in data processing fees was partially offset by a decrease in occupancy and equipment expense of $120 thousand, primarily due to lower computer equipment and software depreciation.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Company’s income tax expense was $1.6 million or a tax rate of 26.0%, for the three months ended September 30, 2017, as compared to $1.0 million, or a tax rate of 36.7%, for the three months ended September 30, 2016. The decrease in the tax rate was primarily due to the Company’s adoption of ASU 2016-09 in the current quarter. The most significant impact of this amendment resulted from the prospective application of current excess tax benefits and deficiencies being recognized in income tax expense, which previously would have been recognized in additional paid-in capital, in the reporting period in which they occur. For the three months ended September 30, 2017, the adoption of ASU 2016-09 reduced the Company’s income tax expense by $818 thousand. This excess tax benefit is treated as a discrete item in the period in which it occurs, and is not to be considered in determining the annual effective tax rate. The discrete item will vary from year to year as a function of the volume of restricted stock that is vested, the volume of options that are exercised and market price of the Company's stock in comparison to the compensation cost recognized in the financial statements. See Part I. Item I. “Notes to Unaudited Consolidated Financial Statements — Note 10: Stock-Based Compensation” for further discussion.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Market risk is the risk of loss due to adverse changes in market prices and rates, and typically encompasses exposures such as sensitivity to changes in market interest rates, foreign currency exchange rates, and commodity prices. The Company has no exposure to foreign currency exchange or commodity price movements. Because net interest income is our primary source of revenue, interest rate risk is a significant market risk to which the Company is exposed.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Interest rate risk can be defined as the exposure of future net interest income to adverse movements in interest rates. Net interest income is affected by changes in interest rates as well as by fluctuations in the level, mix and duration of the Company's assets and liabilities. Over and above the influence that interest rates have on net interest income, changes in rates also affect the volume of lending activity, the ability of borrowers to repay loans, the volume of loan prepayments, the flow and mix of deposits, and the market value of the Company's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Asset/Liability Management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management has established an Asset Liability Management Committee ("ALCO"), which is responsible for managing the Company's interest rate risk in accordance with policies and limits approved by the Board of Directors. With regard to management of market risk, the ALCO is charged with managing the Company's mix of assets and funding sources to produce results that are consistent with the Company's liquidity, capital adequacy, growth, and profitability goals.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Exposure to interest rate risk is managed by Northeast through periodic evaluations of the current interest rate risk inherent in its rate-sensitive assets and liabilities, coupled with determinations of the level of risk considered appropriate given the Company's capital and liquidity requirements, business strategy, and performance objectives. Through such management, Northeast seeks to mitigate the potential volatility in its net interest income due to changes in interest rates in a manner consistent with the risk appetite established by the Board of Directors.</w:t>
      </w:r>
    </w:p>
    <w:p>
      <w:pPr>
        <w:spacing w:after="0" w:line="18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ALCO's primary tool for measuring, evaluating, and managing interest rate risk is income simulation analysis. Income simulation analysis measures the interest rate risk inherent in the Company's balance sheet at a given point in time by showing the effect of interest rate shifts on net interest income over defined time horizons. These simulations take into account the specific repricing, maturity, prepayment and call options of financial instruments that vary under different interest rate scenarios. The ALCO reviews simulation results to determine whether the exposure to a decline in net interest income remains within established tolerance levels over the simulation horizons and to develop appropriate strategies to manage this exposure. The Company considers a variety of specified rate scenarios, including instantaneous rate shocks, against static (or flat) rates when measuring interest rate risk, and evaluates results over two consecutive twelve-month periods. All changes are measured in comparison to the projected net interest income that would result from an "unchanged" scenario, where interest rates remain stable over the measured time horizon(s).</w:t>
      </w:r>
    </w:p>
    <w:p>
      <w:pPr>
        <w:spacing w:after="0" w:line="17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While the ALCO reviews simulation assumptions to ensure they are reasonable, and back-tests simulation results on a periodic basis as a monitoring tool, income simulation analysis may not always prove to be an accurate indicator of the Company's interest rate risk or future earnings. There are inherent shortcomings in income simulation, given the number and variety of assumptions that must be made to perform it. For example, the projected level of future market interest rates and the shape of future interest rate yield curves have a major impact on income simulation results. Many assumptions concerning the repricing of financial instruments, the degree to which non-maturity deposits react to changes in market rates, and the expected prepayment rates on loans, mortgage-backed securities, and callable debt securities are also inherently uncertain. In addition, as income simulation analysis assumes that the Company's balance sheet will remain static over the simulation horizon, the results do not reflect the Company's expectations for future balance sheet growth, nor changes in business strategy that the Company could implement in response to rate shifts to mitigate its loss exposures. As such, although the analysis described above provides an indication of the Company's sensitivity to interest rate changes at a point in time, these estimates are not intended to and do not provide a precise forecast of the effect of changes in market interest rates on the Company's net interest income and will differ from actual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Measuring Interest Rate Risk</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can be subject to margin compression depending on the economic environment and the shape of the yield curve. Under the Company's current balance sheet position, the Company's margin generally performs slightly better over time in a rising rate environment, while it generally decreases in a declining rate environment and when the yield curve is flattening or inverted.</w:t>
      </w:r>
    </w:p>
    <w:p>
      <w:pPr>
        <w:spacing w:after="0" w:line="18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Under a flattening yield curve scenario, margin compression occurs as the spread between the cost of funding and the yield on interest earning assets narrows. Under this scenario the degree of margin compression is highly dependent on the Company's ability to fund asset growth through lower cost deposits. However, if the curve is flattening, while short-term rates are rising, the adverse impact on margin may be somewhat delayed, as increases in the Prime Rate will initially result in the Company's asset yields re-pricing more quickly than funding costs.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an inverted yield curve situation, shorter-term rates exceed longer-term rates, and the impact on margin is similar but more adverse than the flat curve scenario. Again, however, the extent of the impact on margin is highly dependent on the Company's balance sheet mix.</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 declining rate environment, margin compression will eventually occur as the yield on interest earning assets decreases more rapidly than decreases in funding costs. The primary causes would be the impact of interest rate decreases (including decreases in the Prime Rate) on adjustable rate loans and the fact that decreases in deposit rates may be limited or lag decreases in the Prime Rate.</w:t>
      </w:r>
    </w:p>
    <w:p>
      <w:pPr>
        <w:spacing w:after="0" w:line="18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There have been no material changes in the results of the Company's net interest income sensitivity analysis as reported in the Company's 2017 Annual Report on Form 10-K. At September 30, 2017, management continues to consider the Company's primary interest rate risk exposure to be margin compression that may result from changes in interest rates and/or changes in the mix of the Company's balance sheet components. This would include the mix of fixed versus variable rate loans and investments on the asset side, and higher cost versus lower cost deposits and overnight borrowings versus term borrowings and certificates of deposit on the liability side.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September 30, 2017.</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13a-15(f) of the Exchange Act) that occurred during the quarter ended September 30, 2017 that have materially affected, or is reasonably likely to materially affect, the Company’s internal controls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There have been no material changes to the risk factors disclosed in Item 1A of the Company’s 2017 Annual Report on Form 10-K.</w:t>
      </w:r>
    </w:p>
    <w:p>
      <w:pPr>
        <w:spacing w:after="0" w:line="26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were no purchases made by the Company of its common stock during the three months ended September 30, 2017.</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940"/>
        <w:spacing w:after="0"/>
        <w:tabs>
          <w:tab w:leader="none" w:pos="2060" w:val="left"/>
        </w:tabs>
        <w:rPr>
          <w:sz w:val="20"/>
          <w:szCs w:val="20"/>
          <w:color w:val="auto"/>
        </w:rPr>
      </w:pPr>
      <w:r>
        <w:rPr>
          <w:rFonts w:ascii="Arial" w:cs="Arial" w:eastAsia="Arial" w:hAnsi="Arial"/>
          <w:sz w:val="18"/>
          <w:szCs w:val="18"/>
          <w:u w:val="single" w:color="auto"/>
          <w:color w:val="auto"/>
        </w:rPr>
        <w:t>Exhibits No</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Description</w:t>
      </w:r>
    </w:p>
    <w:p>
      <w:pPr>
        <w:spacing w:after="0" w:line="23" w:lineRule="exact"/>
        <w:rPr>
          <w:sz w:val="20"/>
          <w:szCs w:val="20"/>
          <w:color w:val="auto"/>
        </w:rPr>
      </w:pPr>
    </w:p>
    <w:p>
      <w:pPr>
        <w:ind w:left="1220"/>
        <w:spacing w:after="0"/>
        <w:tabs>
          <w:tab w:leader="none" w:pos="20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(Rule 13a-14(a)). *</w:t>
      </w:r>
    </w:p>
    <w:p>
      <w:pPr>
        <w:spacing w:after="0" w:line="9" w:lineRule="exact"/>
        <w:rPr>
          <w:sz w:val="20"/>
          <w:szCs w:val="20"/>
          <w:color w:val="auto"/>
        </w:rPr>
      </w:pPr>
    </w:p>
    <w:p>
      <w:pPr>
        <w:ind w:left="1220"/>
        <w:spacing w:after="0"/>
        <w:tabs>
          <w:tab w:leader="none" w:pos="20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(Rule 13a-14(a)). *</w:t>
      </w:r>
    </w:p>
    <w:p>
      <w:pPr>
        <w:spacing w:after="0" w:line="9" w:lineRule="exact"/>
        <w:rPr>
          <w:sz w:val="20"/>
          <w:szCs w:val="20"/>
          <w:color w:val="auto"/>
        </w:rPr>
      </w:pPr>
    </w:p>
    <w:p>
      <w:pPr>
        <w:ind w:left="2080" w:right="520" w:hanging="845"/>
        <w:spacing w:after="0" w:line="250" w:lineRule="auto"/>
        <w:tabs>
          <w:tab w:leader="none" w:pos="20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Certificate of the Chief Executive Officer Pursuant to 18 U.S.C. Section 1350, as adopted pursuant to Section 906 of the Sarbanes-Oxley Act of 2002 (Rule 13a-14(b)). **</w:t>
      </w:r>
    </w:p>
    <w:p>
      <w:pPr>
        <w:spacing w:after="0" w:line="1" w:lineRule="exact"/>
        <w:rPr>
          <w:sz w:val="20"/>
          <w:szCs w:val="20"/>
          <w:color w:val="auto"/>
        </w:rPr>
      </w:pPr>
    </w:p>
    <w:p>
      <w:pPr>
        <w:ind w:left="2080" w:right="580" w:hanging="845"/>
        <w:spacing w:after="0" w:line="250" w:lineRule="auto"/>
        <w:tabs>
          <w:tab w:leader="none" w:pos="20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Certificate of the Chief Financial Officer Pursuant to 18 U.S.C. Section 1350, as adopted pursuant to Section 906 of the Sarbanes-Oxley Act of 2002 (Rule 13a-14(b)). **</w:t>
      </w:r>
    </w:p>
    <w:p>
      <w:pPr>
        <w:spacing w:after="0" w:line="1" w:lineRule="exact"/>
        <w:rPr>
          <w:sz w:val="20"/>
          <w:szCs w:val="20"/>
          <w:color w:val="auto"/>
        </w:rPr>
      </w:pPr>
    </w:p>
    <w:p>
      <w:pPr>
        <w:ind w:left="2080" w:hanging="829"/>
        <w:spacing w:after="0" w:line="290" w:lineRule="auto"/>
        <w:tabs>
          <w:tab w:leader="none" w:pos="2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materials from Northeast Bancorp’s Quarterly Report on Form 10-Q for the quarter ended September 30, 2017 formatted in XBRL: (i) Consolidated Balance Sheets at September 30, 2017 and June 30, 2017; (ii) Consolidated Statements of Income for the three months ended September 30, 2017 and 2016; (iii) Consolidated Statements of Comprehensive Income for the three months ended September 30, 2017 and 2016; (iv) Consolidated Statements of Changes in Shareholders’ Equity for the three months ended September 30, 2017 and 2016; (v) Consolidated Statements of Cash Flows for the three months ended September 30, 2017 and 2016; and (v) Notes to Unaudited Consolidated Financial Statements. *</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20"/>
                <w:szCs w:val="20"/>
                <w:color w:val="auto"/>
              </w:rPr>
            </w:pPr>
            <w:r>
              <w:rPr>
                <w:rFonts w:ascii="Arial" w:cs="Arial" w:eastAsia="Arial" w:hAnsi="Arial"/>
                <w:sz w:val="18"/>
                <w:szCs w:val="18"/>
                <w:color w:val="auto"/>
              </w:rPr>
              <w:t>Date: November 9, 2017</w:t>
            </w:r>
          </w:p>
        </w:tc>
        <w:tc>
          <w:tcPr>
            <w:tcW w:w="2360" w:type="dxa"/>
            <w:vAlign w:val="bottom"/>
          </w:tcPr>
          <w:p>
            <w:pPr>
              <w:spacing w:after="0"/>
              <w:rPr>
                <w:sz w:val="19"/>
                <w:szCs w:val="19"/>
                <w:color w:val="auto"/>
              </w:rPr>
            </w:pPr>
          </w:p>
        </w:tc>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NORTHEAST BANCORP</w:t>
            </w:r>
          </w:p>
        </w:tc>
      </w:tr>
      <w:tr>
        <w:trPr>
          <w:trHeight w:val="190"/>
        </w:trPr>
        <w:tc>
          <w:tcPr>
            <w:tcW w:w="3700" w:type="dxa"/>
            <w:vAlign w:val="bottom"/>
          </w:tcPr>
          <w:p>
            <w:pPr>
              <w:spacing w:after="0"/>
              <w:rPr>
                <w:sz w:val="16"/>
                <w:szCs w:val="16"/>
                <w:color w:val="auto"/>
              </w:rPr>
            </w:pPr>
          </w:p>
        </w:tc>
        <w:tc>
          <w:tcPr>
            <w:tcW w:w="7720" w:type="dxa"/>
            <w:vAlign w:val="bottom"/>
            <w:gridSpan w:val="4"/>
          </w:tcPr>
          <w:p>
            <w:pPr>
              <w:ind w:left="2020"/>
              <w:spacing w:after="0" w:line="190" w:lineRule="exact"/>
              <w:rPr>
                <w:sz w:val="20"/>
                <w:szCs w:val="20"/>
                <w:color w:val="auto"/>
              </w:rPr>
            </w:pPr>
            <w:r>
              <w:rPr>
                <w:rFonts w:ascii="Arial" w:cs="Arial" w:eastAsia="Arial" w:hAnsi="Arial"/>
                <w:sz w:val="18"/>
                <w:szCs w:val="18"/>
                <w:color w:val="auto"/>
              </w:rPr>
              <w:t>By: /s/ Richard Wayne</w:t>
            </w:r>
          </w:p>
        </w:tc>
      </w:tr>
      <w:tr>
        <w:trPr>
          <w:trHeight w:val="222"/>
        </w:trPr>
        <w:tc>
          <w:tcPr>
            <w:tcW w:w="37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99"/>
              </w:rPr>
              <w:t>Richard Wayne</w:t>
            </w:r>
          </w:p>
        </w:tc>
        <w:tc>
          <w:tcPr>
            <w:tcW w:w="404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60" w:type="dxa"/>
            <w:vAlign w:val="bottom"/>
            <w:gridSpan w:val="3"/>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392"/>
        </w:trPr>
        <w:tc>
          <w:tcPr>
            <w:tcW w:w="3700" w:type="dxa"/>
            <w:vAlign w:val="bottom"/>
          </w:tcPr>
          <w:p>
            <w:pPr>
              <w:spacing w:after="0"/>
              <w:rPr>
                <w:sz w:val="24"/>
                <w:szCs w:val="24"/>
                <w:color w:val="auto"/>
              </w:rPr>
            </w:pPr>
          </w:p>
        </w:tc>
        <w:tc>
          <w:tcPr>
            <w:tcW w:w="7720" w:type="dxa"/>
            <w:vAlign w:val="bottom"/>
            <w:gridSpan w:val="4"/>
          </w:tcPr>
          <w:p>
            <w:pPr>
              <w:ind w:left="2020"/>
              <w:spacing w:after="0"/>
              <w:rPr>
                <w:sz w:val="20"/>
                <w:szCs w:val="20"/>
                <w:color w:val="auto"/>
              </w:rPr>
            </w:pPr>
            <w:r>
              <w:rPr>
                <w:rFonts w:ascii="Arial" w:cs="Arial" w:eastAsia="Arial" w:hAnsi="Arial"/>
                <w:sz w:val="18"/>
                <w:szCs w:val="18"/>
                <w:color w:val="auto"/>
              </w:rPr>
              <w:t>By: /s/ Brian Pinheiro</w:t>
            </w:r>
          </w:p>
        </w:tc>
      </w:tr>
      <w:tr>
        <w:trPr>
          <w:trHeight w:val="222"/>
        </w:trPr>
        <w:tc>
          <w:tcPr>
            <w:tcW w:w="37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Brian Pinheiro</w:t>
            </w:r>
          </w:p>
        </w:tc>
        <w:tc>
          <w:tcPr>
            <w:tcW w:w="4100" w:type="dxa"/>
            <w:vAlign w:val="bottom"/>
            <w:gridSpan w:val="2"/>
          </w:tcPr>
          <w:p>
            <w:pPr>
              <w:spacing w:after="0"/>
              <w:rPr>
                <w:sz w:val="19"/>
                <w:szCs w:val="19"/>
                <w:color w:val="auto"/>
              </w:rPr>
            </w:pPr>
          </w:p>
        </w:tc>
      </w:tr>
      <w:tr>
        <w:trPr>
          <w:trHeight w:val="216"/>
        </w:trPr>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60" w:type="dxa"/>
            <w:vAlign w:val="bottom"/>
            <w:gridSpan w:val="3"/>
          </w:tcPr>
          <w:p>
            <w:pPr>
              <w:ind w:left="80"/>
              <w:spacing w:after="0"/>
              <w:rPr>
                <w:sz w:val="20"/>
                <w:szCs w:val="20"/>
                <w:color w:val="auto"/>
              </w:rPr>
            </w:pPr>
            <w:r>
              <w:rPr>
                <w:rFonts w:ascii="Arial" w:cs="Arial" w:eastAsia="Arial" w:hAnsi="Arial"/>
                <w:sz w:val="18"/>
                <w:szCs w:val="18"/>
                <w:color w:val="auto"/>
              </w:rPr>
              <w:t>Interim Chief Financial Officer and</w:t>
            </w:r>
          </w:p>
        </w:tc>
      </w:tr>
      <w:tr>
        <w:trPr>
          <w:trHeight w:val="230"/>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60" w:type="dxa"/>
            <w:vAlign w:val="bottom"/>
            <w:gridSpan w:val="3"/>
          </w:tcPr>
          <w:p>
            <w:pPr>
              <w:ind w:left="140"/>
              <w:spacing w:after="0"/>
              <w:rPr>
                <w:sz w:val="20"/>
                <w:szCs w:val="20"/>
                <w:color w:val="auto"/>
              </w:rPr>
            </w:pPr>
            <w:r>
              <w:rPr>
                <w:rFonts w:ascii="Arial" w:cs="Arial" w:eastAsia="Arial" w:hAnsi="Arial"/>
                <w:sz w:val="18"/>
                <w:szCs w:val="18"/>
                <w:color w:val="auto"/>
              </w:rPr>
              <w:t>Chief Risk Officer</w:t>
            </w:r>
          </w:p>
        </w:tc>
      </w:tr>
      <w:tr>
        <w:trPr>
          <w:trHeight w:val="432"/>
        </w:trPr>
        <w:tc>
          <w:tcPr>
            <w:tcW w:w="3700" w:type="dxa"/>
            <w:vAlign w:val="bottom"/>
          </w:tcPr>
          <w:p>
            <w:pPr>
              <w:spacing w:after="0"/>
              <w:rPr>
                <w:sz w:val="24"/>
                <w:szCs w:val="24"/>
                <w:color w:val="auto"/>
              </w:rPr>
            </w:pP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44</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15"/>
        </w:trPr>
        <w:tc>
          <w:tcPr>
            <w:tcW w:w="370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NORTHEAST BANCORP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Exhibits No</w:t>
      </w:r>
      <w:r>
        <w:rPr>
          <w:rFonts w:ascii="Arial" w:cs="Arial" w:eastAsia="Arial" w:hAnsi="Arial"/>
          <w:sz w:val="18"/>
          <w:szCs w:val="18"/>
          <w:color w:val="auto"/>
        </w:rPr>
        <w:t>.</w:t>
      </w:r>
      <w:r>
        <w:rPr>
          <w:rFonts w:ascii="Arial" w:cs="Arial" w:eastAsia="Arial" w:hAnsi="Arial"/>
          <w:sz w:val="18"/>
          <w:szCs w:val="18"/>
          <w:u w:val="single" w:color="auto"/>
          <w:color w:val="auto"/>
        </w:rPr>
        <w:t>Description</w:t>
      </w:r>
    </w:p>
    <w:p>
      <w:pPr>
        <w:spacing w:after="0" w:line="23" w:lineRule="exact"/>
        <w:rPr>
          <w:sz w:val="20"/>
          <w:szCs w:val="20"/>
          <w:color w:val="auto"/>
        </w:rPr>
      </w:pPr>
    </w:p>
    <w:p>
      <w:pPr>
        <w:ind w:left="76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47">
        <w:r>
          <w:rPr>
            <w:rFonts w:ascii="Arial" w:cs="Arial" w:eastAsia="Arial" w:hAnsi="Arial"/>
            <w:sz w:val="16"/>
            <w:szCs w:val="16"/>
            <w:u w:val="single" w:color="auto"/>
            <w:color w:val="0000EE"/>
          </w:rPr>
          <w:t>Certification of the Chief Executive Officer pursuant to Section 302 of the Sarbanes-Oxley Act of 2002 (Rule 13a-14(a)). *</w:t>
        </w:r>
      </w:hyperlink>
    </w:p>
    <w:p>
      <w:pPr>
        <w:spacing w:after="0" w:line="9" w:lineRule="exact"/>
        <w:rPr>
          <w:sz w:val="20"/>
          <w:szCs w:val="20"/>
          <w:color w:val="auto"/>
        </w:rPr>
      </w:pPr>
    </w:p>
    <w:p>
      <w:pPr>
        <w:ind w:left="76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48">
        <w:r>
          <w:rPr>
            <w:rFonts w:ascii="Arial" w:cs="Arial" w:eastAsia="Arial" w:hAnsi="Arial"/>
            <w:sz w:val="16"/>
            <w:szCs w:val="16"/>
            <w:u w:val="single" w:color="auto"/>
            <w:color w:val="0000EE"/>
          </w:rPr>
          <w:t>Certification of the Chief Financial Officer pursuant to Section 302 of the Sarbanes-Oxley Act of 2002 (Rule 13a-14(a)). *</w:t>
        </w:r>
      </w:hyperlink>
    </w:p>
    <w:p>
      <w:pPr>
        <w:spacing w:after="0" w:line="9" w:lineRule="exact"/>
        <w:rPr>
          <w:sz w:val="20"/>
          <w:szCs w:val="20"/>
          <w:color w:val="auto"/>
        </w:rPr>
      </w:pPr>
    </w:p>
    <w:p>
      <w:pPr>
        <w:ind w:left="1380" w:right="180" w:hanging="616"/>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49">
        <w:r>
          <w:rPr>
            <w:rFonts w:ascii="Arial" w:cs="Arial" w:eastAsia="Arial" w:hAnsi="Arial"/>
            <w:sz w:val="18"/>
            <w:szCs w:val="18"/>
            <w:u w:val="single" w:color="auto"/>
            <w:color w:val="0000EE"/>
          </w:rPr>
          <w:t>Certificate of the Chief Executive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49">
        <w:r>
          <w:rPr>
            <w:rFonts w:ascii="Arial" w:cs="Arial" w:eastAsia="Arial" w:hAnsi="Arial"/>
            <w:sz w:val="18"/>
            <w:szCs w:val="18"/>
            <w:u w:val="single" w:color="auto"/>
            <w:color w:val="0000EE"/>
          </w:rPr>
          <w:t>Act of 2002 (Rule 13a-14(b)). **</w:t>
        </w:r>
      </w:hyperlink>
    </w:p>
    <w:p>
      <w:pPr>
        <w:spacing w:after="0" w:line="1" w:lineRule="exact"/>
        <w:rPr>
          <w:sz w:val="20"/>
          <w:szCs w:val="20"/>
          <w:color w:val="auto"/>
        </w:rPr>
      </w:pPr>
    </w:p>
    <w:p>
      <w:pPr>
        <w:ind w:left="1380" w:right="220" w:hanging="616"/>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50">
        <w:r>
          <w:rPr>
            <w:rFonts w:ascii="Arial" w:cs="Arial" w:eastAsia="Arial" w:hAnsi="Arial"/>
            <w:sz w:val="18"/>
            <w:szCs w:val="18"/>
            <w:u w:val="single" w:color="auto"/>
            <w:color w:val="0000EE"/>
          </w:rPr>
          <w:t>Certificate of the Chief Financial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50">
        <w:r>
          <w:rPr>
            <w:rFonts w:ascii="Arial" w:cs="Arial" w:eastAsia="Arial" w:hAnsi="Arial"/>
            <w:sz w:val="18"/>
            <w:szCs w:val="18"/>
            <w:u w:val="single" w:color="auto"/>
            <w:color w:val="0000EE"/>
          </w:rPr>
          <w:t>Act of 2002 (Rule 13a-14(b)). **</w:t>
        </w:r>
      </w:hyperlink>
    </w:p>
    <w:p>
      <w:pPr>
        <w:spacing w:after="0" w:line="1" w:lineRule="exact"/>
        <w:rPr>
          <w:sz w:val="20"/>
          <w:szCs w:val="20"/>
          <w:color w:val="auto"/>
        </w:rPr>
      </w:pPr>
    </w:p>
    <w:p>
      <w:pPr>
        <w:ind w:left="1380" w:hanging="589"/>
        <w:spacing w:after="0" w:line="252" w:lineRule="auto"/>
        <w:tabs>
          <w:tab w:leader="none" w:pos="1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following materials from Northeast Bancorp’s Quarterly Report on Form 10-Q for the quarter ended September 30, 2017 formatted in XBRL: (i) Consolidated Balance Sheets at September 30, 2017 and June 30, 2017; (ii) Consolidated Statements of Income for the three months ended September 30, 2017 and 2016; (iii) Consolidated Statements of Comprehensive Income for the three months ended September 30, 2017 and 2016; (iv) Consolidated Statements of Changes in Shareholders’ Equity for the three months ended September 30, 2017 and 2016; (v) Consolidated Statements of Cash Flows for the three months ended September 30, 2017 and 2016; and (v) Notes to Unaudited Consolidated Financial Statements. *</w:t>
      </w:r>
    </w:p>
    <w:p>
      <w:pPr>
        <w:spacing w:after="0" w:line="19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18"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Exhibit 31.1 Certification of the Chief Executive Officer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620" w:hanging="376"/>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620" w:right="280" w:hanging="376"/>
        <w:spacing w:after="0" w:line="264"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240" w:hanging="376"/>
        <w:spacing w:after="0" w:line="308"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60" w:hanging="376"/>
        <w:spacing w:after="0" w:line="264"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hanging="4"/>
        <w:spacing w:after="0" w:line="264" w:lineRule="auto"/>
        <w:tabs>
          <w:tab w:leader="none" w:pos="9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20" w:right="220" w:hanging="4"/>
        <w:spacing w:after="0" w:line="264" w:lineRule="auto"/>
        <w:tabs>
          <w:tab w:leader="none" w:pos="87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20" w:right="760" w:hanging="4"/>
        <w:spacing w:after="0" w:line="342" w:lineRule="auto"/>
        <w:tabs>
          <w:tab w:leader="none" w:pos="91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20" w:right="260" w:hanging="4"/>
        <w:spacing w:after="0" w:line="264"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180" w:hanging="376"/>
        <w:spacing w:after="0" w:line="308"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20" w:right="160" w:hanging="4"/>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120" w:hanging="4"/>
        <w:spacing w:after="0" w:line="277" w:lineRule="auto"/>
        <w:tabs>
          <w:tab w:leader="none" w:pos="9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9, 2017</w:t>
      </w:r>
    </w:p>
    <w:p>
      <w:pPr>
        <w:spacing w:after="0" w:line="23" w:lineRule="exact"/>
        <w:rPr>
          <w:sz w:val="20"/>
          <w:szCs w:val="20"/>
          <w:color w:val="auto"/>
        </w:rPr>
      </w:pPr>
    </w:p>
    <w:p>
      <w:pPr>
        <w:jc w:val="right"/>
        <w:ind w:right="4020"/>
        <w:spacing w:after="0"/>
        <w:rPr>
          <w:sz w:val="20"/>
          <w:szCs w:val="20"/>
          <w:color w:val="auto"/>
        </w:rPr>
      </w:pPr>
      <w:r>
        <w:rPr>
          <w:rFonts w:ascii="Arial" w:cs="Arial" w:eastAsia="Arial" w:hAnsi="Arial"/>
          <w:sz w:val="18"/>
          <w:szCs w:val="18"/>
          <w:u w:val="single" w:color="auto"/>
          <w:color w:val="auto"/>
        </w:rPr>
        <w:t>/s/ Richard Wayne</w:t>
      </w:r>
    </w:p>
    <w:p>
      <w:pPr>
        <w:spacing w:after="0" w:line="9" w:lineRule="exact"/>
        <w:rPr>
          <w:sz w:val="20"/>
          <w:szCs w:val="20"/>
          <w:color w:val="auto"/>
        </w:rPr>
      </w:pPr>
    </w:p>
    <w:p>
      <w:pPr>
        <w:jc w:val="right"/>
        <w:ind w:right="3980"/>
        <w:spacing w:after="0"/>
        <w:rPr>
          <w:sz w:val="20"/>
          <w:szCs w:val="20"/>
          <w:color w:val="auto"/>
        </w:rPr>
      </w:pPr>
      <w:r>
        <w:rPr>
          <w:rFonts w:ascii="Arial" w:cs="Arial" w:eastAsia="Arial" w:hAnsi="Arial"/>
          <w:sz w:val="18"/>
          <w:szCs w:val="18"/>
          <w:color w:val="auto"/>
        </w:rPr>
        <w:t>Richard Wayne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60"/>
          </w:cols>
          <w:pgMar w:left="240" w:top="121" w:right="299" w:bottom="1440" w:gutter="0" w:footer="0" w:header="0"/>
        </w:sectPr>
      </w:pPr>
    </w:p>
    <w:bookmarkStart w:id="47" w:name="page48"/>
    <w:bookmarkEnd w:id="47"/>
    <w:p>
      <w:pPr>
        <w:spacing w:after="0"/>
        <w:tabs>
          <w:tab w:leader="none" w:pos="1140" w:val="left"/>
        </w:tabs>
        <w:rPr>
          <w:sz w:val="20"/>
          <w:szCs w:val="20"/>
          <w:color w:val="auto"/>
        </w:rPr>
      </w:pPr>
      <w:r>
        <w:rPr>
          <w:rFonts w:ascii="Arial" w:cs="Arial" w:eastAsia="Arial" w:hAnsi="Arial"/>
          <w:sz w:val="18"/>
          <w:szCs w:val="18"/>
          <w:b w:val="1"/>
          <w:bCs w:val="1"/>
          <w:color w:val="auto"/>
        </w:rPr>
        <w:t>Exhibit 31.2</w:t>
      </w:r>
      <w:r>
        <w:rPr>
          <w:sz w:val="20"/>
          <w:szCs w:val="20"/>
          <w:color w:val="auto"/>
        </w:rPr>
        <w:tab/>
      </w:r>
      <w:r>
        <w:rPr>
          <w:rFonts w:ascii="Arial" w:cs="Arial" w:eastAsia="Arial" w:hAnsi="Arial"/>
          <w:sz w:val="16"/>
          <w:szCs w:val="16"/>
          <w:b w:val="1"/>
          <w:bCs w:val="1"/>
          <w:color w:val="auto"/>
        </w:rPr>
        <w:t>Certification of the Chief Financial Officer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Pinheiro, certify that:</w:t>
      </w:r>
    </w:p>
    <w:p>
      <w:pPr>
        <w:spacing w:after="0" w:line="225" w:lineRule="exact"/>
        <w:rPr>
          <w:sz w:val="20"/>
          <w:szCs w:val="20"/>
          <w:color w:val="auto"/>
        </w:rPr>
      </w:pPr>
    </w:p>
    <w:p>
      <w:pPr>
        <w:ind w:left="620" w:hanging="376"/>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620" w:right="280" w:hanging="376"/>
        <w:spacing w:after="0" w:line="264"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240" w:hanging="376"/>
        <w:spacing w:after="0" w:line="308"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60" w:hanging="376"/>
        <w:spacing w:after="0" w:line="264"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hanging="4"/>
        <w:spacing w:after="0" w:line="264" w:lineRule="auto"/>
        <w:tabs>
          <w:tab w:leader="none" w:pos="9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20" w:right="220" w:hanging="4"/>
        <w:spacing w:after="0" w:line="264" w:lineRule="auto"/>
        <w:tabs>
          <w:tab w:leader="none" w:pos="87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20" w:right="760" w:hanging="4"/>
        <w:spacing w:after="0" w:line="342" w:lineRule="auto"/>
        <w:tabs>
          <w:tab w:leader="none" w:pos="91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20" w:right="260" w:hanging="4"/>
        <w:spacing w:after="0" w:line="264"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180" w:hanging="376"/>
        <w:spacing w:after="0" w:line="308"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20" w:right="160" w:hanging="4"/>
        <w:spacing w:after="0" w:line="277"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120" w:hanging="4"/>
        <w:spacing w:after="0" w:line="277" w:lineRule="auto"/>
        <w:tabs>
          <w:tab w:leader="none" w:pos="9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20"/>
                <w:szCs w:val="20"/>
                <w:color w:val="auto"/>
              </w:rPr>
            </w:pPr>
            <w:r>
              <w:rPr>
                <w:rFonts w:ascii="Arial" w:cs="Arial" w:eastAsia="Arial" w:hAnsi="Arial"/>
                <w:sz w:val="18"/>
                <w:szCs w:val="18"/>
                <w:color w:val="auto"/>
              </w:rPr>
              <w:t>November 9, 2017</w:t>
            </w:r>
          </w:p>
        </w:tc>
        <w:tc>
          <w:tcPr>
            <w:tcW w:w="2200" w:type="dxa"/>
            <w:vAlign w:val="bottom"/>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Brian Pinheiro</w:t>
            </w:r>
          </w:p>
        </w:tc>
        <w:tc>
          <w:tcPr>
            <w:tcW w:w="2900" w:type="dxa"/>
            <w:vAlign w:val="bottom"/>
          </w:tcPr>
          <w:p>
            <w:pPr>
              <w:spacing w:after="0"/>
              <w:rPr>
                <w:sz w:val="18"/>
                <w:szCs w:val="18"/>
                <w:color w:val="auto"/>
              </w:rPr>
            </w:pPr>
          </w:p>
        </w:tc>
      </w:tr>
      <w:tr>
        <w:trPr>
          <w:trHeight w:val="222"/>
        </w:trPr>
        <w:tc>
          <w:tcPr>
            <w:tcW w:w="3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80" w:type="dxa"/>
            <w:vAlign w:val="bottom"/>
            <w:gridSpan w:val="2"/>
          </w:tcPr>
          <w:p>
            <w:pPr>
              <w:ind w:left="240"/>
              <w:spacing w:after="0"/>
              <w:rPr>
                <w:sz w:val="20"/>
                <w:szCs w:val="20"/>
                <w:color w:val="auto"/>
              </w:rPr>
            </w:pPr>
            <w:r>
              <w:rPr>
                <w:rFonts w:ascii="Arial" w:cs="Arial" w:eastAsia="Arial" w:hAnsi="Arial"/>
                <w:sz w:val="18"/>
                <w:szCs w:val="18"/>
                <w:color w:val="auto"/>
              </w:rPr>
              <w:t>Brian Pinheiro</w:t>
            </w:r>
          </w:p>
        </w:tc>
      </w:tr>
      <w:tr>
        <w:trPr>
          <w:trHeight w:val="230"/>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180" w:type="dxa"/>
            <w:vAlign w:val="bottom"/>
            <w:gridSpan w:val="2"/>
          </w:tcPr>
          <w:p>
            <w:pPr>
              <w:ind w:left="240"/>
              <w:spacing w:after="0"/>
              <w:rPr>
                <w:sz w:val="20"/>
                <w:szCs w:val="20"/>
                <w:color w:val="auto"/>
              </w:rPr>
            </w:pPr>
            <w:r>
              <w:rPr>
                <w:rFonts w:ascii="Arial" w:cs="Arial" w:eastAsia="Arial" w:hAnsi="Arial"/>
                <w:sz w:val="18"/>
                <w:szCs w:val="18"/>
                <w:color w:val="auto"/>
                <w:w w:val="93"/>
              </w:rPr>
              <w:t>Interim Chief Financial Officer and Chief Risk Officer</w:t>
            </w:r>
          </w:p>
        </w:tc>
      </w:tr>
    </w:tbl>
    <w:p>
      <w:pPr>
        <w:sectPr>
          <w:pgSz w:w="11900" w:h="16838" w:orient="portrait"/>
          <w:cols w:equalWidth="0" w:num="1">
            <w:col w:w="11360"/>
          </w:cols>
          <w:pgMar w:left="240" w:top="121" w:right="299" w:bottom="1440" w:gutter="0" w:footer="0" w:header="0"/>
        </w:sectPr>
      </w:pPr>
    </w:p>
    <w:bookmarkStart w:id="48" w:name="page49"/>
    <w:bookmarkEnd w:id="48"/>
    <w:p>
      <w:pPr>
        <w:spacing w:after="0"/>
        <w:tabs>
          <w:tab w:leader="none" w:pos="1180" w:val="left"/>
        </w:tabs>
        <w:rPr>
          <w:sz w:val="20"/>
          <w:szCs w:val="20"/>
          <w:color w:val="auto"/>
        </w:rPr>
      </w:pPr>
      <w:r>
        <w:rPr>
          <w:rFonts w:ascii="Arial" w:cs="Arial" w:eastAsia="Arial" w:hAnsi="Arial"/>
          <w:sz w:val="18"/>
          <w:szCs w:val="18"/>
          <w:b w:val="1"/>
          <w:bCs w:val="1"/>
          <w:color w:val="auto"/>
        </w:rPr>
        <w:t>Exhibit 32.1.</w:t>
      </w:r>
      <w:r>
        <w:rPr>
          <w:sz w:val="20"/>
          <w:szCs w:val="20"/>
          <w:color w:val="auto"/>
        </w:rPr>
        <w:tab/>
      </w:r>
      <w:r>
        <w:rPr>
          <w:rFonts w:ascii="Arial" w:cs="Arial" w:eastAsia="Arial" w:hAnsi="Arial"/>
          <w:sz w:val="16"/>
          <w:szCs w:val="16"/>
          <w:b w:val="1"/>
          <w:bCs w:val="1"/>
          <w:color w:val="auto"/>
        </w:rPr>
        <w:t>Certificate of the Chief Executive Officer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September 30, 2017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81" w:lineRule="exact"/>
        <w:rPr>
          <w:sz w:val="20"/>
          <w:szCs w:val="20"/>
          <w:color w:val="auto"/>
        </w:rPr>
      </w:pPr>
    </w:p>
    <w:p>
      <w:pPr>
        <w:ind w:left="680" w:hanging="29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380" w:right="80" w:firstLine="6"/>
        <w:spacing w:after="0" w:line="277" w:lineRule="auto"/>
        <w:tabs>
          <w:tab w:leader="none" w:pos="6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20"/>
                <w:szCs w:val="20"/>
                <w:color w:val="auto"/>
              </w:rPr>
            </w:pPr>
            <w:r>
              <w:rPr>
                <w:rFonts w:ascii="Arial" w:cs="Arial" w:eastAsia="Arial" w:hAnsi="Arial"/>
                <w:sz w:val="18"/>
                <w:szCs w:val="18"/>
                <w:color w:val="auto"/>
              </w:rPr>
              <w:t>November 9, 2017</w:t>
            </w:r>
          </w:p>
        </w:tc>
        <w:tc>
          <w:tcPr>
            <w:tcW w:w="2200" w:type="dxa"/>
            <w:vAlign w:val="bottom"/>
          </w:tcPr>
          <w:p>
            <w:pPr>
              <w:spacing w:after="0"/>
              <w:rPr>
                <w:sz w:val="17"/>
                <w:szCs w:val="17"/>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Richard Wayne</w:t>
            </w:r>
          </w:p>
        </w:tc>
        <w:tc>
          <w:tcPr>
            <w:tcW w:w="620" w:type="dxa"/>
            <w:vAlign w:val="bottom"/>
          </w:tcPr>
          <w:p>
            <w:pPr>
              <w:spacing w:after="0"/>
              <w:rPr>
                <w:sz w:val="17"/>
                <w:szCs w:val="17"/>
                <w:color w:val="auto"/>
              </w:rPr>
            </w:pPr>
          </w:p>
        </w:tc>
      </w:tr>
      <w:tr>
        <w:trPr>
          <w:trHeight w:val="222"/>
        </w:trPr>
        <w:tc>
          <w:tcPr>
            <w:tcW w:w="3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rPr>
              <w:t>Richard Wayne</w:t>
            </w:r>
          </w:p>
        </w:tc>
      </w:tr>
      <w:tr>
        <w:trPr>
          <w:trHeight w:val="230"/>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w w:val="92"/>
              </w:rPr>
              <w:t>Chief Executive Officer</w:t>
            </w:r>
          </w:p>
        </w:tc>
      </w:tr>
    </w:tbl>
    <w:p>
      <w:pPr>
        <w:sectPr>
          <w:pgSz w:w="11900" w:h="16838" w:orient="portrait"/>
          <w:cols w:equalWidth="0" w:num="1">
            <w:col w:w="11420"/>
          </w:cols>
          <w:pgMar w:left="240" w:top="121" w:right="239" w:bottom="1440" w:gutter="0" w:footer="0" w:header="0"/>
        </w:sectPr>
      </w:pPr>
    </w:p>
    <w:bookmarkStart w:id="49" w:name="page50"/>
    <w:bookmarkEnd w:id="49"/>
    <w:p>
      <w:pPr>
        <w:spacing w:after="0"/>
        <w:tabs>
          <w:tab w:leader="none" w:pos="1180" w:val="left"/>
        </w:tabs>
        <w:rPr>
          <w:sz w:val="20"/>
          <w:szCs w:val="20"/>
          <w:color w:val="auto"/>
        </w:rPr>
      </w:pPr>
      <w:r>
        <w:rPr>
          <w:rFonts w:ascii="Arial" w:cs="Arial" w:eastAsia="Arial" w:hAnsi="Arial"/>
          <w:sz w:val="18"/>
          <w:szCs w:val="18"/>
          <w:b w:val="1"/>
          <w:bCs w:val="1"/>
          <w:color w:val="auto"/>
        </w:rPr>
        <w:t>Exhibit 32.2.</w:t>
      </w:r>
      <w:r>
        <w:rPr>
          <w:sz w:val="20"/>
          <w:szCs w:val="20"/>
          <w:color w:val="auto"/>
        </w:rPr>
        <w:tab/>
      </w:r>
      <w:r>
        <w:rPr>
          <w:rFonts w:ascii="Arial" w:cs="Arial" w:eastAsia="Arial" w:hAnsi="Arial"/>
          <w:sz w:val="16"/>
          <w:szCs w:val="16"/>
          <w:b w:val="1"/>
          <w:bCs w:val="1"/>
          <w:color w:val="auto"/>
        </w:rPr>
        <w:t>Certificate of the Chief Financial Officer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Northeast Bancorp. (the "Company") on Form 10-Q for the quarterly period ended September 30, 2017 as filed with the Securities and Exchange Commission on the date hereof (the "Report"), I, Brian Pinheiro, as Interim Chief Financial Officer and Chief Risk Officer of the Company, hereby certify pursuant to 18 U.S.C. 1350, as adopted pursuant to 906 of the Sarbanes-Oxley Act of 2002, that:</w:t>
      </w:r>
    </w:p>
    <w:p>
      <w:pPr>
        <w:spacing w:after="0" w:line="166" w:lineRule="exact"/>
        <w:rPr>
          <w:sz w:val="20"/>
          <w:szCs w:val="20"/>
          <w:color w:val="auto"/>
        </w:rPr>
      </w:pPr>
    </w:p>
    <w:p>
      <w:pPr>
        <w:ind w:left="680" w:hanging="294"/>
        <w:spacing w:after="0"/>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380" w:firstLine="6"/>
        <w:spacing w:after="0" w:line="277" w:lineRule="auto"/>
        <w:tabs>
          <w:tab w:leader="none" w:pos="6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20"/>
                <w:szCs w:val="20"/>
                <w:color w:val="auto"/>
              </w:rPr>
            </w:pPr>
            <w:r>
              <w:rPr>
                <w:rFonts w:ascii="Arial" w:cs="Arial" w:eastAsia="Arial" w:hAnsi="Arial"/>
                <w:sz w:val="18"/>
                <w:szCs w:val="18"/>
                <w:color w:val="auto"/>
              </w:rPr>
              <w:t>November 9, 2017</w:t>
            </w:r>
          </w:p>
        </w:tc>
        <w:tc>
          <w:tcPr>
            <w:tcW w:w="2200" w:type="dxa"/>
            <w:vAlign w:val="bottom"/>
          </w:tcPr>
          <w:p>
            <w:pPr>
              <w:spacing w:after="0"/>
              <w:rPr>
                <w:sz w:val="17"/>
                <w:szCs w:val="17"/>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Brian Pinheiro</w:t>
            </w:r>
          </w:p>
        </w:tc>
        <w:tc>
          <w:tcPr>
            <w:tcW w:w="2900" w:type="dxa"/>
            <w:vAlign w:val="bottom"/>
          </w:tcPr>
          <w:p>
            <w:pPr>
              <w:spacing w:after="0"/>
              <w:rPr>
                <w:sz w:val="17"/>
                <w:szCs w:val="17"/>
                <w:color w:val="auto"/>
              </w:rPr>
            </w:pPr>
          </w:p>
        </w:tc>
      </w:tr>
      <w:tr>
        <w:trPr>
          <w:trHeight w:val="222"/>
        </w:trPr>
        <w:tc>
          <w:tcPr>
            <w:tcW w:w="3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80" w:type="dxa"/>
            <w:vAlign w:val="bottom"/>
            <w:gridSpan w:val="2"/>
          </w:tcPr>
          <w:p>
            <w:pPr>
              <w:ind w:left="240"/>
              <w:spacing w:after="0"/>
              <w:rPr>
                <w:sz w:val="20"/>
                <w:szCs w:val="20"/>
                <w:color w:val="auto"/>
              </w:rPr>
            </w:pPr>
            <w:r>
              <w:rPr>
                <w:rFonts w:ascii="Arial" w:cs="Arial" w:eastAsia="Arial" w:hAnsi="Arial"/>
                <w:sz w:val="18"/>
                <w:szCs w:val="18"/>
                <w:color w:val="auto"/>
              </w:rPr>
              <w:t>Brian Pinheiro</w:t>
            </w:r>
          </w:p>
        </w:tc>
      </w:tr>
      <w:tr>
        <w:trPr>
          <w:trHeight w:val="230"/>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180" w:type="dxa"/>
            <w:vAlign w:val="bottom"/>
            <w:gridSpan w:val="2"/>
          </w:tcPr>
          <w:p>
            <w:pPr>
              <w:ind w:left="240"/>
              <w:spacing w:after="0"/>
              <w:rPr>
                <w:sz w:val="20"/>
                <w:szCs w:val="20"/>
                <w:color w:val="auto"/>
              </w:rPr>
            </w:pPr>
            <w:r>
              <w:rPr>
                <w:rFonts w:ascii="Arial" w:cs="Arial" w:eastAsia="Arial" w:hAnsi="Arial"/>
                <w:sz w:val="18"/>
                <w:szCs w:val="18"/>
                <w:color w:val="auto"/>
                <w:w w:val="93"/>
              </w:rPr>
              <w:t>Interim Chief Financial Officer and Chief Risk Officer</w:t>
            </w:r>
          </w:p>
        </w:tc>
      </w:tr>
    </w:tbl>
    <w:p>
      <w:pPr>
        <w:spacing w:after="0" w:line="1" w:lineRule="exact"/>
        <w:rPr>
          <w:sz w:val="20"/>
          <w:szCs w:val="20"/>
          <w:color w:val="auto"/>
        </w:rPr>
      </w:pPr>
    </w:p>
    <w:sectPr>
      <w:pgSz w:w="11900" w:h="16838" w:orient="portrait"/>
      <w:cols w:equalWidth="0" w:num="1">
        <w:col w:w="11340"/>
      </w:cols>
      <w:pgMar w:left="24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decimal"/>
      <w:start w:val="2"/>
    </w:lvl>
  </w:abstractNum>
  <w:abstractNum w:abstractNumId="2">
    <w:nsid w:val="7C83E458"/>
    <w:multiLevelType w:val="hybridMultilevel"/>
    <w:lvl w:ilvl="0">
      <w:lvlJc w:val="left"/>
      <w:lvlText w:val="%1."/>
      <w:numFmt w:val="decimal"/>
      <w:start w:val="3"/>
    </w:lvl>
  </w:abstractNum>
  <w:abstractNum w:abstractNumId="3">
    <w:nsid w:val="257130A3"/>
    <w:multiLevelType w:val="hybridMultilevel"/>
    <w:lvl w:ilvl="0">
      <w:lvlJc w:val="left"/>
      <w:lvlText w:val="%1."/>
      <w:numFmt w:val="decimal"/>
      <w:start w:val="4"/>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lvl w:ilvl="1">
      <w:lvlJc w:val="left"/>
      <w:lvlText w:val="(%2)"/>
      <w:numFmt w:val="decimal"/>
      <w:start w:val="1"/>
    </w:lvl>
  </w:abstractNum>
  <w:abstractNum w:abstractNumId="7">
    <w:nsid w:val="333AB105"/>
    <w:multiLevelType w:val="hybridMultilevel"/>
    <w:lvl w:ilvl="0">
      <w:lvlJc w:val="left"/>
      <w:lvlText w:val="%1."/>
      <w:numFmt w:val="decimal"/>
      <w:start w:val="5"/>
    </w:lvl>
    <w:lvl w:ilvl="1">
      <w:lvlJc w:val="left"/>
      <w:lvlText w:val="%2"/>
      <w:numFmt w:val="decimal"/>
      <w:start w:val="1"/>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1."/>
      <w:numFmt w:val="decimal"/>
      <w:start w:val="7"/>
    </w:lvl>
  </w:abstractNum>
  <w:abstractNum w:abstractNumId="10">
    <w:nsid w:val="2D1D5AE9"/>
    <w:multiLevelType w:val="hybridMultilevel"/>
    <w:lvl w:ilvl="0">
      <w:lvlJc w:val="left"/>
      <w:lvlText w:val="%1."/>
      <w:numFmt w:val="decimal"/>
      <w:start w:val="8"/>
    </w:lvl>
  </w:abstractNum>
  <w:abstractNum w:abstractNumId="11">
    <w:nsid w:val="6763845E"/>
    <w:multiLevelType w:val="hybridMultilevel"/>
    <w:lvl w:ilvl="0">
      <w:lvlJc w:val="left"/>
      <w:lvlText w:val="%1."/>
      <w:numFmt w:val="decimal"/>
      <w:start w:val="9"/>
    </w:lvl>
  </w:abstractNum>
  <w:abstractNum w:abstractNumId="12">
    <w:nsid w:val="75A2A8D4"/>
    <w:multiLevelType w:val="hybridMultilevel"/>
    <w:lvl w:ilvl="0">
      <w:lvlJc w:val="left"/>
      <w:lvlText w:val="%1."/>
      <w:numFmt w:val="decimal"/>
      <w:start w:val="10"/>
    </w:lvl>
  </w:abstractNum>
  <w:abstractNum w:abstractNumId="13">
    <w:nsid w:val="8EDBDAB"/>
    <w:multiLevelType w:val="hybridMultilevel"/>
    <w:lvl w:ilvl="0">
      <w:lvlJc w:val="left"/>
      <w:lvlText w:val="%1."/>
      <w:numFmt w:val="decimal"/>
      <w:start w:val="1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lowerRoman"/>
      <w:start w:val="3"/>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01"/>
    </w:lvl>
  </w:abstractNum>
  <w:abstractNum w:abstractNumId="29">
    <w:nsid w:val="22221A70"/>
    <w:multiLevelType w:val="hybridMultilevel"/>
    <w:lvl w:ilvl="0">
      <w:lvlJc w:val="left"/>
      <w:lvlText w:val="*"/>
      <w:numFmt w:val="bullet"/>
      <w:start w:val="1"/>
    </w:lvl>
    <w:lvl w:ilvl="1">
      <w:lvlJc w:val="left"/>
      <w:lvlText w:val="%2"/>
      <w:numFmt w:val="decimal"/>
      <w:start w:val="101"/>
    </w:lvl>
  </w:abstractNum>
  <w:abstractNum w:abstractNumId="30">
    <w:nsid w:val="4516DDE9"/>
    <w:multiLevelType w:val="hybridMultilevel"/>
    <w:lvl w:ilvl="0">
      <w:lvlJc w:val="left"/>
      <w:lvlText w:val="**"/>
      <w:numFmt w:val="bullet"/>
      <w:start w:val="1"/>
    </w:lvl>
    <w:lvl w:ilvl="1">
      <w:lvlJc w:val="left"/>
      <w:lvlText w:val="%2"/>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2019-12-29T02:57:09Z</dcterms:created>
  <dcterms:modified xsi:type="dcterms:W3CDTF">2019-12-29T02:57:09Z</dcterms:modified>
</cp:coreProperties>
</file>