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1-14588</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Northeast Bancorp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7"/>
              </w:rPr>
              <w:t>Maine</w:t>
            </w:r>
          </w:p>
        </w:tc>
        <w:tc>
          <w:tcPr>
            <w:tcW w:w="4000" w:type="dxa"/>
            <w:vAlign w:val="bottom"/>
          </w:tcPr>
          <w:p>
            <w:pPr>
              <w:jc w:val="right"/>
              <w:ind w:right="1710"/>
              <w:spacing w:after="0"/>
              <w:rPr>
                <w:sz w:val="20"/>
                <w:szCs w:val="20"/>
                <w:color w:val="auto"/>
              </w:rPr>
            </w:pPr>
            <w:r>
              <w:rPr>
                <w:rFonts w:ascii="Arial" w:cs="Arial" w:eastAsia="Arial" w:hAnsi="Arial"/>
                <w:sz w:val="18"/>
                <w:szCs w:val="18"/>
                <w:b w:val="1"/>
                <w:bCs w:val="1"/>
                <w:color w:val="auto"/>
              </w:rPr>
              <w:t>01-0425066</w:t>
            </w:r>
          </w:p>
        </w:tc>
      </w:tr>
      <w:tr>
        <w:trPr>
          <w:trHeight w:val="191"/>
        </w:trPr>
        <w:tc>
          <w:tcPr>
            <w:tcW w:w="448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1"/>
              </w:rPr>
              <w:t>(State or other jurisdiction of incorporation or</w:t>
            </w:r>
          </w:p>
        </w:tc>
        <w:tc>
          <w:tcPr>
            <w:tcW w:w="1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center"/>
              <w:ind w:right="390"/>
              <w:spacing w:after="0" w:line="191" w:lineRule="exact"/>
              <w:rPr>
                <w:sz w:val="20"/>
                <w:szCs w:val="20"/>
                <w:color w:val="auto"/>
              </w:rPr>
            </w:pPr>
            <w:r>
              <w:rPr>
                <w:rFonts w:ascii="Arial" w:cs="Arial" w:eastAsia="Arial" w:hAnsi="Arial"/>
                <w:sz w:val="18"/>
                <w:szCs w:val="18"/>
                <w:b w:val="1"/>
                <w:bCs w:val="1"/>
                <w:color w:val="auto"/>
                <w:w w:val="93"/>
              </w:rPr>
              <w:t>(I.R.S. Employer Identification No.)</w:t>
            </w:r>
          </w:p>
        </w:tc>
      </w:tr>
      <w:tr>
        <w:trPr>
          <w:trHeight w:val="234"/>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0"/>
              </w:rPr>
              <w:t>organization)</w:t>
            </w:r>
          </w:p>
        </w:tc>
        <w:tc>
          <w:tcPr>
            <w:tcW w:w="4000" w:type="dxa"/>
            <w:vAlign w:val="bottom"/>
          </w:tcPr>
          <w:p>
            <w:pPr>
              <w:spacing w:after="0"/>
              <w:rPr>
                <w:sz w:val="20"/>
                <w:szCs w:val="20"/>
                <w:color w:val="auto"/>
              </w:rPr>
            </w:pPr>
          </w:p>
        </w:tc>
      </w:tr>
      <w:tr>
        <w:trPr>
          <w:trHeight w:val="432"/>
        </w:trPr>
        <w:tc>
          <w:tcPr>
            <w:tcW w:w="512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91"/>
              </w:rPr>
              <w:t>500 Canal Street, Lewiston, Maine</w:t>
            </w:r>
          </w:p>
        </w:tc>
        <w:tc>
          <w:tcPr>
            <w:tcW w:w="4000" w:type="dxa"/>
            <w:vAlign w:val="bottom"/>
          </w:tcPr>
          <w:p>
            <w:pPr>
              <w:jc w:val="right"/>
              <w:ind w:right="1930"/>
              <w:spacing w:after="0"/>
              <w:rPr>
                <w:sz w:val="20"/>
                <w:szCs w:val="20"/>
                <w:color w:val="auto"/>
              </w:rPr>
            </w:pPr>
            <w:r>
              <w:rPr>
                <w:rFonts w:ascii="Arial" w:cs="Arial" w:eastAsia="Arial" w:hAnsi="Arial"/>
                <w:sz w:val="18"/>
                <w:szCs w:val="18"/>
                <w:b w:val="1"/>
                <w:bCs w:val="1"/>
                <w:color w:val="auto"/>
              </w:rPr>
              <w:t>04240</w:t>
            </w:r>
          </w:p>
        </w:tc>
      </w:tr>
      <w:tr>
        <w:trPr>
          <w:trHeight w:val="228"/>
        </w:trPr>
        <w:tc>
          <w:tcPr>
            <w:tcW w:w="44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51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(207) 786-3245</w:t>
            </w:r>
          </w:p>
        </w:tc>
        <w:tc>
          <w:tcPr>
            <w:tcW w:w="400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45" w:lineRule="exact"/>
        <w:rPr>
          <w:sz w:val="24"/>
          <w:szCs w:val="24"/>
          <w:color w:val="auto"/>
        </w:rPr>
      </w:pPr>
    </w:p>
    <w:p>
      <w:pPr>
        <w:jc w:val="both"/>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subjected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___</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 Large accelerated filer __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__ Smaller Reporting Company __</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Yes_ 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February 2, 2018, the registrant had outstanding 8,008,634 shares of voting common stock, $1.00 par value per share and 918,639 shares of non-voting common stock, $1.00 par value per share.</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8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Statements (Unaudited)</w:t>
              </w:r>
            </w:hyperlink>
          </w:p>
        </w:tc>
        <w:tc>
          <w:tcPr>
            <w:tcW w:w="64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20" w:type="dxa"/>
            <w:vAlign w:val="bottom"/>
            <w:gridSpan w:val="21"/>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Consolidated Balance Sheets December 31, 2017 and June 30, 2017</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60" w:type="dxa"/>
            <w:vAlign w:val="bottom"/>
            <w:tcBorders>
              <w:bottom w:val="single" w:sz="8" w:color="0000EE"/>
            </w:tcBorders>
            <w:gridSpan w:val="18"/>
          </w:tcPr>
          <w:p>
            <w:pPr>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Consolidated Statements of Income Three and Six Months Ended December 31, 2017 and 2016</w:t>
              </w:r>
            </w:hyperlink>
          </w:p>
        </w:tc>
        <w:tc>
          <w:tcPr>
            <w:tcW w:w="17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20" w:type="dxa"/>
            <w:vAlign w:val="bottom"/>
            <w:gridSpan w:val="21"/>
          </w:tcPr>
          <w:p>
            <w:pPr>
              <w:spacing w:after="0"/>
              <w:rPr>
                <w:rFonts w:ascii="Arial" w:cs="Arial" w:eastAsia="Arial" w:hAnsi="Arial"/>
                <w:sz w:val="18"/>
                <w:szCs w:val="18"/>
                <w:b w:val="1"/>
                <w:bCs w:val="1"/>
                <w:color w:val="0000EE"/>
                <w:w w:val="95"/>
              </w:rPr>
            </w:pPr>
            <w:hyperlink w:anchor="page5">
              <w:r>
                <w:rPr>
                  <w:rFonts w:ascii="Arial" w:cs="Arial" w:eastAsia="Arial" w:hAnsi="Arial"/>
                  <w:sz w:val="18"/>
                  <w:szCs w:val="18"/>
                  <w:b w:val="1"/>
                  <w:bCs w:val="1"/>
                  <w:color w:val="0000EE"/>
                  <w:w w:val="95"/>
                </w:rPr>
                <w:t>Consolidated Statements of Comprehensive Income Three and Six Months Ended December 31, 2017 and 2016</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500" w:type="dxa"/>
            <w:vAlign w:val="bottom"/>
            <w:tcBorders>
              <w:top w:val="single" w:sz="8" w:color="0000EE"/>
            </w:tcBorders>
            <w:gridSpan w:val="20"/>
          </w:tcPr>
          <w:p>
            <w:pPr>
              <w:spacing w:after="0"/>
              <w:rPr>
                <w:rFonts w:ascii="Arial" w:cs="Arial" w:eastAsia="Arial" w:hAnsi="Arial"/>
                <w:sz w:val="18"/>
                <w:szCs w:val="18"/>
                <w:b w:val="1"/>
                <w:bCs w:val="1"/>
                <w:color w:val="0000EE"/>
                <w:w w:val="90"/>
              </w:rPr>
            </w:pPr>
            <w:hyperlink w:anchor="page6">
              <w:r>
                <w:rPr>
                  <w:rFonts w:ascii="Arial" w:cs="Arial" w:eastAsia="Arial" w:hAnsi="Arial"/>
                  <w:sz w:val="18"/>
                  <w:szCs w:val="18"/>
                  <w:b w:val="1"/>
                  <w:bCs w:val="1"/>
                  <w:color w:val="0000EE"/>
                  <w:w w:val="90"/>
                </w:rPr>
                <w:t>Consolidated Statements of Changes in Shareholders' Equity Six Months Ended December 31, 2017 and 2016</w:t>
              </w:r>
            </w:hyperlink>
          </w:p>
        </w:tc>
        <w:tc>
          <w:tcPr>
            <w:tcW w:w="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4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Cash Flows Six Months Ended December 31, 2017 and 2017</w:t>
              </w:r>
            </w:hyperlink>
          </w:p>
        </w:tc>
        <w:tc>
          <w:tcPr>
            <w:tcW w:w="1640" w:type="dxa"/>
            <w:vAlign w:val="bottom"/>
            <w:tcBorders>
              <w:top w:val="single" w:sz="8" w:color="0000EE"/>
            </w:tcBorders>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Notes to Unaudited Consolidated Financial Statements</w:t>
              </w:r>
            </w:hyperlink>
          </w:p>
        </w:tc>
        <w:tc>
          <w:tcPr>
            <w:tcW w:w="48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7"/>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Management's Discussion and Analysis of Financial Condition and Results of Operations</w:t>
              </w:r>
            </w:hyperlink>
          </w:p>
        </w:tc>
        <w:tc>
          <w:tcPr>
            <w:tcW w:w="218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bottom w:val="single" w:sz="8" w:color="0000EE"/>
            </w:tcBorders>
            <w:gridSpan w:val="13"/>
          </w:tcPr>
          <w:p>
            <w:pPr>
              <w:spacing w:after="0"/>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Quantitative and Qualitative Disclosure about Market Risk</w:t>
              </w:r>
            </w:hyperlink>
          </w:p>
        </w:tc>
        <w:tc>
          <w:tcPr>
            <w:tcW w:w="44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Controls and Procedures</w:t>
              </w:r>
            </w:hyperlink>
          </w:p>
        </w:tc>
        <w:tc>
          <w:tcPr>
            <w:tcW w:w="710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8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gridSpan w:val="22"/>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020" w:type="dxa"/>
            <w:vAlign w:val="bottom"/>
            <w:gridSpan w:val="21"/>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48">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762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4"/>
          </w:tcPr>
          <w:p>
            <w:pPr>
              <w:spacing w:after="0"/>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Unregistered Sales of Equity Securities and Use of Proceeds</w:t>
              </w:r>
            </w:hyperlink>
          </w:p>
        </w:tc>
        <w:tc>
          <w:tcPr>
            <w:tcW w:w="44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20" w:type="dxa"/>
            <w:vAlign w:val="bottom"/>
            <w:gridSpan w:val="21"/>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658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020" w:type="dxa"/>
            <w:vAlign w:val="bottom"/>
            <w:gridSpan w:val="21"/>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Exhibits</w:t>
              </w:r>
            </w:hyperlink>
          </w:p>
        </w:tc>
        <w:tc>
          <w:tcPr>
            <w:tcW w:w="758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Borders>
              <w:bottom w:val="single" w:sz="8" w:color="0000EE"/>
            </w:tcBorders>
            <w:gridSpan w:val="4"/>
          </w:tcPr>
          <w:p>
            <w:pPr>
              <w:spacing w:after="0"/>
              <w:rPr>
                <w:rFonts w:ascii="Arial" w:cs="Arial" w:eastAsia="Arial" w:hAnsi="Arial"/>
                <w:sz w:val="18"/>
                <w:szCs w:val="18"/>
                <w:b w:val="1"/>
                <w:bCs w:val="1"/>
                <w:color w:val="0000EE"/>
                <w:w w:val="85"/>
              </w:rPr>
            </w:pPr>
            <w:hyperlink w:anchor="page49">
              <w:r>
                <w:rPr>
                  <w:rFonts w:ascii="Arial" w:cs="Arial" w:eastAsia="Arial" w:hAnsi="Arial"/>
                  <w:sz w:val="18"/>
                  <w:szCs w:val="18"/>
                  <w:b w:val="1"/>
                  <w:bCs w:val="1"/>
                  <w:color w:val="0000EE"/>
                  <w:w w:val="85"/>
                </w:rPr>
                <w:t>Signatures</w:t>
              </w:r>
            </w:hyperlink>
          </w:p>
        </w:tc>
        <w:tc>
          <w:tcPr>
            <w:tcW w:w="820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0" w:type="dxa"/>
            <w:vAlign w:val="bottom"/>
            <w:gridSpan w:val="12"/>
          </w:tcPr>
          <w:p>
            <w:pPr>
              <w:ind w:left="39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Item 1. Financial Statements (Unaudited)</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NORTHEAST BANCORP AND SUBSIDIARY</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(In thousands, except share and per share data)</w:t>
            </w: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 2017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125,708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cash and cash equivalents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Available-for-sale securities, at fair value</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Residential real estate loans held for sale</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SBA loans held for sale</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loans held for sale</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Loans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Less: Allowance for loan losses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Real estate owned and other repossessed collateral,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 stock, at cost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 net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Bank-owned life insurance</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16,402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1,034,446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700"/>
              <w:spacing w:after="0"/>
              <w:rPr>
                <w:sz w:val="20"/>
                <w:szCs w:val="20"/>
                <w:color w:val="auto"/>
              </w:rPr>
            </w:pPr>
            <w:r>
              <w:rPr>
                <w:rFonts w:ascii="Arial" w:cs="Arial" w:eastAsia="Arial" w:hAnsi="Arial"/>
                <w:sz w:val="18"/>
                <w:szCs w:val="18"/>
                <w:color w:val="auto"/>
              </w:rPr>
              <w:t>Liabilities and Shareholders'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Demand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71,054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Savings and interest checking</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352,237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Time</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deposits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848,654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904,443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954,077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$1.00 par value, 1,000,000 shares authorized; no shares issued and outstanding at December</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 2017 and June 30, 2017</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1"/>
              </w:rPr>
              <w:t>Voting common stock, $1.00 par value, 25,000,000 shares authorized; 8,017,334 and 7,840,460 shares issued</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and outstanding at December 31, 2017 and June 30, 2017, respectively</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Non-voting common stock, $1.00 par value, 3,000,000 shares authorized; 921,939 and 991,194 shares issued</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outstanding at December 31, 2017 and June 30, 2017, respectively</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1,034,446</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32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327" w:gutter="0" w:footer="0" w:header="0"/>
          <w:type w:val="continuous"/>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 December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60"/>
              <w:spacing w:after="0"/>
              <w:rPr>
                <w:sz w:val="20"/>
                <w:szCs w:val="20"/>
                <w:color w:val="auto"/>
              </w:rPr>
            </w:pPr>
            <w:r>
              <w:rPr>
                <w:rFonts w:ascii="Arial" w:cs="Arial" w:eastAsia="Arial" w:hAnsi="Arial"/>
                <w:sz w:val="18"/>
                <w:szCs w:val="18"/>
                <w:color w:val="auto"/>
                <w:w w:val="91"/>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14,501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13,913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available-for-sale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interest and dividend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and dividend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Subordinated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 under capital lease agreements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before 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dividend income after provision for loan losses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Fees for other services to customers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residential loans held for sale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Gain on sales of SBA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sales of other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60"/>
              <w:spacing w:after="0" w:line="201" w:lineRule="exact"/>
              <w:rPr>
                <w:sz w:val="20"/>
                <w:szCs w:val="20"/>
                <w:color w:val="auto"/>
              </w:rPr>
            </w:pPr>
            <w:r>
              <w:rPr>
                <w:rFonts w:ascii="Arial" w:cs="Arial" w:eastAsia="Arial" w:hAnsi="Arial"/>
                <w:sz w:val="18"/>
                <w:szCs w:val="18"/>
                <w:color w:val="auto"/>
                <w:w w:val="89"/>
              </w:rPr>
              <w:t>Gain (loss) on real estate owned, other repossessed collateral and premises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equipment, 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Bank-owned life insurance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5,173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and equipment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processing fees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Marketing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acquisition and collection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FDIC insurance premiums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 noninterest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3,304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8,924,495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8,831,235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8,883,003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9,168,084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8,864,618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9,129,010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color w:val="auto"/>
                <w:w w:val="89"/>
              </w:rPr>
              <w:t>Three Months Ended December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7"/>
          </w:tcPr>
          <w:p>
            <w:pPr>
              <w:jc w:val="right"/>
              <w:ind w:right="160"/>
              <w:spacing w:after="0"/>
              <w:rPr>
                <w:sz w:val="20"/>
                <w:szCs w:val="20"/>
                <w:color w:val="auto"/>
              </w:rPr>
            </w:pPr>
            <w:r>
              <w:rPr>
                <w:rFonts w:ascii="Arial" w:cs="Arial" w:eastAsia="Arial" w:hAnsi="Arial"/>
                <w:sz w:val="18"/>
                <w:szCs w:val="18"/>
                <w:color w:val="auto"/>
                <w:w w:val="91"/>
              </w:rPr>
              <w:t>Six Months Ended December 31,</w:t>
            </w:r>
          </w:p>
        </w:tc>
      </w:tr>
      <w:tr>
        <w:trPr>
          <w:trHeight w:val="210"/>
        </w:trPr>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Change in net unrealized loss on available-for-sale securities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(1,414)</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and hedging activities: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40"/>
              <w:spacing w:after="0"/>
              <w:rPr>
                <w:sz w:val="20"/>
                <w:szCs w:val="20"/>
                <w:color w:val="auto"/>
              </w:rPr>
            </w:pPr>
            <w:r>
              <w:rPr>
                <w:rFonts w:ascii="Arial" w:cs="Arial" w:eastAsia="Arial" w:hAnsi="Arial"/>
                <w:sz w:val="18"/>
                <w:szCs w:val="18"/>
                <w:color w:val="auto"/>
              </w:rPr>
              <w:t>Change in accumulated gain on effective cash flow hedges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included in interest expense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 derivatives and hedging activities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income, before tax</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Income tax expense (benefit) related to other comprehensive (loss) income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0"/>
        </w:trPr>
        <w:tc>
          <w:tcPr>
            <w:tcW w:w="6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3,236</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4,992</w:t>
            </w: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color w:val="auto"/>
                <w:w w:val="87"/>
              </w:rPr>
              <w:t>Preferred Stock</w:t>
            </w:r>
          </w:p>
        </w:tc>
        <w:tc>
          <w:tcPr>
            <w:tcW w:w="200" w:type="dxa"/>
            <w:vAlign w:val="bottom"/>
          </w:tcPr>
          <w:p>
            <w:pPr>
              <w:spacing w:after="0"/>
              <w:rPr>
                <w:sz w:val="18"/>
                <w:szCs w:val="18"/>
                <w:color w:val="auto"/>
              </w:rPr>
            </w:pPr>
          </w:p>
        </w:tc>
        <w:tc>
          <w:tcPr>
            <w:tcW w:w="194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w w:val="97"/>
              </w:rPr>
              <w:t>Voting Common Stock</w:t>
            </w:r>
          </w:p>
        </w:tc>
        <w:tc>
          <w:tcPr>
            <w:tcW w:w="21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w w:val="94"/>
              </w:rPr>
              <w:t>Non-voting Common Stock</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Additional</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93"/>
              </w:rPr>
              <w:t>Other</w:t>
            </w:r>
          </w:p>
        </w:tc>
        <w:tc>
          <w:tcPr>
            <w:tcW w:w="2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21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6"/>
              </w:rPr>
              <w:t>Paid-in</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Retained</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8"/>
              </w:rPr>
              <w:t>Comprehensive</w:t>
            </w:r>
          </w:p>
        </w:tc>
        <w:tc>
          <w:tcPr>
            <w:tcW w:w="1120" w:type="dxa"/>
            <w:vAlign w:val="bottom"/>
            <w:gridSpan w:val="3"/>
          </w:tcPr>
          <w:p>
            <w:pPr>
              <w:ind w:left="60"/>
              <w:spacing w:after="0"/>
              <w:rPr>
                <w:sz w:val="20"/>
                <w:szCs w:val="20"/>
                <w:color w:val="auto"/>
              </w:rPr>
            </w:pPr>
            <w:r>
              <w:rPr>
                <w:rFonts w:ascii="Arial" w:cs="Arial" w:eastAsia="Arial" w:hAnsi="Arial"/>
                <w:sz w:val="18"/>
                <w:szCs w:val="18"/>
                <w:color w:val="auto"/>
                <w:w w:val="94"/>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4"/>
              </w:rPr>
              <w:t>Shares</w:t>
            </w:r>
          </w:p>
        </w:tc>
        <w:tc>
          <w:tcPr>
            <w:tcW w:w="8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Amount</w:t>
            </w: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9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Amount</w:t>
            </w:r>
          </w:p>
        </w:tc>
        <w:tc>
          <w:tcPr>
            <w:tcW w:w="10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6"/>
              </w:rPr>
              <w:t>Capital</w:t>
            </w:r>
          </w:p>
        </w:tc>
        <w:tc>
          <w:tcPr>
            <w:tcW w:w="940" w:type="dxa"/>
            <w:vAlign w:val="bottom"/>
            <w:gridSpan w:val="2"/>
          </w:tcPr>
          <w:p>
            <w:pPr>
              <w:jc w:val="right"/>
              <w:ind w:right="9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18"/>
                <w:szCs w:val="18"/>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Balance at June 30,</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8,089,790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8,089</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1,227,683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26,160</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4,851</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comprehensive</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net of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repurchased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(645,238)</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(6,298)</w:t>
            </w: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Conversion of</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voting common</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to non-</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voting common</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116,000</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Dividends on</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at $0.02 per</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share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Issuance of</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restricted</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160,000</w:t>
            </w: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forfeiture of</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Pr>
          <w:p>
            <w:pPr>
              <w:spacing w:after="0" w:line="195" w:lineRule="exact"/>
              <w:rPr>
                <w:sz w:val="20"/>
                <w:szCs w:val="20"/>
                <w:color w:val="auto"/>
              </w:rPr>
            </w:pPr>
            <w:r>
              <w:rPr>
                <w:rFonts w:ascii="Arial" w:cs="Arial" w:eastAsia="Arial" w:hAnsi="Arial"/>
                <w:sz w:val="18"/>
                <w:szCs w:val="18"/>
                <w:color w:val="auto"/>
              </w:rPr>
              <w:t>Balance at</w:t>
            </w: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December 31,</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7,487,552</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7,487</w:t>
            </w: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color w:val="auto"/>
              </w:rPr>
              <w:t>1,343,683</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1,344</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77,046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30,830</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(1,765)</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114,942</w:t>
            </w:r>
          </w:p>
        </w:tc>
        <w:tc>
          <w:tcPr>
            <w:tcW w:w="0" w:type="dxa"/>
            <w:vAlign w:val="bottom"/>
          </w:tcPr>
          <w:p>
            <w:pPr>
              <w:spacing w:after="0"/>
              <w:rPr>
                <w:sz w:val="1"/>
                <w:szCs w:val="1"/>
                <w:color w:val="auto"/>
              </w:rPr>
            </w:pPr>
          </w:p>
        </w:tc>
      </w:tr>
      <w:tr>
        <w:trPr>
          <w:trHeight w:val="190"/>
        </w:trPr>
        <w:tc>
          <w:tcPr>
            <w:tcW w:w="158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2016</w:t>
            </w:r>
          </w:p>
        </w:tc>
        <w:tc>
          <w:tcPr>
            <w:tcW w:w="6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Balance at June 30,</w:t>
            </w: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7,840,460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7,841</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991,194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77,455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38,142</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7,890</w:t>
            </w:r>
          </w:p>
        </w:tc>
        <w:tc>
          <w:tcPr>
            <w:tcW w:w="2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comprehensive</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net of tax</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Conversion of</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non-voting</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to voting</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69,255</w:t>
            </w: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69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(69,255)</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Dividends on</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$0.02 per</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Stock-based</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ind w:left="160"/>
              <w:spacing w:after="0" w:line="201" w:lineRule="exact"/>
              <w:rPr>
                <w:sz w:val="20"/>
                <w:szCs w:val="20"/>
                <w:color w:val="auto"/>
              </w:rPr>
            </w:pPr>
            <w:r>
              <w:rPr>
                <w:rFonts w:ascii="Arial" w:cs="Arial" w:eastAsia="Arial" w:hAnsi="Arial"/>
                <w:sz w:val="18"/>
                <w:szCs w:val="18"/>
                <w:color w:val="auto"/>
              </w:rPr>
              <w:t>Cancellation and</w:t>
            </w: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forfeiture of</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restricted</w:t>
            </w: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(15,756)</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Stock options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111,375</w:t>
            </w: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10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 net</w:t>
            </w:r>
          </w:p>
        </w:tc>
        <w:tc>
          <w:tcPr>
            <w:tcW w:w="6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Balance at</w:t>
            </w:r>
          </w:p>
        </w:tc>
        <w:tc>
          <w:tcPr>
            <w:tcW w:w="6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160"/>
              <w:spacing w:after="0"/>
              <w:rPr>
                <w:sz w:val="20"/>
                <w:szCs w:val="20"/>
                <w:color w:val="auto"/>
              </w:rPr>
            </w:pPr>
            <w:r>
              <w:rPr>
                <w:rFonts w:ascii="Arial" w:cs="Arial" w:eastAsia="Arial" w:hAnsi="Arial"/>
                <w:sz w:val="18"/>
                <w:szCs w:val="18"/>
                <w:color w:val="auto"/>
              </w:rPr>
              <w:t>December 31,</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8,017,334</w:t>
            </w: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8,017</w:t>
            </w:r>
          </w:p>
        </w:tc>
        <w:tc>
          <w:tcPr>
            <w:tcW w:w="1080" w:type="dxa"/>
            <w:vAlign w:val="bottom"/>
            <w:vMerge w:val="restart"/>
          </w:tcPr>
          <w:p>
            <w:pPr>
              <w:jc w:val="right"/>
              <w:ind w:right="70"/>
              <w:spacing w:after="0"/>
              <w:rPr>
                <w:sz w:val="20"/>
                <w:szCs w:val="20"/>
                <w:color w:val="auto"/>
              </w:rPr>
            </w:pPr>
            <w:r>
              <w:rPr>
                <w:rFonts w:ascii="Arial" w:cs="Arial" w:eastAsia="Arial" w:hAnsi="Arial"/>
                <w:sz w:val="18"/>
                <w:szCs w:val="18"/>
                <w:color w:val="auto"/>
              </w:rPr>
              <w:t>921,939</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922</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76,805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45,855</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(1,596)</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130,003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80" w:type="dxa"/>
            <w:vAlign w:val="bottom"/>
            <w:gridSpan w:val="2"/>
          </w:tcPr>
          <w:p>
            <w:pPr>
              <w:ind w:left="180"/>
              <w:spacing w:after="0" w:line="190" w:lineRule="exact"/>
              <w:rPr>
                <w:sz w:val="20"/>
                <w:szCs w:val="20"/>
                <w:color w:val="auto"/>
              </w:rPr>
            </w:pPr>
            <w:r>
              <w:rPr>
                <w:rFonts w:ascii="Arial" w:cs="Arial" w:eastAsia="Arial" w:hAnsi="Arial"/>
                <w:sz w:val="18"/>
                <w:szCs w:val="18"/>
                <w:color w:val="auto"/>
              </w:rPr>
              <w:t>2017</w:t>
            </w:r>
          </w:p>
        </w:tc>
        <w:tc>
          <w:tcPr>
            <w:tcW w:w="6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1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11"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6"/>
          </w:tcPr>
          <w:p>
            <w:pPr>
              <w:jc w:val="right"/>
              <w:ind w:right="500"/>
              <w:spacing w:after="0"/>
              <w:rPr>
                <w:sz w:val="20"/>
                <w:szCs w:val="20"/>
                <w:color w:val="auto"/>
              </w:rPr>
            </w:pPr>
            <w:r>
              <w:rPr>
                <w:rFonts w:ascii="Arial" w:cs="Arial" w:eastAsia="Arial" w:hAnsi="Arial"/>
                <w:sz w:val="18"/>
                <w:szCs w:val="18"/>
                <w:color w:val="auto"/>
                <w:w w:val="96"/>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7,890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(Gain) loss recognized on real estate owned, other repossessed collateral and premises and equipment,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Accretion of fair value adjustments on loans,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(4,830)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of fair value adjustments on deposits,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Amortization (accretion) of fair value adjustments on borrowings,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subordinated debt issuance costs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Originations of loans held for sale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(49,309)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sales of loans held for sale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Gain on sales of residential loans held for sale,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SBA and other loans held for sale,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Net increase in loan servicing rights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Bank-owned life insurance income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of premises and equipment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Amortization of available-for-sale securities,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changes in other assets and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Purchases of available-for-sale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principal payments on available-for-sale securities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Loan purchases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(38,453)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principal collections, and purchased loan paydowns,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Federal Home Loan Bank stock</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sales of real estate owned and other repossessed collateral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Repurchases for tax withholdings on restricted common stock</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for tax withholdings on stock options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(47,533)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163,283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128,223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Transfers from loans to real estate owned and other repossessed collateral</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1,302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NORTHEAST BANCORP AND SUBSIDIARY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7"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accompanying unaudited interim consolidated financial statements include the accounts of Northeast Bancorp (“Northeast” or the “Company”) and its wholly-owned subsidiary, Northeast Bank (the “Bank”).</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unaudited consolidated financial statements have been prepared in accordance with accounting principles generally accepted in the United States of America (“US GAAP”) for interim financial information and with the instructions to Form 10-Q and Article 10 of Regulation S-X. Accordingly, they do not include all of the information and notes required by GAAP for complete financial statements. In the opinion of management, the accompanying consolidated financial statements contain all adjustments (consisting principally of normal recurring accruals) considered necessary for a fair presentation of the Company's financial position, results of operations, and cash flows for the interim periods presented. These accompanying unaudited financial statements and notes should be read in conjunction with the audited consolidated financial statements and notes thereto for the fiscal year ended June 30, 2017 (“Fiscal 2017”) included in the Company's Annual Report on Form 10-K filed with the Securities and Exchange Commission.</w:t>
      </w:r>
    </w:p>
    <w:p>
      <w:pPr>
        <w:spacing w:after="0" w:line="163"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(Topic 606) </w:t>
      </w:r>
      <w:r>
        <w:rPr>
          <w:rFonts w:ascii="Arial" w:cs="Arial" w:eastAsia="Arial" w:hAnsi="Arial"/>
          <w:sz w:val="16"/>
          <w:szCs w:val="16"/>
          <w:color w:val="auto"/>
        </w:rPr>
        <w:t>(“ASU 2014-09”). ASU 2014-09 implements a common revenue standard that clarifies the principles for recognizing revenue.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core principle of ASU 2014-09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ASU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2015-14”) was issued in August 2015 which defers adoption to annual reporting periods beginning after December 15, 2017. The timing of the Company’s revenue recognition is not expected to materially change. The Company is currently performing an assessment of revenue streams and reviewing contracts potentially affected by the ASU to determine the impact of the new guidance. The Company’s largest portions of revenue, interest and fees on loans and gain on sales of loans, are specifically excluded from the scope of the guidance, and the Company currently recognizes the majority of the remaining revenue sources in a manner that management believes is consistent with the new guidance. Because of this, management believes that revenue recognized under the new guidance will generally approximate revenue recognized under current GAAP. These observations are subject to change as the evaluation is completed.</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This guidance changes how entities account for equity investments that do not result in consolidation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This guidance is effective for fiscal years beginning after December 15, 2017, including interim periods within the fiscal year. Early adoption is permitted for only one of the six amendments. The Company is currently evaluating the impact of the adoption of ASU 2016-01 on its consolidated financial statements.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new guidance establishes the principles to report transparent and economically neutral information about the assets and liabilities that arise from leases. Entities will be required to recognize the lease assets and lease liabilities that arise from leases in the statement of financial position and to disclose qualitative and quantitative information about lease transactions, such as information about variable lease payments and options to renew and terminate leases. This guidance is effective for fiscal years beginning after December 15, 2018, including interim periods within the fiscal year. The Company is currently evaluating the impact of the adoption of ASU 2016-02 to determine the potential impact it will have on its consolidated financial statements. The Company’s assets and liabilities will increase based on the present value of the remaining lease payments for leases in place at the adoption date; however, this is not expected to be material to the Company’s results of operations.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The new guidance simplified several aspects of the accounting for share-based payment transactions, including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classification of awards as either equity or liabilities, and classification on the statement of cash flows. Entities are required to recognize the income tax effects of awards in the income statement when the awards vest or are settled. This guidance became effective for the Company for the fiscal year beginning July 1, 2017. For interim reporting purposes the excess tax benefits or deficiencies shall be recorded as discrete items in the period in which they occur. In addition to the excess tax benefit treatment, the amendment removed the assumed proceeds related to the excess tax benefit from the calculation of diluted shares.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adoption, the most significant impact of this amendment resulted from the prospective application of current excess tax benefits and deficiencies being recognized in income tax expense, which would previously have been recognized in additional paid-in capital. In the six months ended December 31, 2017, this item reduced income tax expense and increased net income by approximately $1.1 million, representing an income tax benefit arising from individuals who exercised non-qualified stock options and restricted stock awards that vested during the period. For the year ended June 30, 2017, the Company recognized $27 thousand in additional paid-in-capital related to the excess tax benefit, which, if under the new ASU, would have been recognized as an income tax benefit in the income statement. These amounts, treated as discrete items in the period in which they occur, will vary from year to year as a function of the volume of share-based payments vested or exercised and the then fair market value of the Company's stock in comparison to the compensation cost recognized in the financial statements. In addition to the excess tax benefit treatment, the amendment removed the assumed proceeds related to the excess tax benefit from the calculation of diluted shares which increased diluted weighted average common shares outstanding by 40,966 shares to 9,089,936. This amendment is applied on a prospective basis, and no prior periods were adjusted. Additionally upon adoption, the Company made a policy election to record forfeitures as they occur rather than make use of an estimate. The other provisions did not have a material impact on the Company's consolidated financial statements upon adoption.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This guidance is intended to provide financial statement users with more decision-useful information about the expected credit losses on financial instruments and other commitments to extend credit held by a reporting entity at each reporting date. To achieve this objective, the amendments in this guidance replace the incurred loss impairment methodology in current US GAAP with a methodology that reflects expected credit losses and requires consideration of a broader range of reasonable and supportable information to inform credit loss estimates. This ASU will be effective for fiscal years beginning after December 15, 2019. Early adoption is available as of the fiscal year beginning after December 15, 2018. The Company is evaluating the provisions of the guidance, and will closely monitor developments and additional guidance to determine the potential impact on the Company’s consolidated financial statements. Management is in the process of identifying the methodologies and the additional data requirements necessary to implement the guidance and plans to engage an existing third-party service provider to assist in implementation.</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amends the scope of modification accounting for share-based payment arrangements. This update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This update is effective for public business entities for annual periods being after December 15, 2017, including interim periods within those annual periods. Early adoption is permitted including adopting in any interim period. This update should be applied prospectively to awards modified on or after the effective date. The adoption of this guidance is not expected to have a significant impact on the Company’s consolidated financial statements.</w:t>
      </w:r>
    </w:p>
    <w:p>
      <w:pPr>
        <w:spacing w:after="0" w:line="16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(“ASU 2017-12”). This guidance permits hedge accounting for risk components in hedging relationships involving nonfinancial risk and interest rate risk, and improves the financial reporting of hedging relationships to better portray the economic results of an entity’s risk management activities in its financial statements. The amendments in this guidance are effective for public business entities for fiscal years beginning after December 15, 2018, and interim periods within those fiscal years. Early adoption is permitted, including adoption in an interim period. The adoption of this guidance is not expected to have a significant impact on the Company’s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a summary of the amortized cost, gross unrealized holding gains and losses, and fair value of available-for-sale securities.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89"/>
              </w:rPr>
              <w:t>December 31, 2017</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57,365</w:t>
            </w:r>
          </w:p>
        </w:tc>
        <w:tc>
          <w:tcPr>
            <w:tcW w:w="13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29,306</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28,580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6,667</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93,462</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92,339</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89"/>
              </w:rPr>
              <w:t>June 30, 2017</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8"/>
                <w:szCs w:val="18"/>
                <w:color w:val="auto"/>
              </w:rPr>
            </w:pPr>
          </w:p>
        </w:tc>
        <w:tc>
          <w:tcPr>
            <w:tcW w:w="1100" w:type="dxa"/>
            <w:vAlign w:val="bottom"/>
          </w:tcPr>
          <w:p>
            <w:pPr>
              <w:jc w:val="center"/>
              <w:ind w:left="5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Fair</w:t>
            </w:r>
          </w:p>
        </w:tc>
      </w:tr>
      <w:tr>
        <w:trPr>
          <w:trHeight w:val="230"/>
        </w:trPr>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Gains</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13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33,523</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measured at net asset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97,641</w:t>
            </w:r>
          </w:p>
        </w:tc>
        <w:tc>
          <w:tcPr>
            <w:tcW w:w="13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96,693</w:t>
            </w:r>
          </w:p>
        </w:tc>
      </w:tr>
      <w:tr>
        <w:trPr>
          <w:trHeight w:val="20"/>
        </w:trPr>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When securities are sold, the adjusted cost of the specific security sold is used to compute the gain or loss on sale. There were no securities sold during the three and six months ended December 31, 2017 or 2016. At December 30, 2017, no investment securities were pledged as collateral to secure outstanding borrowings.</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summarizes the Company’s gross unrealized losses and fair values aggregated by investment category and length of time that individual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8"/>
              </w:rPr>
              <w:t>December 31, 2017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22,738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68,076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90,814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8"/>
                <w:szCs w:val="18"/>
                <w:color w:val="auto"/>
                <w:w w:val="87"/>
              </w:rPr>
              <w:t>June 30,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color w:val="auto"/>
              </w:rPr>
              <w:t>More than 12 Months</w:t>
            </w:r>
          </w:p>
        </w:tc>
        <w:tc>
          <w:tcPr>
            <w:tcW w:w="2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50"/>
              <w:spacing w:after="0" w:line="195" w:lineRule="exact"/>
              <w:rPr>
                <w:sz w:val="20"/>
                <w:szCs w:val="20"/>
                <w:color w:val="auto"/>
              </w:rPr>
            </w:pPr>
            <w:r>
              <w:rPr>
                <w:rFonts w:ascii="Arial" w:cs="Arial" w:eastAsia="Arial" w:hAnsi="Arial"/>
                <w:sz w:val="18"/>
                <w:szCs w:val="18"/>
                <w:color w:val="auto"/>
                <w:w w:val="96"/>
              </w:rPr>
              <w:t>Fair</w:t>
            </w: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right="540"/>
              <w:spacing w:after="0"/>
              <w:rPr>
                <w:sz w:val="20"/>
                <w:szCs w:val="20"/>
                <w:color w:val="auto"/>
              </w:rPr>
            </w:pPr>
            <w:r>
              <w:rPr>
                <w:rFonts w:ascii="Arial" w:cs="Arial" w:eastAsia="Arial" w:hAnsi="Arial"/>
                <w:sz w:val="18"/>
                <w:szCs w:val="18"/>
                <w:color w:val="auto"/>
                <w:w w:val="91"/>
              </w:rPr>
              <w:t>(Dollars 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investments measured at net asset</w:t>
            </w:r>
          </w:p>
        </w:tc>
        <w:tc>
          <w:tcPr>
            <w:tcW w:w="2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13,332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95,186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impairment losses on securities during the three and six months ended December 31, 2017 or 2016.</w:t>
      </w:r>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At December 31, 2017, the Company had 31 securities in a continuous loss position for greater than twelve months. At December 31, 2017, all of the Company’s available-for-sale securities were issued or guaranteed by either government agencies or government-sponsored enterprises. The decline in fair value of the Company’s available-for-sale securities at December 31, 2017 is attributable to changes in interest rates.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considering current trends and economic conditions that may affect the quality of individual securities within the Company’s investment portfolio, management of the Company also considers the Company’s ability and intent to hold such securities to maturity or recovery of cost. At December 31, 2017, the Company does not intend to sell and it is not more likely than not that the Company will be required to sell the investment securities before recovery of its amortized cost. As such, management does not believe any of the Company’s available-for-sale securities are other-than-temporarily impaired at December 31, 2017.</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investments measured at net asset value include a fund that seeks to invest in securities either issued or guaranteed by the U.S. government or its agencies, as well as a fund that primarily invests in the federally guaranteed portion of SBA 7(a) loans that adjust quarterly or monthly and are indexed to the Prime Rate. The underlying composition of these funds is primarily government agencies, other investment-grade investments, or the guaranteed portion of SBA 7(a) loans, as applicable. As of December 31, 2017, the effective duration of the fund that seeks to invest in securities either issued or guaranteed by the U.S. government or its agencies is 4.66 years.</w:t>
      </w:r>
    </w:p>
    <w:p>
      <w:pPr>
        <w:sectPr>
          <w:pgSz w:w="11900" w:h="16838" w:orient="portrait"/>
          <w:cols w:equalWidth="0" w:num="1">
            <w:col w:w="11420"/>
          </w:cols>
          <w:pgMar w:left="240" w:top="118"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amortized cost and fair values of available-for-sale debt securities by contractual maturity are shown below as of December 31, 2017. Actual maturities may differ from contractual maturities because borrowers may have the right to prepay obligations with or without prepayment penalties.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Amortized 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gridSpan w:val="6"/>
          </w:tcPr>
          <w:p>
            <w:pPr>
              <w:ind w:left="70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38,981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18,197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18,111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Due after ten years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U.S. Government agency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57,092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Agency mortgage-backed securities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29,306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28,580</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86,671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85,672</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Allowance for Loan Losses and Credit Quality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Loans are carried at the principal amounts outstanding, or amortized acquired fair value in the case of acquired loans, adjusted by partial charge-offs and net of deferred loan costs or fees. Loan fees and certain direct origination costs are deferred and amortized into interest income over the expected term of the loan using the level-yield method. When a loan is paid off, the unamortized portion is recognized in interest income. Interest income is accrued based upon the daily principal amount outstanding, except for loans on nonaccrual status.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Loans purchased by the Company are accounted for under ASC 310-30, </w:t>
      </w:r>
      <w:r>
        <w:rPr>
          <w:rFonts w:ascii="Arial" w:cs="Arial" w:eastAsia="Arial" w:hAnsi="Arial"/>
          <w:sz w:val="16"/>
          <w:szCs w:val="16"/>
          <w:i w:val="1"/>
          <w:iCs w:val="1"/>
          <w:color w:val="auto"/>
        </w:rPr>
        <w:t>Receivables—Loans and Debt Securities Acquired with Deteriorated Credit Quality</w:t>
      </w:r>
      <w:r>
        <w:rPr>
          <w:rFonts w:ascii="Arial" w:cs="Arial" w:eastAsia="Arial" w:hAnsi="Arial"/>
          <w:sz w:val="16"/>
          <w:szCs w:val="16"/>
          <w:color w:val="auto"/>
        </w:rPr>
        <w:t xml:space="preserve"> ("ASC 310-30"). At acquisition, the effective interest rate is determined based on the discount rate that equates the present value of the Company's estimate of cash flows with the purchase price of the loan. Prepayments are not assumed in determining a purchased loan's effective interest rate and income accretion. The application of ASC 310-30 limits the yield that may be accreted on the purchased loan, or the "accretable yield," to the excess of the Company's estimate, at acquisition, of the expected undiscounted principal, interest, and other cash flows over the Company's initial investment in the loan. The excess of contractually required payments receivable over the cash flows expected to be collected on the loan represents the purchased loan's "nonaccretable difference." Subsequent improvements in expected cash flows of loans with nonaccretable differences result in a prospective increase to the loan's effective yield through a reclassification of some, or all, of the nonaccretable difference to accretable yield. The effect of subsequent credit-related declines in expected cash flows of purchased loans are recorded through a specific allocation in the allowance for loan losses.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Loans are generally placed on nonaccrual status when they are past due 90 days as to either principal or interest, or when in management's judgment the collectability of interest or principal of the loan has been significantly impaired. Loans accounted for under ASC 310-30 are placed on nonaccrual when it is not possible to reach a reasonable expectation of the timing and amount of cash flows to be collected on the loan. When a loan has been placed on nonaccrual status, previously accrued and uncollected interest is reversed against interest on loans. Interest on nonaccrual loans is accounted for on a cash-basis or using the cost-recovery method when collectability is doubtful. A loan is returned to accrual status when collectability of principal and interest is reasonably assured and the loan has performed for a reasonable period of time.</w:t>
      </w:r>
    </w:p>
    <w:p>
      <w:pPr>
        <w:spacing w:after="0" w:line="193"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cases where a borrower experiences financial difficulties and the Company makes certain concessionary modifications to contractual terms, the loan is classified as a troubled debt restructuring ("TDR"), and therefore by definition is an impaired loan. Concessionary modifications may include adjustments to interest rates, extensions of maturity, and other actions intended to minimize economic loss and avoid foreclosure or repossession of collateral. For loans accounted for under ASC 310-30, the Company evaluates whether it has granted a concession by comparing the restructured debt terms to the expected cash flows at acquisition plus any additional cash flows expected to be collected arising from changes in estimate after acquisition. As a result, if an ASC 310-30 loan is modified to be consistent with, or better than, the Company's expectations at acquisition, the modified loan would not qualify as a TDR.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8"/>
          </w:tcPr>
          <w:p>
            <w:pPr>
              <w:spacing w:after="0"/>
              <w:rPr>
                <w:sz w:val="20"/>
                <w:szCs w:val="20"/>
                <w:color w:val="auto"/>
              </w:rPr>
            </w:pPr>
            <w:r>
              <w:rPr>
                <w:rFonts w:ascii="Arial" w:cs="Arial" w:eastAsia="Arial" w:hAnsi="Arial"/>
                <w:sz w:val="18"/>
                <w:szCs w:val="18"/>
                <w:color w:val="auto"/>
                <w:w w:val="94"/>
              </w:rPr>
              <w:t>The composition of the Company’s loan portfolio is as follows on the dates indicated.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6"/>
              </w:rPr>
              <w:t>December 31,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Originated</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Purchased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Originated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16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80,462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Home equity</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13,931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14,032</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238,275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493,954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256,280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498,004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177,756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174,468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175,654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530,013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244,177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774,190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532,807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loans include net deferred loan origination costs of $212 thousand and $507 thousand as of December 31, 2017 and June 30, 2017,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past due and nonaccrual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color w:val="auto"/>
                <w:w w:val="96"/>
              </w:rPr>
              <w:t>December 31, 2017</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618</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2,108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76,264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80,462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12,057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2,281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253,398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176,716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522,094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4,598</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216,674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22,038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222,139</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244,177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744,233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774,190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color w:val="auto"/>
              </w:rPr>
              <w:t>June 30, 2017</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86"/>
              </w:rPr>
              <w:t>Past Due</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Past Due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Past Due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90 Days or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90 Days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1"/>
              </w:rPr>
              <w:t>60-89</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More-Still</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Total Past</w:t>
            </w: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Days</w:t>
            </w: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Accruing</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Nonaccrual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Current</w:t>
            </w: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860" w:type="dxa"/>
            <w:vAlign w:val="bottom"/>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81,646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83,759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13,824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253,890</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172,035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525,613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Residential real estate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home equity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8"/>
                <w:szCs w:val="18"/>
                <w:color w:val="auto"/>
                <w:w w:val="98"/>
              </w:rPr>
              <w:t>Commercial and industrial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236,632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6,190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240,198</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9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6,983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 and Impaired Loans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is established as losses are estimated to have occurred through a provision for loan losses charged to earnings. For residential and consumer loans, a charge-off is recorded no later than the point at which a loan is 180 days past due if the loan balance exceeds the fair value of the collateral, less estimated costs to sell. For commercial loans, a charge-off is recorded on a case-by-case basis when all or a portion of the loan is deemed to be uncollectible. Subsequent recoveries, if any, are credited to the allowance.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allowance for loan losses consists of general, specific, and unallocated reserves and reflects management’s estimate of probable loan losses inherent in the loan portfolio at the balance sheet date. Management uses a consistent and systematic process and methodology to evaluate the appropriateness of the allowance for loan losses on a quarterly basis. The calculation of the allowance for loan losses is segregated by portfolio segments, which include: residential real estate, commercial real estate, commercial and industrial, consumer, and purchased loans. Risk characteristics relevant to each portfolio segment are as follows:</w:t>
      </w:r>
    </w:p>
    <w:p>
      <w:pPr>
        <w:spacing w:after="0" w:line="188" w:lineRule="exact"/>
        <w:rPr>
          <w:sz w:val="20"/>
          <w:szCs w:val="20"/>
          <w:color w:val="auto"/>
        </w:rPr>
      </w:pPr>
    </w:p>
    <w:p>
      <w:pPr>
        <w:ind w:left="480" w:right="60"/>
        <w:spacing w:after="0" w:line="259" w:lineRule="auto"/>
        <w:rPr>
          <w:sz w:val="20"/>
          <w:szCs w:val="20"/>
          <w:color w:val="auto"/>
        </w:rPr>
      </w:pPr>
      <w:r>
        <w:rPr>
          <w:rFonts w:ascii="Arial" w:cs="Arial" w:eastAsia="Arial" w:hAnsi="Arial"/>
          <w:sz w:val="18"/>
          <w:szCs w:val="18"/>
          <w:color w:val="auto"/>
        </w:rPr>
        <w:t>Residential real estate: All loans in this segment are collateralized by residential real estate and repayment is primarily dependent on the credit quality, loan-to-value ratio and income of the individual borrower. The overall health of the economy, particularly unemployment rates and housing prices, has a significant effect on the credit quality in this segment. For purposes of the Company’s allowance for loan loss calculation, home equity loans and lines of credit are included in residential real estate.</w:t>
      </w:r>
    </w:p>
    <w:p>
      <w:pPr>
        <w:spacing w:after="0" w:line="187" w:lineRule="exact"/>
        <w:rPr>
          <w:sz w:val="20"/>
          <w:szCs w:val="20"/>
          <w:color w:val="auto"/>
        </w:rPr>
      </w:pPr>
    </w:p>
    <w:p>
      <w:pPr>
        <w:ind w:left="480" w:right="120"/>
        <w:spacing w:after="0" w:line="255" w:lineRule="auto"/>
        <w:rPr>
          <w:sz w:val="20"/>
          <w:szCs w:val="20"/>
          <w:color w:val="auto"/>
        </w:rPr>
      </w:pPr>
      <w:r>
        <w:rPr>
          <w:rFonts w:ascii="Arial" w:cs="Arial" w:eastAsia="Arial" w:hAnsi="Arial"/>
          <w:sz w:val="18"/>
          <w:szCs w:val="18"/>
          <w:color w:val="auto"/>
        </w:rPr>
        <w:t>Commercial real estate: Loans in this segment are primarily income-producing properties. For owner-occupied properties, the cash flows are derived from an operating business, and the underlying cash flows may be adversely affected by deterioration in the financial condition of the operating business. The underlying cash flows generated by non-owner occupied properties may be adversely affected by increased vacancy rates. Management periodically obtains rent rolls and operating statements, with which it monitors the cash flows of these loans. Adverse developments in either of these areas will have an adverse effect on the credit quality of this segment. For purposes of the allowance for loan losses, this segment also includes construction loans.</w:t>
      </w:r>
    </w:p>
    <w:p>
      <w:pPr>
        <w:spacing w:after="0" w:line="193" w:lineRule="exact"/>
        <w:rPr>
          <w:sz w:val="20"/>
          <w:szCs w:val="20"/>
          <w:color w:val="auto"/>
        </w:rPr>
      </w:pPr>
    </w:p>
    <w:p>
      <w:pPr>
        <w:ind w:left="480" w:right="460"/>
        <w:spacing w:after="0" w:line="302" w:lineRule="auto"/>
        <w:rPr>
          <w:sz w:val="20"/>
          <w:szCs w:val="20"/>
          <w:color w:val="auto"/>
        </w:rPr>
      </w:pPr>
      <w:r>
        <w:rPr>
          <w:rFonts w:ascii="Arial" w:cs="Arial" w:eastAsia="Arial" w:hAnsi="Arial"/>
          <w:sz w:val="16"/>
          <w:szCs w:val="16"/>
          <w:color w:val="auto"/>
        </w:rPr>
        <w:t>Commercial and industrial: Loans in this segment are made to businesses and are generally secured by the assets of the business. Repayment is expected from the cash flows of the business. This segment also includes loans to non-bank lenders, which are generally secured by a collateral assignment of the notes and mortgages on loans originated by the non-bank lenders. Weakness in national or regional economic conditions, and a corresponding weakness in consumer or business spending, will have an adverse effect on the credit quality of this segment.</w:t>
      </w:r>
    </w:p>
    <w:p>
      <w:pPr>
        <w:spacing w:after="0" w:line="154" w:lineRule="exact"/>
        <w:rPr>
          <w:sz w:val="20"/>
          <w:szCs w:val="20"/>
          <w:color w:val="auto"/>
        </w:rPr>
      </w:pPr>
    </w:p>
    <w:p>
      <w:pPr>
        <w:ind w:left="480" w:right="300"/>
        <w:spacing w:after="0" w:line="342" w:lineRule="auto"/>
        <w:rPr>
          <w:sz w:val="20"/>
          <w:szCs w:val="20"/>
          <w:color w:val="auto"/>
        </w:rPr>
      </w:pPr>
      <w:r>
        <w:rPr>
          <w:rFonts w:ascii="Arial" w:cs="Arial" w:eastAsia="Arial" w:hAnsi="Arial"/>
          <w:sz w:val="16"/>
          <w:szCs w:val="16"/>
          <w:color w:val="auto"/>
        </w:rPr>
        <w:t>Consumer: Loans in this segment are generally secured, and repayment is dependent on the credit quality of the individual borrower. Repayment of consumer loans is generally based on the earnings of individual borrowers, which may be adversely impacted by regional labor market conditions.</w:t>
      </w:r>
    </w:p>
    <w:p>
      <w:pPr>
        <w:spacing w:after="0" w:line="124" w:lineRule="exact"/>
        <w:rPr>
          <w:sz w:val="20"/>
          <w:szCs w:val="20"/>
          <w:color w:val="auto"/>
        </w:rPr>
      </w:pPr>
    </w:p>
    <w:p>
      <w:pPr>
        <w:ind w:left="480"/>
        <w:spacing w:after="0" w:line="291" w:lineRule="auto"/>
        <w:rPr>
          <w:sz w:val="20"/>
          <w:szCs w:val="20"/>
          <w:color w:val="auto"/>
        </w:rPr>
      </w:pPr>
      <w:r>
        <w:rPr>
          <w:rFonts w:ascii="Arial" w:cs="Arial" w:eastAsia="Arial" w:hAnsi="Arial"/>
          <w:sz w:val="16"/>
          <w:szCs w:val="16"/>
          <w:color w:val="auto"/>
        </w:rPr>
        <w:t>Purchased: Loans in this segment are typically secured by commercial real estate, multi-family residential real estate, or business assets and have been acquired by the Bank’s Loan Acquisition and Servicing Group (“LASG”). Loans acquired by the LASG are, with limited exceptions, performing loans at the date of purchase. Repayment of loans in this segment is largely dependent on cash flow from the successful operation of the property, in the case of non-owner occupied property, or operating business, in the case of owner-occupied property. Loan performance may be adversely affected by factors affecting the general economy or conditions specific to the real estate market, such as geographic location or property type. Loans in this segment are evaluated for impairment under ASC 310-30. The Company reviews expected cash flows from purchased loans on a quarterly basis. The effect of a decline in expected cash flows subsequent to the acquisition of the loan is recognized through a specific allocation in the allowance for loan losses.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general component of the allowance for loan losses for originated loans is based on historical loss experience adjusted for qualitative factors stratified by loan segment. The Company does not weight periods used in that analysis to determine the average loss rate in each portfolio segment. This historical loss factor is adjusted for the following qualitative factors: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and trends in delinquencies;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the volume and nature of loans;</w:t>
      </w:r>
    </w:p>
    <w:p>
      <w:pPr>
        <w:spacing w:after="0" w:line="225"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credit terms and policies, including underwriting standards, procedures and practices, and the experience and ability of lending management and staff;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Trends in portfolio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National and local economic trends and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changes or trends in internal risk ratings;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effects resulting from trends in the valuation of underlying collateral.</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allocated component of the allowance for loan losses relates to loans that are classified as impaired. Impairment is measured on a loan-by-loan basis by either the present value of expected future cash flows discounted at the loan’s effective interest rate or the fair value of the collateral if the loan is collateral dependent. An allowance is established when the discounted cash flows or collateral value of the impaired loan is lower than the carrying value of the loan.</w:t>
      </w:r>
    </w:p>
    <w:p>
      <w:pPr>
        <w:sectPr>
          <w:pgSz w:w="11900" w:h="16838" w:orient="portrait"/>
          <w:cols w:equalWidth="0" w:num="1">
            <w:col w:w="11400"/>
          </w:cols>
          <w:pgMar w:left="240" w:top="118" w:right="25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all portfolio segments, except loans accounted for under ASC 310-30, a loan is considered impaired when, based on current information and events, it is probable that the Company will be unable to collect the scheduled payments of principal or interest when due according to the contractual terms of the loan agreement.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the purchased loan segment, a loan is considered impaired when, based on current information and events, it is probable that the Company will be unable to realize cash flows as expected at acquisition. For loans accounted for under ASC 310-30 for which cash flows can reasonably be estimated, loan impairment is measured based on the decrease in expected cash flows from those estimated at acquisition, excluding changes due to changes in interest rate indices and other non-credit related factors, discounted at the loan’s effective rate assumed at acquisition. Factors considered by management in determining impairment include payment status, collateral value, and the probability of collecting the scheduled principal and interest payments when due.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activity in the Company’s allowance for loan losses.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8"/>
                <w:szCs w:val="18"/>
                <w:color w:val="auto"/>
                <w:w w:val="89"/>
              </w:rPr>
              <w:t>Three Months Ended December 31, 2017</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8"/>
                <w:szCs w:val="18"/>
                <w:color w:val="auto"/>
                <w:w w:val="89"/>
              </w:rPr>
              <w:t>Three Months Ended December 31, 2016</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color w:val="auto"/>
                <w:w w:val="90"/>
              </w:rPr>
              <w:t>Six Months Ended December 31, 2017</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8"/>
                <w:szCs w:val="18"/>
                <w:color w:val="auto"/>
                <w:w w:val="90"/>
              </w:rPr>
              <w:t>Six Months Ended December 31, 2016</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89"/>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200" w:type="dxa"/>
            <w:vAlign w:val="bottom"/>
            <w:gridSpan w:val="3"/>
          </w:tcPr>
          <w:p>
            <w:pPr>
              <w:jc w:val="right"/>
              <w:ind w:right="130"/>
              <w:spacing w:after="0" w:line="195" w:lineRule="exact"/>
              <w:rPr>
                <w:sz w:val="20"/>
                <w:szCs w:val="20"/>
                <w:color w:val="auto"/>
              </w:rPr>
            </w:pPr>
            <w:r>
              <w:rPr>
                <w:rFonts w:ascii="Arial" w:cs="Arial" w:eastAsia="Arial" w:hAnsi="Arial"/>
                <w:sz w:val="18"/>
                <w:szCs w:val="18"/>
                <w:color w:val="auto"/>
                <w:w w:val="99"/>
              </w:rPr>
              <w:t>Commercial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Provision</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1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0"/>
        </w:trPr>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w:t>
            </w:r>
          </w:p>
        </w:tc>
      </w:tr>
      <w:tr>
        <w:trPr>
          <w:trHeight w:val="413"/>
        </w:trPr>
        <w:tc>
          <w:tcPr>
            <w:tcW w:w="27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allowance for loan losses by portfolio segment and impairment methodology.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color w:val="auto"/>
              </w:rPr>
              <w:t>December 31, 2017</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4,355</w:t>
            </w:r>
          </w:p>
        </w:tc>
      </w:tr>
      <w:tr>
        <w:trPr>
          <w:trHeight w:val="197"/>
        </w:trPr>
        <w:tc>
          <w:tcPr>
            <w:tcW w:w="20" w:type="dxa"/>
            <w:vAlign w:val="bottom"/>
          </w:tcPr>
          <w:p>
            <w:pPr>
              <w:spacing w:after="0"/>
              <w:rPr>
                <w:sz w:val="17"/>
                <w:szCs w:val="17"/>
                <w:color w:val="auto"/>
              </w:rPr>
            </w:pPr>
          </w:p>
        </w:tc>
        <w:tc>
          <w:tcPr>
            <w:tcW w:w="27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Loans:</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12,827</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251,812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517,186</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244,177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244,177</w:t>
            </w:r>
          </w:p>
        </w:tc>
      </w:tr>
      <w:tr>
        <w:trPr>
          <w:trHeight w:val="20"/>
        </w:trPr>
        <w:tc>
          <w:tcPr>
            <w:tcW w:w="20" w:type="dxa"/>
            <w:vAlign w:val="bottom"/>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255,679</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177,756</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244,177</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774,190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color w:val="auto"/>
                <w:w w:val="92"/>
              </w:rPr>
              <w:t>June 30, 2017</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Residential</w:t>
            </w:r>
          </w:p>
        </w:tc>
        <w:tc>
          <w:tcPr>
            <w:tcW w:w="1280" w:type="dxa"/>
            <w:vAlign w:val="bottom"/>
            <w:gridSpan w:val="3"/>
          </w:tcPr>
          <w:p>
            <w:pPr>
              <w:jc w:val="center"/>
              <w:ind w:right="220"/>
              <w:spacing w:after="0" w:line="195" w:lineRule="exact"/>
              <w:rPr>
                <w:sz w:val="20"/>
                <w:szCs w:val="20"/>
                <w:color w:val="auto"/>
              </w:rPr>
            </w:pPr>
            <w:r>
              <w:rPr>
                <w:rFonts w:ascii="Arial" w:cs="Arial" w:eastAsia="Arial" w:hAnsi="Arial"/>
                <w:sz w:val="18"/>
                <w:szCs w:val="18"/>
                <w:color w:val="auto"/>
                <w:w w:val="93"/>
              </w:rPr>
              <w:t>Commercial</w:t>
            </w:r>
          </w:p>
        </w:tc>
        <w:tc>
          <w:tcPr>
            <w:tcW w:w="1140" w:type="dxa"/>
            <w:vAlign w:val="bottom"/>
            <w:gridSpan w:val="3"/>
          </w:tcPr>
          <w:p>
            <w:pPr>
              <w:ind w:left="80"/>
              <w:spacing w:after="0" w:line="195"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6"/>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Real Estate</w:t>
            </w:r>
          </w:p>
        </w:tc>
        <w:tc>
          <w:tcPr>
            <w:tcW w:w="24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0"/>
              </w:rPr>
              <w:t>and Industrial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Consumer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Unallocated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color w:val="auto"/>
                <w:w w:val="84"/>
              </w:rPr>
              <w:t>(Dollars in thousands)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149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ASC 310-30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w:t>
            </w:r>
          </w:p>
        </w:tc>
      </w:tr>
      <w:tr>
        <w:trPr>
          <w:trHeight w:val="197"/>
        </w:trPr>
        <w:tc>
          <w:tcPr>
            <w:tcW w:w="20" w:type="dxa"/>
            <w:vAlign w:val="bottom"/>
          </w:tcPr>
          <w:p>
            <w:pPr>
              <w:spacing w:after="0"/>
              <w:rPr>
                <w:sz w:val="17"/>
                <w:szCs w:val="17"/>
                <w:color w:val="auto"/>
              </w:rPr>
            </w:pPr>
          </w:p>
        </w:tc>
        <w:tc>
          <w:tcPr>
            <w:tcW w:w="27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Loans:</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10,425</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Collectively evaluated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254,521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522,382</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ASC 310-30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246,388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246,388</w:t>
            </w:r>
          </w:p>
        </w:tc>
      </w:tr>
      <w:tr>
        <w:trPr>
          <w:trHeight w:val="20"/>
        </w:trPr>
        <w:tc>
          <w:tcPr>
            <w:tcW w:w="20" w:type="dxa"/>
            <w:vAlign w:val="bottom"/>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97,690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256,280</w:t>
            </w:r>
          </w:p>
        </w:tc>
        <w:tc>
          <w:tcPr>
            <w:tcW w:w="2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174,468</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246,388</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779,195</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following table sets forth information regarding impaired loans. Loans accounted for under ASC 310-30 that have performed based on cash flow and accretable yield expectations determined at date of acquisition are not considered impaired assets and have been excluded from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2017</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7"/>
              </w:rPr>
              <w:t>June 30, 2017</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Unpaid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7"/>
              </w:rPr>
              <w:t>Recorded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Related</w:t>
            </w: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Related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5"/>
              </w:rPr>
              <w:t>Allowance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without a valuation</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11,468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 with a valuation</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Originated: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28,698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32,035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27,110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609"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609"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8"/>
          </w:tcPr>
          <w:p>
            <w:pPr>
              <w:spacing w:after="0"/>
              <w:rPr>
                <w:sz w:val="20"/>
                <w:szCs w:val="20"/>
                <w:color w:val="auto"/>
              </w:rPr>
            </w:pPr>
            <w:r>
              <w:rPr>
                <w:rFonts w:ascii="Arial" w:cs="Arial" w:eastAsia="Arial" w:hAnsi="Arial"/>
                <w:sz w:val="18"/>
                <w:szCs w:val="18"/>
                <w:color w:val="auto"/>
                <w:w w:val="95"/>
              </w:rPr>
              <w:t>The following tables set forth information regarding interest income recognized on impaired loans.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90"/>
              </w:rPr>
              <w:t>Three Months Ended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90"/>
              </w:rPr>
              <w:t>Six Months Ended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Recognized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 valuation allowance: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320"/>
              <w:spacing w:after="0"/>
              <w:rPr>
                <w:sz w:val="20"/>
                <w:szCs w:val="20"/>
                <w:color w:val="auto"/>
              </w:rPr>
            </w:pPr>
            <w:r>
              <w:rPr>
                <w:rFonts w:ascii="Arial" w:cs="Arial" w:eastAsia="Arial" w:hAnsi="Arial"/>
                <w:sz w:val="18"/>
                <w:szCs w:val="18"/>
                <w:color w:val="auto"/>
              </w:rPr>
              <w:t>Total 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26,291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15,704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18" w:right="1379" w:bottom="1440" w:gutter="0" w:footer="0" w:header="0"/>
        </w:sectPr>
      </w:pPr>
    </w:p>
    <w:p>
      <w:pPr>
        <w:spacing w:after="0" w:line="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utilizes a ten-point internal loan rating system for commercial real estate, construction, commercial and industrial, and certain residential loans as follows: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Loans rated 1 – 6: Loans in these categories are considered “pass” rated loans. Loans in categories 1-5 are considered to have low to average risk. Loans rated 6 are considered marginally acceptable business credits and have more than average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Loans rated 7: Loans in this category are considered “special mention.” These loans show signs of potential weakness and are being closely monitored by management.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Loans rated 8: Loans in this category are considered “substandard.” Loans classified as substandard are inadequately protected by the current sound worth and paying capacity of the obligor or of the collateral pledged, if any. Assets so classified have a well-defined weakness or weaknesses that jeopardize the orderly repayment of the debt.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Loans rated 9: Loans in this category are considered “doubtful.” Loans classified as doubtful have all the weaknesses inherent in one graded 8 with the added characteristic that the weaknesses make collection or liquidation in full, on the basis of currently existing facts, conditions and values, highly questionable and improbable.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rated 10: Loans in this category are considered “loss” and of such little value that their continuance as loans is not warranted.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an annual basis, or more often if needed, the Company formally reviews the ratings of all loans subject to risk ratings. Annually, the Company engages an independent third-party to review a significant portion of loans within these segments. Management uses the results of these reviews as part of its annual review process. Risk ratings on purchased loans, with and without evidence of credit deterioration at acquisition, are determined relative to the Company’s recorded investment in that loan, which may be significantly lower than the loan’s unpaid principal balance.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loans by risk rating.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3"/>
              </w:rPr>
              <w:t>December 31, 2017</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668,356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255,679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177,756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15,137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244,177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692,749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color w:val="auto"/>
                <w:w w:val="92"/>
              </w:rPr>
              <w:t>June 30, 2017</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4"/>
              </w:rPr>
              <w:t>Originated Portfolio</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20" w:type="dxa"/>
            <w:vAlign w:val="bottom"/>
            <w:vMerge w:val="restart"/>
          </w:tcPr>
          <w:p>
            <w:pPr>
              <w:ind w:left="20"/>
              <w:spacing w:after="0"/>
              <w:rPr>
                <w:sz w:val="20"/>
                <w:szCs w:val="20"/>
                <w:color w:val="auto"/>
              </w:rPr>
            </w:pPr>
            <w:r>
              <w:rPr>
                <w:rFonts w:ascii="Arial" w:cs="Arial" w:eastAsia="Arial" w:hAnsi="Arial"/>
                <w:sz w:val="18"/>
                <w:szCs w:val="18"/>
                <w:color w:val="auto"/>
                <w:w w:val="95"/>
              </w:rPr>
              <w:t>Residential</w:t>
            </w:r>
            <w:r>
              <w:rPr>
                <w:rFonts w:ascii="Arial" w:cs="Arial" w:eastAsia="Arial" w:hAnsi="Arial"/>
                <w:sz w:val="30"/>
                <w:szCs w:val="30"/>
                <w:color w:val="auto"/>
                <w:w w:val="95"/>
                <w:vertAlign w:val="superscript"/>
              </w:rPr>
              <w:t>(1)</w:t>
            </w:r>
          </w:p>
        </w:tc>
        <w:tc>
          <w:tcPr>
            <w:tcW w:w="2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8"/>
              </w:rPr>
              <w:t>Real Estate</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and Industrial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Portfolio</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w w:val="82"/>
              </w:rPr>
              <w:t>(Dollars 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1- 6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229,980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7</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Loans rated 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Loans rated 10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246,388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688,069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of the Company’s loans made for commercial purposes, but secured by residential collateral, are rated under the Company’s risk-rating system.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post-modification balance of TDRs by type of modification.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350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89"/>
              </w:rPr>
              <w:t>Three Months Ended December 31,</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90"/>
              </w:rPr>
              <w:t>Six Months Ended December 31,</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4"/>
              </w:rPr>
              <w:t>2016</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9"/>
              </w:rPr>
              <w:t>Number of</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9"/>
              </w:rPr>
              <w:t>Recorded</w:t>
            </w:r>
          </w:p>
        </w:tc>
        <w:tc>
          <w:tcPr>
            <w:tcW w:w="240" w:type="dxa"/>
            <w:vAlign w:val="bottom"/>
          </w:tcPr>
          <w:p>
            <w:pPr>
              <w:spacing w:after="0"/>
              <w:rPr>
                <w:sz w:val="16"/>
                <w:szCs w:val="16"/>
                <w:color w:val="auto"/>
              </w:rPr>
            </w:pPr>
          </w:p>
        </w:tc>
        <w:tc>
          <w:tcPr>
            <w:tcW w:w="114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7"/>
              </w:rPr>
              <w:t>Number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6"/>
                <w:szCs w:val="16"/>
                <w:color w:val="auto"/>
              </w:rPr>
            </w:pPr>
          </w:p>
        </w:tc>
        <w:tc>
          <w:tcPr>
            <w:tcW w:w="11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6"/>
                <w:szCs w:val="16"/>
                <w:color w:val="auto"/>
              </w:rPr>
            </w:pPr>
          </w:p>
        </w:tc>
        <w:tc>
          <w:tcPr>
            <w:tcW w:w="8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r>
      <w:tr>
        <w:trPr>
          <w:trHeight w:val="230"/>
        </w:trPr>
        <w:tc>
          <w:tcPr>
            <w:tcW w:w="2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Contracts</w:t>
            </w:r>
          </w:p>
        </w:tc>
        <w:tc>
          <w:tcPr>
            <w:tcW w:w="24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Contracts</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Investment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Contracts</w:t>
            </w:r>
          </w:p>
        </w:tc>
        <w:tc>
          <w:tcPr>
            <w:tcW w:w="1020" w:type="dxa"/>
            <w:vAlign w:val="bottom"/>
            <w:gridSpan w:val="3"/>
          </w:tcPr>
          <w:p>
            <w:pPr>
              <w:ind w:left="60"/>
              <w:spacing w:after="0"/>
              <w:rPr>
                <w:sz w:val="20"/>
                <w:szCs w:val="20"/>
                <w:color w:val="auto"/>
              </w:rPr>
            </w:pPr>
            <w:r>
              <w:rPr>
                <w:rFonts w:ascii="Arial" w:cs="Arial" w:eastAsia="Arial" w:hAnsi="Arial"/>
                <w:sz w:val="18"/>
                <w:szCs w:val="18"/>
                <w:color w:val="auto"/>
              </w:rPr>
              <w:t>Investment</w:t>
            </w:r>
          </w:p>
        </w:tc>
      </w:tr>
      <w:tr>
        <w:trPr>
          <w:trHeight w:val="210"/>
        </w:trPr>
        <w:tc>
          <w:tcPr>
            <w:tcW w:w="24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(Dollars in</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ind w:right="210"/>
              <w:spacing w:after="0"/>
              <w:rPr>
                <w:sz w:val="20"/>
                <w:szCs w:val="20"/>
                <w:color w:val="auto"/>
              </w:rPr>
            </w:pPr>
            <w:r>
              <w:rPr>
                <w:rFonts w:ascii="Arial" w:cs="Arial" w:eastAsia="Arial" w:hAnsi="Arial"/>
                <w:sz w:val="17"/>
                <w:szCs w:val="17"/>
                <w:color w:val="auto"/>
                <w:w w:val="71"/>
              </w:rPr>
              <w:t>thousands)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Extended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Adjusted interest rate</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Rate and maturity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2,263</w:t>
            </w: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Principal deferment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Court ordered concession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86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2,561</w:t>
            </w:r>
          </w:p>
        </w:tc>
        <w:tc>
          <w:tcPr>
            <w:tcW w:w="240" w:type="dxa"/>
            <w:vAlign w:val="bottom"/>
          </w:tcPr>
          <w:p>
            <w:pPr>
              <w:spacing w:after="0"/>
              <w:rPr>
                <w:sz w:val="18"/>
                <w:szCs w:val="18"/>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3,234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loans modified in a TDR and the change in the recorded investment subsequent to the modifications occurring.</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Three Months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8"/>
              </w:rPr>
              <w:t>Contracts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Post-Modification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Contracts</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color w:val="auto"/>
                <w:w w:val="90"/>
              </w:rPr>
              <w:t>Six Months Ended 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8"/>
              </w:rPr>
              <w:t>Contracts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Pre-Modification</w:t>
            </w:r>
          </w:p>
        </w:tc>
        <w:tc>
          <w:tcPr>
            <w:tcW w:w="1600" w:type="dxa"/>
            <w:vAlign w:val="bottom"/>
            <w:gridSpan w:val="4"/>
          </w:tcPr>
          <w:p>
            <w:pPr>
              <w:ind w:left="100"/>
              <w:spacing w:after="0"/>
              <w:rPr>
                <w:sz w:val="20"/>
                <w:szCs w:val="20"/>
                <w:color w:val="auto"/>
              </w:rPr>
            </w:pPr>
            <w:r>
              <w:rPr>
                <w:rFonts w:ascii="Arial" w:cs="Arial" w:eastAsia="Arial" w:hAnsi="Arial"/>
                <w:sz w:val="18"/>
                <w:szCs w:val="18"/>
                <w:color w:val="auto"/>
              </w:rPr>
              <w:t>Post-Modification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Contracts</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Originated portfolio:</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Residential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 originated portfolio</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Purchased portfolio:</w:t>
            </w: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8"/>
                <w:szCs w:val="18"/>
                <w:color w:val="auto"/>
              </w:rPr>
              <w:t>Commercial real estate</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Total purchased portfolio</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considers TDRs past due 90 days or more to be in payment default. No loans modified in a TDR in the last twelve months defaulted during the three and six months ended December 31, 2017. As of December 31, 2016 and 2017, there were no further commitments to lend to borrowers associated with loans modified in a TDR.</w:t>
      </w:r>
    </w:p>
    <w:p>
      <w:pPr>
        <w:sectPr>
          <w:pgSz w:w="11900" w:h="16838" w:orient="portrait"/>
          <w:cols w:equalWidth="0" w:num="1">
            <w:col w:w="11420"/>
          </w:cols>
          <w:pgMar w:left="240" w:top="118"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ASC 310-30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summary of loans accounted for under ASC 310-30 that were acquired by the Company during the period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2016</w:t>
            </w:r>
          </w:p>
        </w:tc>
        <w:tc>
          <w:tcPr>
            <w:tcW w:w="8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5"/>
          </w:tcPr>
          <w:p>
            <w:pPr>
              <w:jc w:val="right"/>
              <w:ind w:right="1220"/>
              <w:spacing w:after="0"/>
              <w:rPr>
                <w:sz w:val="20"/>
                <w:szCs w:val="20"/>
                <w:color w:val="auto"/>
              </w:rPr>
            </w:pPr>
            <w:r>
              <w:rPr>
                <w:rFonts w:ascii="Arial" w:cs="Arial" w:eastAsia="Arial" w:hAnsi="Arial"/>
                <w:sz w:val="18"/>
                <w:szCs w:val="18"/>
                <w:color w:val="auto"/>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68,466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4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0"/>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47,741</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67,489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Accretable yield</w:t>
            </w:r>
          </w:p>
        </w:tc>
        <w:tc>
          <w:tcPr>
            <w:tcW w:w="14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(12,939)</w:t>
            </w: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(21,456)</w:t>
            </w:r>
          </w:p>
        </w:tc>
      </w:tr>
      <w:tr>
        <w:trPr>
          <w:trHeight w:val="20"/>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46,033</w:t>
            </w:r>
          </w:p>
        </w:tc>
      </w:tr>
      <w:tr>
        <w:trPr>
          <w:trHeight w:val="398"/>
        </w:trPr>
        <w:tc>
          <w:tcPr>
            <w:tcW w:w="57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Six Months Ended</w:t>
            </w: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1"/>
              </w:rPr>
              <w:t>Six Months Ended</w:t>
            </w:r>
          </w:p>
        </w:tc>
        <w:tc>
          <w:tcPr>
            <w:tcW w:w="80" w:type="dxa"/>
            <w:vAlign w:val="bottom"/>
            <w:tcBorders>
              <w:top w:val="single" w:sz="8" w:color="CCEEFF"/>
            </w:tcBorders>
          </w:tcPr>
          <w:p>
            <w:pPr>
              <w:spacing w:after="0"/>
              <w:rPr>
                <w:sz w:val="24"/>
                <w:szCs w:val="24"/>
                <w:color w:val="auto"/>
              </w:rPr>
            </w:pPr>
          </w:p>
        </w:tc>
      </w:tr>
      <w:tr>
        <w:trPr>
          <w:trHeight w:val="230"/>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2016</w:t>
            </w:r>
          </w:p>
        </w:tc>
        <w:tc>
          <w:tcPr>
            <w:tcW w:w="8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5"/>
          </w:tcPr>
          <w:p>
            <w:pPr>
              <w:jc w:val="right"/>
              <w:ind w:right="1220"/>
              <w:spacing w:after="0"/>
              <w:rPr>
                <w:sz w:val="20"/>
                <w:szCs w:val="20"/>
                <w:color w:val="auto"/>
              </w:rPr>
            </w:pPr>
            <w:r>
              <w:rPr>
                <w:rFonts w:ascii="Arial" w:cs="Arial" w:eastAsia="Arial" w:hAnsi="Arial"/>
                <w:sz w:val="18"/>
                <w:szCs w:val="18"/>
                <w:color w:val="auto"/>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Contractually required payments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94,720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Nonaccretable difference</w:t>
            </w:r>
          </w:p>
        </w:tc>
        <w:tc>
          <w:tcPr>
            <w:tcW w:w="14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(3,494)</w:t>
            </w:r>
          </w:p>
        </w:tc>
      </w:tr>
      <w:tr>
        <w:trPr>
          <w:trHeight w:val="20"/>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flows expected to be collected</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53,496</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91,226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Accretable yield</w:t>
            </w:r>
          </w:p>
        </w:tc>
        <w:tc>
          <w:tcPr>
            <w:tcW w:w="14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(15,043)</w:t>
            </w:r>
          </w:p>
        </w:tc>
        <w:tc>
          <w:tcPr>
            <w:tcW w:w="1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(31,340)</w:t>
            </w:r>
          </w:p>
        </w:tc>
      </w:tr>
      <w:tr>
        <w:trPr>
          <w:trHeight w:val="20"/>
        </w:trPr>
        <w:tc>
          <w:tcPr>
            <w:tcW w:w="5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loans acquired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59,886</w:t>
            </w: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loans accounted for under ASC 310-30 that were acquired by the Company are not accounted for using the income recognition model because the Company cannot reasonably estimate cash flows expected to be collected. These loans when acquired are placed on nonaccrual. The carrying amounts of such loans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As of and for the Three</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 and for the Six</w:t>
            </w:r>
          </w:p>
        </w:tc>
      </w:t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Months Ended</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Months Ended</w:t>
            </w:r>
          </w:p>
        </w:tc>
      </w:tr>
      <w:tr>
        <w:trPr>
          <w:trHeight w:val="230"/>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2017</w:t>
            </w:r>
          </w:p>
        </w:tc>
        <w:tc>
          <w:tcPr>
            <w:tcW w:w="8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0" w:type="dxa"/>
            <w:vAlign w:val="bottom"/>
            <w:gridSpan w:val="5"/>
          </w:tcPr>
          <w:p>
            <w:pPr>
              <w:ind w:left="980"/>
              <w:spacing w:after="0"/>
              <w:rPr>
                <w:sz w:val="20"/>
                <w:szCs w:val="20"/>
                <w:color w:val="auto"/>
              </w:rPr>
            </w:pPr>
            <w:r>
              <w:rPr>
                <w:rFonts w:ascii="Arial" w:cs="Arial" w:eastAsia="Arial" w:hAnsi="Arial"/>
                <w:sz w:val="18"/>
                <w:szCs w:val="18"/>
                <w:color w:val="auto"/>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Loans acquired during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Loans at end of period</w:t>
            </w:r>
          </w:p>
        </w:tc>
        <w:tc>
          <w:tcPr>
            <w:tcW w:w="16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6,901</w:t>
            </w:r>
          </w:p>
        </w:tc>
        <w:tc>
          <w:tcPr>
            <w:tcW w:w="12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6,901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in the accretable yield for loans accounted for under ASC 310-30.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2016</w:t>
            </w:r>
          </w:p>
        </w:tc>
        <w:tc>
          <w:tcPr>
            <w:tcW w:w="8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5"/>
          </w:tcPr>
          <w:p>
            <w:pPr>
              <w:jc w:val="right"/>
              <w:ind w:right="1220"/>
              <w:spacing w:after="0"/>
              <w:rPr>
                <w:sz w:val="20"/>
                <w:szCs w:val="20"/>
                <w:color w:val="auto"/>
              </w:rPr>
            </w:pPr>
            <w:r>
              <w:rPr>
                <w:rFonts w:ascii="Arial" w:cs="Arial" w:eastAsia="Arial" w:hAnsi="Arial"/>
                <w:sz w:val="18"/>
                <w:szCs w:val="18"/>
                <w:color w:val="auto"/>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124,023</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12,939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21,456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(4,244)</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(7,810)</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(13,373)</w:t>
            </w:r>
          </w:p>
        </w:tc>
      </w:tr>
      <w:tr>
        <w:trPr>
          <w:trHeight w:val="210"/>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124,903</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128,423</w:t>
            </w:r>
          </w:p>
        </w:tc>
        <w:tc>
          <w:tcPr>
            <w:tcW w:w="80" w:type="dxa"/>
            <w:vAlign w:val="bottom"/>
            <w:tcBorders>
              <w:top w:val="single" w:sz="8" w:color="CCEEFF"/>
            </w:tcBorders>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December 31, 2016</w:t>
            </w:r>
          </w:p>
        </w:tc>
        <w:tc>
          <w:tcPr>
            <w:tcW w:w="8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20" w:type="dxa"/>
            <w:vAlign w:val="bottom"/>
            <w:gridSpan w:val="5"/>
          </w:tcPr>
          <w:p>
            <w:pPr>
              <w:jc w:val="right"/>
              <w:ind w:right="1220"/>
              <w:spacing w:after="0"/>
              <w:rPr>
                <w:sz w:val="20"/>
                <w:szCs w:val="20"/>
                <w:color w:val="auto"/>
              </w:rPr>
            </w:pPr>
            <w:r>
              <w:rPr>
                <w:rFonts w:ascii="Arial" w:cs="Arial" w:eastAsia="Arial" w:hAnsi="Arial"/>
                <w:sz w:val="18"/>
                <w:szCs w:val="18"/>
                <w:color w:val="auto"/>
              </w:rPr>
              <w:t>(Dollars in thousands)</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124,151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15,043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31,340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(8,669)</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Reclassifications from non-accretable difference to accretable yield</w:t>
            </w: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1,131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 changes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(17,191)</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(18,891)</w:t>
            </w:r>
          </w:p>
        </w:tc>
      </w:tr>
      <w:tr>
        <w:trPr>
          <w:trHeight w:val="210"/>
        </w:trPr>
        <w:tc>
          <w:tcPr>
            <w:tcW w:w="5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124,903</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128,423</w:t>
            </w:r>
          </w:p>
        </w:tc>
        <w:tc>
          <w:tcPr>
            <w:tcW w:w="80" w:type="dxa"/>
            <w:vAlign w:val="bottom"/>
            <w:tcBorders>
              <w:top w:val="single" w:sz="8" w:color="CCEEFF"/>
            </w:tcBorders>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unpaid principal balance and carrying amounts of ASC 310-30 loans.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December 31, 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6"/>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Unpaid principal balance</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266,374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271,709</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Carrying amount</w:t>
            </w:r>
          </w:p>
        </w:tc>
        <w:tc>
          <w:tcPr>
            <w:tcW w:w="4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236,047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239,583</w:t>
            </w:r>
          </w:p>
        </w:tc>
      </w:tr>
    </w:tbl>
    <w:p>
      <w:pPr>
        <w:spacing w:after="0" w:line="187" w:lineRule="exact"/>
        <w:rPr>
          <w:sz w:val="20"/>
          <w:szCs w:val="20"/>
          <w:color w:val="auto"/>
        </w:rPr>
      </w:pPr>
    </w:p>
    <w:p>
      <w:pPr>
        <w:sectPr>
          <w:pgSz w:w="11900" w:h="16838" w:orient="portrait"/>
          <w:cols w:equalWidth="0" w:num="1">
            <w:col w:w="11420"/>
          </w:cols>
          <w:pgMar w:left="240" w:top="118" w:right="239" w:bottom="1440" w:gutter="0" w:footer="0" w:header="0"/>
        </w:sect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and Servicing of Financial Assets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sells loans in the secondary market and for certain loans, retains the servicing responsibility. Consideration for the sale includes the cash received as well as the related servicing rights asset. The Company receives fees for the services provided.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Capitalized servicing rights as of December 31, 2017 totaled $3.0 million, compared to $2.8 million as of June 30, 2017, and are classified as loan servicing rights, net, on the consolidated balance sheets.</w:t>
      </w:r>
    </w:p>
    <w:p>
      <w:pPr>
        <w:spacing w:after="0" w:line="17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Mortgage loans sold in the quarter ended December 31, 2017 totaled $17.6 million, compared to $17.7 million in the quarter ended December 31, 2016. Mortgage loans sold in the six months ended December 31, 2017 totaled $36.7 million, compared to $42.7 million in the six months ended December 31, 2016. Mortgage loans serviced for others totaled $9.3 million at December 31, 2017 and $10.7 million at June 30, 2017. Additionally, the Company was servicing commercial loans participated out to various other institutions amounting to $29.3 million and $25.2 million at December 31, 2017 and June 30, 2017, respectively.</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SBA loans sold during the quarter ended December 31, 2017 totaled $3.4 million, compared to $17.5 million in the quarter ended December 31, 2016. SBA loans sold in the six months ended December 31, 2017 totaled $12.5 million, compared to $24.8 million in the six months ended December 31, 2016. SBA loans serviced for others totaled $146.8 million at December 31, 2017 and $144.4 million at June 30, 2017.</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Mortgage and SBA loans serviced for others are accounted for as sales and therefore are not included on the accompanying consolidated balance sheets. The risks inherent in mortgage servicing assets and SBA servicing assets relate primarily to changes in prepayments that result from shifts in interest rates.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Contractually specified servicing fees were $234 thousand and $248 thousand for the quarters ended December 31, 2017 and 2016, respectively, and were included as a component of loan-related fees within noninterest income. Contractually specified servicing fees were $497 thousand and $408 thousand for the six months ended December 31, 2017 and 2016, respectively.</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significant assumptions used in the valuation of the servicing rights included a range of discount rates from 9.6% to 15.8% and a weighted average prepayment speed assumption of 8.8%.</w:t>
      </w:r>
    </w:p>
    <w:p>
      <w:pPr>
        <w:spacing w:after="0" w:line="16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 (EPS)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EPS is computed by dividing net income allocated to common shareholders by the weighted average common shares outstanding (including participating securities). The Company’s only participating securities are unvested restricted stock awards that contain non-forfeitable rights to dividends. The following table shows the weighted average number of shares outstanding for the periods indicated. Shares issuable relative to stock options granted have been reflected as an increase in the shares outstanding used to calculate diluted EPS, after applying the treasury stock method. The number of shares outstanding for basic and diluted EPS is presented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820" w:type="dxa"/>
            <w:vAlign w:val="bottom"/>
            <w:gridSpan w:val="7"/>
          </w:tcPr>
          <w:p>
            <w:pPr>
              <w:ind w:left="20"/>
              <w:spacing w:after="0"/>
              <w:rPr>
                <w:sz w:val="20"/>
                <w:szCs w:val="20"/>
                <w:color w:val="auto"/>
              </w:rPr>
            </w:pPr>
            <w:r>
              <w:rPr>
                <w:rFonts w:ascii="Arial" w:cs="Arial" w:eastAsia="Arial" w:hAnsi="Arial"/>
                <w:sz w:val="18"/>
                <w:szCs w:val="18"/>
                <w:color w:val="auto"/>
                <w:w w:val="97"/>
              </w:rPr>
              <w:t>Three months Ended December 31,</w:t>
            </w:r>
          </w:p>
        </w:tc>
        <w:tc>
          <w:tcPr>
            <w:tcW w:w="100" w:type="dxa"/>
            <w:vAlign w:val="bottom"/>
          </w:tcPr>
          <w:p>
            <w:pPr>
              <w:spacing w:after="0"/>
              <w:rPr>
                <w:sz w:val="20"/>
                <w:szCs w:val="20"/>
                <w:color w:val="auto"/>
              </w:rPr>
            </w:pPr>
          </w:p>
        </w:tc>
        <w:tc>
          <w:tcPr>
            <w:tcW w:w="2600" w:type="dxa"/>
            <w:vAlign w:val="bottom"/>
            <w:gridSpan w:val="5"/>
          </w:tcPr>
          <w:p>
            <w:pPr>
              <w:spacing w:after="0"/>
              <w:rPr>
                <w:sz w:val="20"/>
                <w:szCs w:val="20"/>
                <w:color w:val="auto"/>
              </w:rPr>
            </w:pPr>
            <w:r>
              <w:rPr>
                <w:rFonts w:ascii="Arial" w:cs="Arial" w:eastAsia="Arial" w:hAnsi="Arial"/>
                <w:sz w:val="18"/>
                <w:szCs w:val="18"/>
                <w:color w:val="auto"/>
                <w:w w:val="97"/>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(In</w:t>
            </w:r>
          </w:p>
        </w:tc>
        <w:tc>
          <w:tcPr>
            <w:tcW w:w="220" w:type="dxa"/>
            <w:vAlign w:val="bottom"/>
            <w:gridSpan w:val="2"/>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79"/>
              </w:rPr>
              <w:t>thousands, except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84"/>
              </w:rPr>
              <w:t>share and per share</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data)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7,890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basic EPS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8,924,495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8,831,235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Incremental shares from assumed exercise of dilutive securities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33,383</w:t>
            </w:r>
          </w:p>
        </w:tc>
        <w:tc>
          <w:tcPr>
            <w:tcW w:w="10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246,007</w:t>
            </w: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calculation of diluted EPS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9,168,084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8,864,618</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9,129,010</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8,999,062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0.86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three and six months ended December 31, 2017 and 2016, the following stock options were excluded from the calculation of diluted EPS due to the exercise price of these options exceeding the average market price of the Company’s common stock for the period. These options, which were not dilutive at that date, may potentially dilute EPS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900" w:type="dxa"/>
            <w:vAlign w:val="bottom"/>
            <w:gridSpan w:val="5"/>
          </w:tcPr>
          <w:p>
            <w:pPr>
              <w:jc w:val="right"/>
              <w:ind w:right="260"/>
              <w:spacing w:after="0"/>
              <w:rPr>
                <w:sz w:val="20"/>
                <w:szCs w:val="20"/>
                <w:color w:val="auto"/>
              </w:rPr>
            </w:pPr>
            <w:r>
              <w:rPr>
                <w:rFonts w:ascii="Arial" w:cs="Arial" w:eastAsia="Arial" w:hAnsi="Arial"/>
                <w:sz w:val="18"/>
                <w:szCs w:val="18"/>
                <w:color w:val="auto"/>
                <w:w w:val="91"/>
              </w:rPr>
              <w:t>Three Months Ended December 31,</w:t>
            </w:r>
          </w:p>
        </w:tc>
        <w:tc>
          <w:tcPr>
            <w:tcW w:w="2800" w:type="dxa"/>
            <w:vAlign w:val="bottom"/>
            <w:gridSpan w:val="4"/>
          </w:tcPr>
          <w:p>
            <w:pPr>
              <w:ind w:left="160"/>
              <w:spacing w:after="0"/>
              <w:rPr>
                <w:sz w:val="20"/>
                <w:szCs w:val="20"/>
                <w:color w:val="auto"/>
              </w:rPr>
            </w:pPr>
            <w:r>
              <w:rPr>
                <w:rFonts w:ascii="Arial" w:cs="Arial" w:eastAsia="Arial" w:hAnsi="Arial"/>
                <w:sz w:val="18"/>
                <w:szCs w:val="18"/>
                <w:color w:val="auto"/>
                <w:w w:val="99"/>
              </w:rPr>
              <w:t>Six Months Ended December 31,</w:t>
            </w:r>
          </w:p>
        </w:tc>
        <w:tc>
          <w:tcPr>
            <w:tcW w:w="172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5020" w:type="dxa"/>
            <w:vAlign w:val="bottom"/>
            <w:gridSpan w:val="2"/>
            <w:shd w:val="clear" w:color="auto" w:fill="CCEEFF"/>
          </w:tcPr>
          <w:p>
            <w:pPr>
              <w:jc w:val="right"/>
              <w:ind w:right="3930"/>
              <w:spacing w:after="0"/>
              <w:rPr>
                <w:sz w:val="20"/>
                <w:szCs w:val="20"/>
                <w:color w:val="auto"/>
              </w:rPr>
            </w:pPr>
            <w:r>
              <w:rPr>
                <w:rFonts w:ascii="Arial" w:cs="Arial" w:eastAsia="Arial" w:hAnsi="Arial"/>
                <w:sz w:val="18"/>
                <w:szCs w:val="18"/>
                <w:color w:val="auto"/>
                <w:w w:val="90"/>
              </w:rPr>
              <w:t>Stock options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714,545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714,545</w:t>
            </w:r>
          </w:p>
        </w:tc>
        <w:tc>
          <w:tcPr>
            <w:tcW w:w="1720" w:type="dxa"/>
            <w:vAlign w:val="bottom"/>
          </w:tcPr>
          <w:p>
            <w:pPr>
              <w:spacing w:after="0"/>
              <w:rPr>
                <w:sz w:val="18"/>
                <w:szCs w:val="18"/>
                <w:color w:val="auto"/>
              </w:rPr>
            </w:pPr>
          </w:p>
        </w:tc>
      </w:tr>
      <w:tr>
        <w:trPr>
          <w:trHeight w:val="432"/>
        </w:trPr>
        <w:tc>
          <w:tcPr>
            <w:tcW w:w="4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83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Derivatives and Hedging Activities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stand-alone derivative financial instruments in the form of interest rate caps that derive their value from a fee paid and are adjusted to fair value based on index and strike rate, and swap agreements that derive their value from the underlying interest rate. These transactions involve both credit and market risk. The notional amounts are amounts on which calculations, payments and the value of the derivative are based. Notional amounts do not represent direct credit exposures. Direct credit exposure arises in the event of nonperformance by the counterparties to these agreements, and is limited to the net difference between the calculated amounts to be received and paid, if any. Such differences, which represent the fair value of the derivative instruments, are reflected on the Company's balance sheet as derivative assets and derivative liabilities. The Company controls the credit risk of its financial contracts through credit approvals, limits and monitoring procedures, and does not expect any counterparties to fail to meet their obligations.</w:t>
      </w:r>
    </w:p>
    <w:p>
      <w:pPr>
        <w:spacing w:after="0" w:line="16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Company currently holds derivative instruments that contain credit-risk related features that are in a net liability position, which may require that collateral be assigned to dealer banks. At December 31, 2017, the Company had posted cash collateral totaling $1.7 million with dealer banks related to derivative instruments in a net liability position.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does not offset fair value amounts recognized for derivative instruments. The Company does not net the amount recognized for the right to reclaim cash collateral against the obligation to return cash collateral arising from derivative instruments executed with the same counterparty under a master netting arrangement.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Policies—Derivative Instruments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evaluates the effectiveness of entering into any derivative instrument agreement by measuring the cost of such an agreement in relation to the reduction in net income volatility within an assumed range of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 Management—Cash Flow Hedging Instruments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uses variable rate debt as a source of funds for use in the Company's lending and investment activities and other general business purposes. These debt obligations expose the Company to variability in interest payments due to changes in interest rates. If interest rates increase, interest expense increases. Conversely, if interest rates decrease, interest expense decreases. Management believes it is prudent to limit the variability of a portion of its interest payments and, therefore, generally hedges a portion of its variable-rate interest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outstanding interest rate caps and swap agreements used to hedge variable rate debt is as follows.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2017</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Notional</w:t>
            </w:r>
          </w:p>
        </w:tc>
        <w:tc>
          <w:tcPr>
            <w:tcW w:w="110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300" w:type="dxa"/>
            <w:vAlign w:val="bottom"/>
            <w:tcBorders>
              <w:top w:val="single" w:sz="8" w:color="auto"/>
            </w:tcBorders>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89"/>
              </w:rPr>
              <w:t>Receive</w:t>
            </w: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tcBorders>
              <w:top w:val="single" w:sz="8" w:color="auto"/>
            </w:tcBorders>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ind w:right="260"/>
              <w:spacing w:after="0" w:line="195" w:lineRule="exact"/>
              <w:rPr>
                <w:sz w:val="20"/>
                <w:szCs w:val="20"/>
                <w:color w:val="auto"/>
              </w:rPr>
            </w:pPr>
            <w:r>
              <w:rPr>
                <w:rFonts w:ascii="Arial" w:cs="Arial" w:eastAsia="Arial" w:hAnsi="Arial"/>
                <w:sz w:val="18"/>
                <w:szCs w:val="18"/>
                <w:color w:val="auto"/>
                <w:w w:val="96"/>
              </w:rPr>
              <w:t>Fair</w:t>
            </w: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Index</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Pay Rate</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(Dollars in thousands)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(619)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October 2014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September 2019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February 2020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(1,453)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4"/>
            <w:vMerge w:val="restart"/>
          </w:tcPr>
          <w:p>
            <w:pPr>
              <w:jc w:val="center"/>
              <w:ind w:left="170"/>
              <w:spacing w:after="0"/>
              <w:rPr>
                <w:sz w:val="20"/>
                <w:szCs w:val="20"/>
                <w:color w:val="auto"/>
              </w:rPr>
            </w:pPr>
            <w:r>
              <w:rPr>
                <w:rFonts w:ascii="Arial" w:cs="Arial" w:eastAsia="Arial" w:hAnsi="Arial"/>
                <w:sz w:val="18"/>
                <w:szCs w:val="18"/>
                <w:color w:val="auto"/>
                <w:w w:val="87"/>
              </w:rPr>
              <w:t>June 30, 2017</w:t>
            </w: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rPr>
              <w:t>Notional</w:t>
            </w:r>
          </w:p>
        </w:tc>
        <w:tc>
          <w:tcPr>
            <w:tcW w:w="11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3"/>
              </w:rPr>
              <w:t>Inception</w:t>
            </w:r>
          </w:p>
        </w:tc>
        <w:tc>
          <w:tcPr>
            <w:tcW w:w="130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2"/>
              </w:rPr>
              <w:t>Termination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Receive</w:t>
            </w:r>
          </w:p>
        </w:tc>
        <w:tc>
          <w:tcPr>
            <w:tcW w:w="114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3"/>
              </w:rPr>
              <w:t>Pay</w:t>
            </w:r>
          </w:p>
        </w:tc>
        <w:tc>
          <w:tcPr>
            <w:tcW w:w="116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1"/>
              </w:rPr>
              <w:t>Strike</w:t>
            </w:r>
          </w:p>
        </w:tc>
        <w:tc>
          <w:tcPr>
            <w:tcW w:w="10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6"/>
              </w:rPr>
              <w:t>Fair</w:t>
            </w:r>
          </w:p>
        </w:tc>
        <w:tc>
          <w:tcPr>
            <w:tcW w:w="1360" w:type="dxa"/>
            <w:vAlign w:val="bottom"/>
          </w:tcPr>
          <w:p>
            <w:pPr>
              <w:jc w:val="center"/>
              <w:spacing w:after="0" w:line="195" w:lineRule="exact"/>
              <w:rPr>
                <w:sz w:val="20"/>
                <w:szCs w:val="20"/>
                <w:color w:val="auto"/>
              </w:rPr>
            </w:pPr>
            <w:r>
              <w:rPr>
                <w:rFonts w:ascii="Arial" w:cs="Arial" w:eastAsia="Arial" w:hAnsi="Arial"/>
                <w:sz w:val="18"/>
                <w:szCs w:val="18"/>
                <w:color w:val="auto"/>
                <w:w w:val="87"/>
              </w:rPr>
              <w:t>Balance Sheet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Index</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center"/>
              <w:ind w:left="170"/>
              <w:spacing w:after="0"/>
              <w:rPr>
                <w:sz w:val="20"/>
                <w:szCs w:val="20"/>
                <w:color w:val="auto"/>
              </w:rPr>
            </w:pPr>
            <w:r>
              <w:rPr>
                <w:rFonts w:ascii="Arial" w:cs="Arial" w:eastAsia="Arial" w:hAnsi="Arial"/>
                <w:sz w:val="18"/>
                <w:szCs w:val="18"/>
                <w:color w:val="auto"/>
                <w:w w:val="91"/>
              </w:rPr>
              <w:t>(Dollars in thousands)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swaps: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2033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160" w:type="dxa"/>
            <w:vAlign w:val="bottom"/>
            <w:tcBorders>
              <w:right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July 2013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i w:val="1"/>
                <w:iCs w:val="1"/>
                <w:color w:val="auto"/>
              </w:rPr>
              <w:t>Interest rate caps: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October 2014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September 2019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 Mo.</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2015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February 2020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LIBOR</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116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(1,683)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During the three and six months ended December 31, 2017 and 2016, no interest rate cap or swap agreements were terminated prior to maturity. Changes in the fair value of interest rate caps and swaps designated as hedging instruments of the variability of cash flows associated with variable rate debt are reported in other comprehensive income. These amounts subsequently are reclassified into interest expense as a yield adjustment in the same period in which the related interest on the debt affects earnings. Risk management results for the three and six months ended December 31, 2017 and 2016 related to the balance sheet hedging of variable rate debt indicates that the hedges were effective.</w:t>
      </w:r>
    </w:p>
    <w:p>
      <w:pPr>
        <w:sectPr>
          <w:pgSz w:w="11900" w:h="16838" w:orient="portrait"/>
          <w:cols w:equalWidth="0" w:num="1">
            <w:col w:w="11420"/>
          </w:cols>
          <w:pgMar w:left="240" w:top="118"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comprehensive income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8"/>
                <w:szCs w:val="18"/>
                <w:color w:val="auto"/>
                <w:w w:val="90"/>
              </w:rPr>
              <w:t>Three Months Ended December 31,</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80" w:type="dxa"/>
            <w:vAlign w:val="bottom"/>
          </w:tcPr>
          <w:p>
            <w:pPr>
              <w:spacing w:after="0"/>
              <w:rPr>
                <w:sz w:val="16"/>
                <w:szCs w:val="16"/>
                <w:color w:val="auto"/>
              </w:rPr>
            </w:pPr>
          </w:p>
        </w:tc>
        <w:tc>
          <w:tcPr>
            <w:tcW w:w="1140" w:type="dxa"/>
            <w:vAlign w:val="bottom"/>
            <w:gridSpan w:val="3"/>
          </w:tcPr>
          <w:p>
            <w:pPr>
              <w:jc w:val="center"/>
              <w:ind w:right="1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1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150"/>
              <w:spacing w:after="0"/>
              <w:rPr>
                <w:sz w:val="20"/>
                <w:szCs w:val="20"/>
                <w:color w:val="auto"/>
              </w:rPr>
            </w:pPr>
            <w:r>
              <w:rPr>
                <w:rFonts w:ascii="Arial" w:cs="Arial" w:eastAsia="Arial" w:hAnsi="Arial"/>
                <w:sz w:val="18"/>
                <w:szCs w:val="18"/>
                <w:color w:val="auto"/>
                <w:w w:val="94"/>
              </w:rPr>
              <w:t>(Benefit)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net unrealized loss on available-for-sale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accumulated loss on effective cash flow</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Arial" w:cs="Arial" w:eastAsia="Arial" w:hAnsi="Arial"/>
                <w:sz w:val="18"/>
                <w:szCs w:val="18"/>
                <w:color w:val="auto"/>
                <w:w w:val="97"/>
              </w:rPr>
              <w:t>Reclassification adjustment for losses included in</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Total other comprehensive (loss)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8"/>
                <w:szCs w:val="18"/>
                <w:color w:val="auto"/>
                <w:w w:val="90"/>
              </w:rPr>
              <w:t>Six Months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2016</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Pre-tax</w:t>
            </w:r>
          </w:p>
        </w:tc>
        <w:tc>
          <w:tcPr>
            <w:tcW w:w="80" w:type="dxa"/>
            <w:vAlign w:val="bottom"/>
          </w:tcPr>
          <w:p>
            <w:pPr>
              <w:spacing w:after="0"/>
              <w:rPr>
                <w:sz w:val="16"/>
                <w:szCs w:val="16"/>
                <w:color w:val="auto"/>
              </w:rPr>
            </w:pPr>
          </w:p>
        </w:tc>
        <w:tc>
          <w:tcPr>
            <w:tcW w:w="1140" w:type="dxa"/>
            <w:vAlign w:val="bottom"/>
            <w:gridSpan w:val="3"/>
          </w:tcPr>
          <w:p>
            <w:pPr>
              <w:jc w:val="center"/>
              <w:ind w:right="10"/>
              <w:spacing w:after="0" w:line="195" w:lineRule="exact"/>
              <w:rPr>
                <w:sz w:val="20"/>
                <w:szCs w:val="20"/>
                <w:color w:val="auto"/>
              </w:rPr>
            </w:pPr>
            <w:r>
              <w:rPr>
                <w:rFonts w:ascii="Arial" w:cs="Arial" w:eastAsia="Arial" w:hAnsi="Arial"/>
                <w:sz w:val="18"/>
                <w:szCs w:val="18"/>
                <w:color w:val="auto"/>
                <w:w w:val="87"/>
              </w:rPr>
              <w:t>Tax Expense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6"/>
              </w:rPr>
              <w:t>After-tax</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Pre-tax</w:t>
            </w:r>
          </w:p>
        </w:tc>
        <w:tc>
          <w:tcPr>
            <w:tcW w:w="11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87"/>
              </w:rPr>
              <w:t>Tax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150"/>
              <w:spacing w:after="0"/>
              <w:rPr>
                <w:sz w:val="20"/>
                <w:szCs w:val="20"/>
                <w:color w:val="auto"/>
              </w:rPr>
            </w:pPr>
            <w:r>
              <w:rPr>
                <w:rFonts w:ascii="Arial" w:cs="Arial" w:eastAsia="Arial" w:hAnsi="Arial"/>
                <w:sz w:val="18"/>
                <w:szCs w:val="18"/>
                <w:color w:val="auto"/>
                <w:w w:val="94"/>
              </w:rPr>
              <w:t>(Benefit)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(Benefit)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1"/>
              </w:rPr>
              <w:t>(Dollars in</w:t>
            </w:r>
          </w:p>
        </w:tc>
        <w:tc>
          <w:tcPr>
            <w:tcW w:w="220" w:type="dxa"/>
            <w:vAlign w:val="bottom"/>
            <w:gridSpan w:val="2"/>
          </w:tcPr>
          <w:p>
            <w:pPr>
              <w:spacing w:after="0"/>
              <w:rPr>
                <w:sz w:val="18"/>
                <w:szCs w:val="18"/>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net unrealized gain or loss on available-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for-sale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accumulated loss on effective cash flow</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ind w:left="160"/>
              <w:spacing w:after="0" w:line="201" w:lineRule="exact"/>
              <w:rPr>
                <w:sz w:val="20"/>
                <w:szCs w:val="20"/>
                <w:color w:val="auto"/>
              </w:rPr>
            </w:pPr>
            <w:r>
              <w:rPr>
                <w:rFonts w:ascii="Arial" w:cs="Arial" w:eastAsia="Arial" w:hAnsi="Arial"/>
                <w:sz w:val="18"/>
                <w:szCs w:val="18"/>
                <w:color w:val="auto"/>
                <w:w w:val="97"/>
              </w:rPr>
              <w:t>Reclassification adjustment for losses included in</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and hedging activities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is comprised of the following:</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December 31,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June 30, 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gridSpan w:val="6"/>
          </w:tcPr>
          <w:p>
            <w:pPr>
              <w:jc w:val="right"/>
              <w:ind w:right="94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11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After tax amount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Unrealized loss on cash flow hedges</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effect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After tax amount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and to reduce its own exposure to fluctuations in interest rates. These financial instruments include commitments to extend credit, standby letters of credit, and commitments to fund investments. Those instruments involve, to varying degrees, elements of credit and interest rate risk in excess of the amount recognized on the consolidated balance sheets. The contract amounts of those instruments reflect the extent of involvement the Company has in particular classes of financial instruments.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exposure to credit loss in the event of nonperformance by the other party to the financial instrument for commitments to extend credit and standby letters of credit is represented by the contractual amount of those instruments. The Company uses the same credit policies in making commitments and conditional obligations as it does for on-balance sheet instruments.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w w:val="94"/>
              </w:rPr>
              <w:t>Financial instruments with contract amounts which represent credit risk are as follows:</w:t>
            </w: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2017</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June 30, 2017</w:t>
            </w:r>
          </w:p>
        </w:tc>
        <w:tc>
          <w:tcPr>
            <w:tcW w:w="80" w:type="dxa"/>
            <w:vAlign w:val="bottom"/>
          </w:tcPr>
          <w:p>
            <w:pPr>
              <w:spacing w:after="0"/>
              <w:rPr>
                <w:sz w:val="24"/>
                <w:szCs w:val="24"/>
                <w:color w:val="auto"/>
              </w:rPr>
            </w:pPr>
          </w:p>
        </w:tc>
      </w:tr>
      <w:tr>
        <w:trPr>
          <w:trHeight w:val="210"/>
        </w:trPr>
        <w:tc>
          <w:tcPr>
            <w:tcW w:w="1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00" w:type="dxa"/>
            <w:vAlign w:val="bottom"/>
            <w:gridSpan w:val="5"/>
          </w:tcPr>
          <w:p>
            <w:pPr>
              <w:ind w:left="380"/>
              <w:spacing w:after="0"/>
              <w:rPr>
                <w:sz w:val="20"/>
                <w:szCs w:val="20"/>
                <w:color w:val="auto"/>
              </w:rPr>
            </w:pPr>
            <w:r>
              <w:rPr>
                <w:rFonts w:ascii="Arial" w:cs="Arial" w:eastAsia="Arial" w:hAnsi="Arial"/>
                <w:sz w:val="18"/>
                <w:szCs w:val="18"/>
                <w:color w:val="auto"/>
              </w:rPr>
              <w:t>(Dollars in thousands)</w:t>
            </w:r>
          </w:p>
        </w:tc>
      </w:tr>
      <w:tr>
        <w:trPr>
          <w:trHeight w:val="216"/>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15,244</w:t>
            </w:r>
          </w:p>
        </w:tc>
      </w:tr>
      <w:tr>
        <w:trPr>
          <w:trHeight w:val="216"/>
        </w:trPr>
        <w:tc>
          <w:tcPr>
            <w:tcW w:w="1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Unfunded commitments under lines of credit</w:t>
            </w:r>
          </w:p>
        </w:tc>
        <w:tc>
          <w:tcPr>
            <w:tcW w:w="4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33,757</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31,858</w:t>
            </w:r>
          </w:p>
        </w:tc>
      </w:tr>
      <w:tr>
        <w:trPr>
          <w:trHeight w:val="216"/>
        </w:trPr>
        <w:tc>
          <w:tcPr>
            <w:tcW w:w="1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r>
      <w:tr>
        <w:trPr>
          <w:trHeight w:val="230"/>
        </w:trPr>
        <w:tc>
          <w:tcPr>
            <w:tcW w:w="18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Commitment to fund investments</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bl>
    <w:p>
      <w:pPr>
        <w:spacing w:after="0" w:line="180" w:lineRule="exact"/>
        <w:rPr>
          <w:sz w:val="20"/>
          <w:szCs w:val="20"/>
          <w:color w:val="auto"/>
        </w:rPr>
      </w:pPr>
    </w:p>
    <w:p>
      <w:pPr>
        <w:sectPr>
          <w:pgSz w:w="11900" w:h="16838" w:orient="portrait"/>
          <w:cols w:equalWidth="0" w:num="1">
            <w:col w:w="11420"/>
          </w:cols>
          <w:pgMar w:left="240" w:top="118" w:right="239" w:bottom="257" w:gutter="0" w:footer="0" w:header="0"/>
        </w:sect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257" w:gutter="0" w:footer="0" w:header="0"/>
          <w:type w:val="continuous"/>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evaluates each customer’s credit worthiness on a case-by-case basis. The amount of collateral obtained, if deemed necessary by the Company upon extension of credit, is based on management’s credit evaluation of the counter party. Collateral held varies but may include accounts receivable, inventory, property, plant and equipment, and income-producing commercial properties. The Company has recorded an allowance for possible losses on commitments and unfunded loans totaling $79 thousand and $39 thousand recorded in other liabilities at December 31, 2017 and June 30,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Company does not have a commitment to fund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Contingencies</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 and its subsidiary are parties to litigation and claims arising in the normal course of business. Management believes that the liabilities, if any, arising from such litigation and claims will not be material to the Company’s consolidated financial position or results of operations.</w:t>
      </w:r>
    </w:p>
    <w:p>
      <w:pPr>
        <w:spacing w:after="0" w:line="143"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March 2016, the FASB issued ASU 2016-09. The new guidance simplifies several aspects of the accounting for share-based payment transactions, including the income tax consequences, classification of awards as either equity or liabilities, and classification on the statement of cash flows. Entities are now required to recognize the income tax effects of awards in the income statement when the awards vest or are settled.</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adopted ASU 2016-09 in the first quarter of fiscal 2018. Upon adoption, the most significant impact of this amendment resulted from the prospective application of current excess tax benefits and deficiencies being recognized in income tax expense, which previously would have been recognized in additional paid-in capital.</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to the excess tax benefit treatment, the amendment removed the assumed proceeds related to the excess tax benefit from the calculation of diluted shares. Additionally, dividends paid to employees for nonvested equity shares are also recognized through income tax expense.</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six months ended December 31, 2017, in totality, the adoption of ASU 2016-09 reduced the Company's income tax expense by $1.1 million. The excess tax benefit under the new guidance is treated as a discrete item in the period in which it occurs, and will vary from quarter to quarter as a function of the volume of restricted stock that vests, the volume of options that are exercised and the market price of the Company's stock in comparison to the compensation cost recognized in the consolidated financial statements.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adoption, the Company made a policy election to record forfeitures as they occur rather than make use of an estimate. The other provisions did not have a material impact on the Company's consolidated financial statements upon adoption.</w:t>
      </w:r>
    </w:p>
    <w:p>
      <w:pPr>
        <w:spacing w:after="0" w:line="166"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22, 2017, President Donald Trump signed into law the "Tax Cuts and Jobs Act", which among other items reduces the federal corporate tax rate to 21% from the previous federal corporate tax rate of 35%. The change in federal tax rate resulted in a $762 thousand decrease in federal income tax expense during the quarter ended December 31, 2017. Of this total, $328 thousand was related to the decrease in the federal corporate income tax rate for the three months ended December 31, 2017 and $434 thousand was related to income tax expense previously recorded in the three months ended September 30, 2017, to arrive at the required blended federal corporate income tax rate of 28.0% for fiscal 2018.</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federal corporate tax rate also required the Company to revalue its deferred tax assets at the new federal rate. The Company performed 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analysis to determine the impact of the revaluation of the deferred tax asset, which included a forecast of the expected deferred tax asset as of June 30,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result was a write-down of the deferred tax asset of $498 thousand, which increased federal income tax expense in the quarter ended December 31, 2017.</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Included in the deferred tax asset was the revaluation of the tax on the available-for-sale securities, interest rate swaps and interest rate caps. Currently, the effect of the revaluation is an adjustment to the income tax provision and would remain in accumulated other comprehensive income (“AOCI”) until the investments either mature or are sold or the interest rate swaps and caps mature or are terminated. The FASB is currently contemplating whether this “stranded” AOCI should be reclassified to retained earnings. Pending a ruling by the FASB on the financial reporting effects of the Tax Cuts and Jobs Act, the Company left the “stranded” AOCI in AOCI, and, if required, will reclassify the amount when the final ruling is announced. The effect would be a reclassification of $283 thousand from AOCI to retained earnings, with no net effect on shareholders' equity.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(that is, not a forced liquidation or distressed sale) between market participants at the measurement date under current market conditions. The Company uses prices and inputs that are current as of the measurement date, including during periods of market dislocation. In periods of market dislocation, the observability of prices and inputs may be reduced for many instruments. This condition could cause an instrument to be reclassified from one level to another. When market assumptions are not readily available, the Company’s own assumptions are set to reflect those that market participants would use in pricing the asset or liability at the measurement date. If there has been a significant decrease in the volume and level of activity for the asset or liability, regardless of the valuation technique(s) used, the objective of a fair value measurement remains the same.</w:t>
      </w:r>
    </w:p>
    <w:p>
      <w:pPr>
        <w:spacing w:after="0" w:line="18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ASC 820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6" w:lineRule="exact"/>
        <w:rPr>
          <w:sz w:val="20"/>
          <w:szCs w:val="20"/>
          <w:color w:val="auto"/>
        </w:rPr>
      </w:pPr>
    </w:p>
    <w:p>
      <w:pPr>
        <w:ind w:left="500" w:right="200"/>
        <w:spacing w:after="0" w:line="277" w:lineRule="auto"/>
        <w:rPr>
          <w:sz w:val="20"/>
          <w:szCs w:val="20"/>
          <w:color w:val="auto"/>
        </w:rPr>
      </w:pPr>
      <w:r>
        <w:rPr>
          <w:rFonts w:ascii="Arial" w:cs="Arial" w:eastAsia="Arial" w:hAnsi="Arial"/>
          <w:sz w:val="18"/>
          <w:szCs w:val="18"/>
          <w:color w:val="auto"/>
        </w:rPr>
        <w:t>Level 1 — Inputs are quoted prices (unadjusted) in active markets for identical assets or liabilities that the reporting entity has the ability to access at the measurement date.</w:t>
      </w:r>
    </w:p>
    <w:p>
      <w:pPr>
        <w:spacing w:after="0" w:line="170" w:lineRule="exact"/>
        <w:rPr>
          <w:sz w:val="20"/>
          <w:szCs w:val="20"/>
          <w:color w:val="auto"/>
        </w:rPr>
      </w:pPr>
    </w:p>
    <w:p>
      <w:pPr>
        <w:ind w:left="500" w:right="380"/>
        <w:spacing w:after="0" w:line="308" w:lineRule="auto"/>
        <w:rPr>
          <w:sz w:val="20"/>
          <w:szCs w:val="20"/>
          <w:color w:val="auto"/>
        </w:rPr>
      </w:pPr>
      <w:r>
        <w:rPr>
          <w:rFonts w:ascii="Arial" w:cs="Arial" w:eastAsia="Arial" w:hAnsi="Arial"/>
          <w:sz w:val="17"/>
          <w:szCs w:val="17"/>
          <w:color w:val="auto"/>
        </w:rPr>
        <w:t>Level 2 — Valuations based on significant observable inputs other than Level 1 prices such as quoted prices for similar assets or liabilities; quoted prices in markets that are not active; or other inputs that are observable or can be corroborated by observable market data.</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w:t>
      </w:r>
      <w:r>
        <w:rPr>
          <w:rFonts w:ascii="Arial" w:cs="Arial" w:eastAsia="Arial" w:hAnsi="Arial"/>
          <w:sz w:val="18"/>
          <w:szCs w:val="18"/>
          <w:color w:val="auto"/>
        </w:rPr>
        <w:t>s - There have been no changes in the valuation techniques used during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Transfers </w:t>
      </w:r>
      <w:r>
        <w:rPr>
          <w:rFonts w:ascii="Arial" w:cs="Arial" w:eastAsia="Arial" w:hAnsi="Arial"/>
          <w:sz w:val="17"/>
          <w:szCs w:val="17"/>
          <w:color w:val="auto"/>
        </w:rPr>
        <w:t>- There were no transfers of assets and liabilities measured at fair value on a recurring or nonrecurring basis during the current period</w:t>
      </w:r>
      <w:r>
        <w:rPr>
          <w:rFonts w:ascii="Arial" w:cs="Arial" w:eastAsia="Arial" w:hAnsi="Arial"/>
          <w:sz w:val="17"/>
          <w:szCs w:val="17"/>
          <w:i w:val="1"/>
          <w:iCs w:val="1"/>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Where quoted prices are available in an active market, securities are classified within Level 1 of the valuation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Examples of such instruments include publicly-traded common and preferred stocks. If quoted prices are not available, then fair values are estimated by using pricing models ( </w:t>
      </w:r>
      <w:r>
        <w:rPr>
          <w:rFonts w:ascii="Arial" w:cs="Arial" w:eastAsia="Arial" w:hAnsi="Arial"/>
          <w:sz w:val="18"/>
          <w:szCs w:val="18"/>
          <w:i w:val="1"/>
          <w:iCs w:val="1"/>
          <w:color w:val="auto"/>
        </w:rPr>
        <w:t>i.e.</w:t>
      </w:r>
      <w:r>
        <w:rPr>
          <w:rFonts w:ascii="Arial" w:cs="Arial" w:eastAsia="Arial" w:hAnsi="Arial"/>
          <w:sz w:val="18"/>
          <w:szCs w:val="18"/>
          <w:color w:val="auto"/>
        </w:rPr>
        <w:t>, matrix pricing) and market interest rates and credit assumptions or quoted prices of securities with similar characteristics and are classified within Level 2 of the valuation hierarchy. Examples of such instruments include government agency and government sponsored enterprise mortgage-backed securities, as well as certain preferred and trust preferred stocks. Level 3 securities are securities for which significant unobservable inputs are utilized.</w:t>
      </w:r>
    </w:p>
    <w:p>
      <w:pPr>
        <w:spacing w:after="0" w:line="193" w:lineRule="exact"/>
        <w:rPr>
          <w:sz w:val="20"/>
          <w:szCs w:val="20"/>
          <w:color w:val="auto"/>
        </w:rPr>
      </w:pPr>
    </w:p>
    <w:p>
      <w:pPr>
        <w:ind w:left="500" w:right="100"/>
        <w:spacing w:after="0" w:line="297" w:lineRule="auto"/>
        <w:rPr>
          <w:sz w:val="20"/>
          <w:szCs w:val="20"/>
          <w:color w:val="auto"/>
        </w:rPr>
      </w:pPr>
      <w:r>
        <w:rPr>
          <w:rFonts w:ascii="Arial" w:cs="Arial" w:eastAsia="Arial" w:hAnsi="Arial"/>
          <w:sz w:val="16"/>
          <w:szCs w:val="16"/>
          <w:color w:val="auto"/>
        </w:rPr>
        <w:t>Certain investments are measured at fair value using the net asset value per share as a practical expedient. These investments include a fund that seeks to invest in securities either issued or guaranteed by the U.S. government or its agencies, as well as a fund that primarily invests in the federally guaranteed portion of SBA 7(a) loans. The Company’s investment in securities either issued or guaranteed by the U.S. government or its agencies can be redeemed daily at the closing net asset value per share. The Company’s investment in SBA 7(a) loans can be redeemed quarterly with sixty days’ notice. In accordance with ASU 2015-07, these investments have not been included in the fair value hierarchy.</w:t>
      </w:r>
    </w:p>
    <w:p>
      <w:pPr>
        <w:spacing w:after="0" w:line="158"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The valuation of the Company’s interest rate swaps and caps are determined using widely accepted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including discounted cash flow analyses on the expected cash flows of derivatives. These analyses reflect the contractual terms of the derivatives, including the period to maturity, and use observable market-based inputs, including forward interest rate curves and implied volatilities. Unobservable inputs, such as credit valuation adjustments are insignificant to the overall valuation of the Company’s derivative financial instruments. Accordingly, the Company has determined that its interest rate derivatives fall within Level 2 of the fair value hierarchy.</w:t>
      </w:r>
    </w:p>
    <w:p>
      <w:pPr>
        <w:spacing w:after="0" w:line="173" w:lineRule="exact"/>
        <w:rPr>
          <w:sz w:val="20"/>
          <w:szCs w:val="20"/>
          <w:color w:val="auto"/>
        </w:rPr>
      </w:pPr>
    </w:p>
    <w:p>
      <w:pPr>
        <w:jc w:val="both"/>
        <w:ind w:left="500" w:right="340"/>
        <w:spacing w:after="0" w:line="264" w:lineRule="auto"/>
        <w:rPr>
          <w:sz w:val="20"/>
          <w:szCs w:val="20"/>
          <w:color w:val="auto"/>
        </w:rPr>
      </w:pPr>
      <w:r>
        <w:rPr>
          <w:rFonts w:ascii="Arial" w:cs="Arial" w:eastAsia="Arial" w:hAnsi="Arial"/>
          <w:sz w:val="18"/>
          <w:szCs w:val="18"/>
          <w:color w:val="auto"/>
        </w:rPr>
        <w:t>The fair value of derivative loan commitments and forward loan sale agreements are estimated using the anticipated market price based on pricing indications provided from syndicate banks. These commitments and agreements are categorized as Level 2. The fair value of such instruments was nominal at each date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i w:val="1"/>
          <w:iCs w:val="1"/>
          <w:color w:val="auto"/>
        </w:rPr>
        <w:t xml:space="preserve">Collateral dependent impaired loans </w:t>
      </w:r>
      <w:r>
        <w:rPr>
          <w:rFonts w:ascii="Arial" w:cs="Arial" w:eastAsia="Arial" w:hAnsi="Arial"/>
          <w:sz w:val="16"/>
          <w:szCs w:val="16"/>
          <w:color w:val="auto"/>
        </w:rPr>
        <w:t>- Valuations of impaired loans measured at fair value are determined by a review of collateral values.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inputs used in appraisals are not always observable, and therefore impaired loans are generally categorized as Level 3 within the fair value hierarchy.</w:t>
      </w:r>
    </w:p>
    <w:p>
      <w:pPr>
        <w:spacing w:after="0" w:line="124"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i w:val="1"/>
          <w:iCs w:val="1"/>
          <w:color w:val="auto"/>
        </w:rPr>
        <w:t xml:space="preserve">Real estate owned and other repossessed collateral </w:t>
      </w:r>
      <w:r>
        <w:rPr>
          <w:rFonts w:ascii="Arial" w:cs="Arial" w:eastAsia="Arial" w:hAnsi="Arial"/>
          <w:sz w:val="17"/>
          <w:szCs w:val="17"/>
          <w:color w:val="auto"/>
        </w:rPr>
        <w:t>- The fair values of real estate owned and other repossessed collateral are estimated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appraised values less estimated costs to sell. Certain inputs used in appraisals are not always observable, and therefore may be categorized as Level 3 within the fair value hierarchy. When inputs used in appraisals are primarily observable, they are classified as Level 2.</w:t>
      </w:r>
    </w:p>
    <w:p>
      <w:pPr>
        <w:spacing w:after="0" w:line="166"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i w:val="1"/>
          <w:iCs w:val="1"/>
          <w:color w:val="auto"/>
        </w:rPr>
        <w:t xml:space="preserve">Loan servicing rights </w:t>
      </w:r>
      <w:r>
        <w:rPr>
          <w:rFonts w:ascii="Arial" w:cs="Arial" w:eastAsia="Arial" w:hAnsi="Arial"/>
          <w:sz w:val="16"/>
          <w:szCs w:val="16"/>
          <w:color w:val="auto"/>
        </w:rPr>
        <w:t>- The fair value of the servicing rights is based on a valuation model that calculates the present value of estimated future net</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income. Adjustments are only recorded when the discounted cash flows derived from the valuation model are less than the carrying value of the asset. Certain inputs are not observable, and therefore loan servicing rights are generally categorized as Level 3 within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left="500" w:right="36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fair value of cash, due from banks, interest bearing deposits and Federal Home Loan Bank of Boston (“FHLBB”)</w:t>
      </w:r>
      <w:r>
        <w:rPr>
          <w:rFonts w:ascii="Arial" w:cs="Arial" w:eastAsia="Arial" w:hAnsi="Arial"/>
          <w:sz w:val="18"/>
          <w:szCs w:val="18"/>
          <w:i w:val="1"/>
          <w:iCs w:val="1"/>
          <w:color w:val="auto"/>
        </w:rPr>
        <w:t xml:space="preserve"> </w:t>
      </w:r>
      <w:r>
        <w:rPr>
          <w:rFonts w:ascii="Arial" w:cs="Arial" w:eastAsia="Arial" w:hAnsi="Arial"/>
          <w:sz w:val="18"/>
          <w:szCs w:val="18"/>
          <w:color w:val="auto"/>
        </w:rPr>
        <w:t>overnight deposits approximates their relative book values, as these financial instruments have short maturities.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FHLBB stock </w:t>
      </w:r>
      <w:r>
        <w:rPr>
          <w:rFonts w:ascii="Arial" w:cs="Arial" w:eastAsia="Arial" w:hAnsi="Arial"/>
          <w:sz w:val="18"/>
          <w:szCs w:val="18"/>
          <w:color w:val="auto"/>
        </w:rPr>
        <w:t>- The carrying value of FHLBB stock approximates fair value based on redemption provisions of the FHLBB.</w:t>
      </w:r>
    </w:p>
    <w:p>
      <w:pPr>
        <w:spacing w:after="0" w:line="225" w:lineRule="exact"/>
        <w:rPr>
          <w:sz w:val="20"/>
          <w:szCs w:val="20"/>
          <w:color w:val="auto"/>
        </w:rPr>
      </w:pPr>
    </w:p>
    <w:p>
      <w:pPr>
        <w:ind w:left="500" w:right="440"/>
        <w:spacing w:after="0" w:line="302" w:lineRule="auto"/>
        <w:rPr>
          <w:sz w:val="20"/>
          <w:szCs w:val="20"/>
          <w:color w:val="auto"/>
        </w:rPr>
      </w:pPr>
      <w:r>
        <w:rPr>
          <w:rFonts w:ascii="Arial" w:cs="Arial" w:eastAsia="Arial" w:hAnsi="Arial"/>
          <w:sz w:val="16"/>
          <w:szCs w:val="16"/>
          <w:i w:val="1"/>
          <w:iCs w:val="1"/>
          <w:color w:val="auto"/>
        </w:rPr>
        <w:t xml:space="preserve">Loans </w:t>
      </w:r>
      <w:r>
        <w:rPr>
          <w:rFonts w:ascii="Arial" w:cs="Arial" w:eastAsia="Arial" w:hAnsi="Arial"/>
          <w:sz w:val="16"/>
          <w:szCs w:val="16"/>
          <w:color w:val="auto"/>
        </w:rPr>
        <w:t>- Fair values are estimated for portfolios of loans with similar financial characteristics. The fair value of performing loans is calculated by</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discounting scheduled cash flows through the estimated maturity using estimated market discount rates that reflect the credit and interest rate risk inherent in the loan. The estimates of maturity are based on the Company’s historical experience with repayments for each loan classification, modified, as required, by an estimate of the effect of current economic conditions, lending conditions and the effects of estimated prepayments.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held-for-sale is estimated based on bid quotations received from loan dealers.</w:t>
      </w:r>
    </w:p>
    <w:p>
      <w:pPr>
        <w:spacing w:after="0" w:line="22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Interest receivable </w:t>
      </w:r>
      <w:r>
        <w:rPr>
          <w:rFonts w:ascii="Arial" w:cs="Arial" w:eastAsia="Arial" w:hAnsi="Arial"/>
          <w:sz w:val="18"/>
          <w:szCs w:val="18"/>
          <w:color w:val="auto"/>
        </w:rPr>
        <w:t>- The fair value of this financial instrument approximates the book value as this financial instrument has a short maturity. It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policy to stop accruing interest on loans past due by more than 90 days. Therefore, this financial instrument has been adjusted for estimated credit losses.</w:t>
      </w:r>
    </w:p>
    <w:p>
      <w:pPr>
        <w:spacing w:after="0" w:line="181" w:lineRule="exact"/>
        <w:rPr>
          <w:sz w:val="20"/>
          <w:szCs w:val="20"/>
          <w:color w:val="auto"/>
        </w:rPr>
      </w:pPr>
    </w:p>
    <w:p>
      <w:pPr>
        <w:ind w:left="500" w:right="80"/>
        <w:spacing w:after="0" w:line="257" w:lineRule="auto"/>
        <w:rPr>
          <w:sz w:val="20"/>
          <w:szCs w:val="20"/>
          <w:color w:val="auto"/>
        </w:rPr>
      </w:pPr>
      <w:r>
        <w:rPr>
          <w:rFonts w:ascii="Arial" w:cs="Arial" w:eastAsia="Arial" w:hAnsi="Arial"/>
          <w:sz w:val="18"/>
          <w:szCs w:val="18"/>
          <w:i w:val="1"/>
          <w:iCs w:val="1"/>
          <w:color w:val="auto"/>
        </w:rPr>
        <w:t xml:space="preserve">Deposits </w:t>
      </w:r>
      <w:r>
        <w:rPr>
          <w:rFonts w:ascii="Arial" w:cs="Arial" w:eastAsia="Arial" w:hAnsi="Arial"/>
          <w:sz w:val="18"/>
          <w:szCs w:val="18"/>
          <w:color w:val="auto"/>
        </w:rPr>
        <w:t>- The fair value of deposits with no stated maturity, such as noninterest-bearing demand deposits, savings, NOW accounts and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is equal to the amount payable on demand. The fair values of time deposits are based on the discounted value of contractual cash flows. The discount rate is estimated using the rates currently offered for deposits of similar remaining maturities. The fair value estimates do not include the benefit that results from the low-cost funding provided by the deposit liabilities compared to the cost of borrowing funds in the market. If that value were considered, the fair value of the Company’s net assets could increase.</w:t>
      </w:r>
    </w:p>
    <w:p>
      <w:pPr>
        <w:spacing w:after="0" w:line="188" w:lineRule="exact"/>
        <w:rPr>
          <w:sz w:val="20"/>
          <w:szCs w:val="20"/>
          <w:color w:val="auto"/>
        </w:rPr>
      </w:pPr>
    </w:p>
    <w:p>
      <w:pPr>
        <w:jc w:val="both"/>
        <w:ind w:left="500" w:right="60"/>
        <w:spacing w:after="0" w:line="279" w:lineRule="auto"/>
        <w:rPr>
          <w:sz w:val="20"/>
          <w:szCs w:val="20"/>
          <w:color w:val="auto"/>
        </w:rPr>
      </w:pPr>
      <w:r>
        <w:rPr>
          <w:rFonts w:ascii="Arial" w:cs="Arial" w:eastAsia="Arial" w:hAnsi="Arial"/>
          <w:sz w:val="17"/>
          <w:szCs w:val="17"/>
          <w:i w:val="1"/>
          <w:iCs w:val="1"/>
          <w:color w:val="auto"/>
        </w:rPr>
        <w:t xml:space="preserve">FHLBB advances, capital lease obligations and subordinated debentures </w:t>
      </w:r>
      <w:r>
        <w:rPr>
          <w:rFonts w:ascii="Arial" w:cs="Arial" w:eastAsia="Arial" w:hAnsi="Arial"/>
          <w:sz w:val="17"/>
          <w:szCs w:val="17"/>
          <w:color w:val="auto"/>
        </w:rPr>
        <w:t>- The fair value of the Company’s borrowings with the FHLBB is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by discounting the cash flows through maturity or the next re-pricing date based on current rates available to the Company for borrowings with similar maturities. The fair value of the Company’s capital lease obligations and subordinated debentures are estimated by discounting the cash flows through maturity based on current rates available to the Company for borrowings with similar maturities.</w:t>
      </w:r>
    </w:p>
    <w:p>
      <w:pPr>
        <w:spacing w:after="0" w:line="171"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i w:val="1"/>
          <w:iCs w:val="1"/>
          <w:color w:val="auto"/>
        </w:rPr>
        <w:t xml:space="preserve">Off-Balance Sheet Credit-Related Instruments </w:t>
      </w:r>
      <w:r>
        <w:rPr>
          <w:rFonts w:ascii="Arial" w:cs="Arial" w:eastAsia="Arial" w:hAnsi="Arial"/>
          <w:sz w:val="18"/>
          <w:szCs w:val="18"/>
          <w:color w:val="auto"/>
        </w:rPr>
        <w:t>- Fair values for off-balance-sheet, credit-related financial instruments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 The fair value of such instruments was nominal at each date 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7"/>
          </w:tcPr>
          <w:p>
            <w:pPr>
              <w:spacing w:after="0"/>
              <w:rPr>
                <w:sz w:val="20"/>
                <w:szCs w:val="20"/>
                <w:color w:val="auto"/>
              </w:rPr>
            </w:pPr>
            <w:r>
              <w:rPr>
                <w:rFonts w:ascii="Arial" w:cs="Arial" w:eastAsia="Arial" w:hAnsi="Arial"/>
                <w:sz w:val="18"/>
                <w:szCs w:val="18"/>
                <w:color w:val="auto"/>
                <w:w w:val="90"/>
              </w:rPr>
              <w:t>Assets and liabilities measured at fair value on a recurring basis are summarized below.</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color w:val="auto"/>
              </w:rPr>
              <w:t>December 31, 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380" w:type="dxa"/>
            <w:vAlign w:val="bottom"/>
            <w:tcBorders>
              <w:bottom w:val="single" w:sz="8" w:color="CCEEFF"/>
            </w:tcBorders>
            <w:gridSpan w:val="2"/>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57,092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84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4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color w:val="auto"/>
              </w:rPr>
              <w:t>June 30, 2017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1"/>
              </w:rPr>
              <w:t>Assets</w:t>
            </w:r>
          </w:p>
        </w:tc>
        <w:tc>
          <w:tcPr>
            <w:tcW w:w="4380" w:type="dxa"/>
            <w:vAlign w:val="bottom"/>
            <w:tcBorders>
              <w:bottom w:val="single" w:sz="8" w:color="CCEEFF"/>
            </w:tcBorders>
            <w:gridSpan w:val="2"/>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agency securities</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ind w:left="160"/>
              <w:spacing w:after="0"/>
              <w:rPr>
                <w:sz w:val="20"/>
                <w:szCs w:val="20"/>
                <w:color w:val="auto"/>
              </w:rPr>
            </w:pPr>
            <w:r>
              <w:rPr>
                <w:rFonts w:ascii="Arial" w:cs="Arial" w:eastAsia="Arial" w:hAnsi="Arial"/>
                <w:sz w:val="18"/>
                <w:szCs w:val="18"/>
                <w:color w:val="auto"/>
              </w:rPr>
              <w:t>Agency mortgage-backed securities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84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Other investments measured at net asset value</w:t>
            </w:r>
            <w:r>
              <w:rPr>
                <w:rFonts w:ascii="Arial" w:cs="Arial" w:eastAsia="Arial" w:hAnsi="Arial"/>
                <w:sz w:val="29"/>
                <w:szCs w:val="29"/>
                <w:color w:val="auto"/>
                <w:vertAlign w:val="superscript"/>
              </w:rPr>
              <w:t>(1)</w:t>
            </w: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Other assets – interest rate caps</w:t>
            </w: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Liabilities</w:t>
            </w:r>
          </w:p>
        </w:tc>
        <w:tc>
          <w:tcPr>
            <w:tcW w:w="4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Other liabilities – interest rate swap</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1,355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980" w:right="260" w:hanging="486"/>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 have not been classified in the fair value hierarchy. The fair value amount presented in the table are intended to permit reconciliation of the fair value amount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December 31, 2017</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r>
      <w:tr>
        <w:trPr>
          <w:trHeight w:val="459"/>
        </w:trPr>
        <w:tc>
          <w:tcPr>
            <w:tcW w:w="46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color w:val="auto"/>
                <w:w w:val="89"/>
              </w:rPr>
              <w:t>June 30, 2017</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2</w:t>
            </w:r>
          </w:p>
        </w:tc>
        <w:tc>
          <w:tcPr>
            <w:tcW w:w="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r>
      <w:tr>
        <w:trPr>
          <w:trHeight w:val="210"/>
        </w:trPr>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left="3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1,011</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8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quantitative information about significant unobservable inputs (Level 3) for assets measured at fair value on a nonrecurring basis at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Fair Value</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195"/>
        </w:trPr>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95"/>
              </w:rPr>
              <w:t>June 30,</w:t>
            </w:r>
          </w:p>
        </w:tc>
        <w:tc>
          <w:tcPr>
            <w:tcW w:w="12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230"/>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Valuation Technique</w:t>
            </w:r>
          </w:p>
        </w:tc>
      </w:tr>
      <w:tr>
        <w:trPr>
          <w:trHeight w:val="210"/>
        </w:trPr>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gridSpan w:val="6"/>
          </w:tcPr>
          <w:p>
            <w:pPr>
              <w:jc w:val="right"/>
              <w:ind w:right="920"/>
              <w:spacing w:after="0"/>
              <w:rPr>
                <w:sz w:val="20"/>
                <w:szCs w:val="20"/>
                <w:color w:val="auto"/>
              </w:rPr>
            </w:pPr>
            <w:r>
              <w:rPr>
                <w:rFonts w:ascii="Arial" w:cs="Arial" w:eastAsia="Arial" w:hAnsi="Arial"/>
                <w:sz w:val="18"/>
                <w:szCs w:val="18"/>
                <w:color w:val="auto"/>
              </w:rPr>
              <w:t>(Dollars in thousands)</w:t>
            </w:r>
          </w:p>
        </w:tc>
        <w:tc>
          <w:tcPr>
            <w:tcW w:w="3380" w:type="dxa"/>
            <w:vAlign w:val="bottom"/>
          </w:tcPr>
          <w:p>
            <w:pPr>
              <w:spacing w:after="0"/>
              <w:rPr>
                <w:sz w:val="18"/>
                <w:szCs w:val="18"/>
                <w:color w:val="auto"/>
              </w:rPr>
            </w:pP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1,011</w:t>
            </w:r>
          </w:p>
        </w:tc>
        <w:tc>
          <w:tcPr>
            <w:tcW w:w="33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Real estate owned and other repossessed collateral</w:t>
            </w:r>
          </w:p>
        </w:tc>
        <w:tc>
          <w:tcPr>
            <w:tcW w:w="16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3380" w:type="dxa"/>
            <w:vAlign w:val="bottom"/>
          </w:tcPr>
          <w:p>
            <w:pPr>
              <w:jc w:val="center"/>
              <w:spacing w:after="0" w:line="256" w:lineRule="exact"/>
              <w:rPr>
                <w:sz w:val="20"/>
                <w:szCs w:val="20"/>
                <w:color w:val="auto"/>
              </w:rPr>
            </w:pPr>
            <w:r>
              <w:rPr>
                <w:rFonts w:ascii="Arial" w:cs="Arial" w:eastAsia="Arial" w:hAnsi="Arial"/>
                <w:sz w:val="18"/>
                <w:szCs w:val="18"/>
                <w:color w:val="auto"/>
                <w:w w:val="90"/>
              </w:rPr>
              <w:t>Appraisal of collateral</w:t>
            </w:r>
            <w:r>
              <w:rPr>
                <w:rFonts w:ascii="Arial" w:cs="Arial" w:eastAsia="Arial" w:hAnsi="Arial"/>
                <w:sz w:val="29"/>
                <w:szCs w:val="29"/>
                <w:color w:val="auto"/>
                <w:w w:val="90"/>
                <w:vertAlign w:val="superscript"/>
              </w:rPr>
              <w:t>(1)</w:t>
            </w:r>
          </w:p>
        </w:tc>
      </w:tr>
      <w:tr>
        <w:trPr>
          <w:trHeight w:val="25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1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2,846</w:t>
            </w:r>
          </w:p>
        </w:tc>
        <w:tc>
          <w:tcPr>
            <w:tcW w:w="338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9"/>
              </w:rPr>
              <w:t>Discounted cash flow</w:t>
            </w:r>
            <w:r>
              <w:rPr>
                <w:rFonts w:ascii="Arial" w:cs="Arial" w:eastAsia="Arial" w:hAnsi="Arial"/>
                <w:sz w:val="29"/>
                <w:szCs w:val="29"/>
                <w:color w:val="auto"/>
                <w:w w:val="89"/>
                <w:vertAlign w:val="superscript"/>
              </w:rPr>
              <w:t>(2)</w:t>
            </w:r>
          </w:p>
        </w:tc>
      </w:tr>
    </w:tbl>
    <w:p>
      <w:pPr>
        <w:spacing w:after="0" w:line="202" w:lineRule="exact"/>
        <w:rPr>
          <w:sz w:val="20"/>
          <w:szCs w:val="20"/>
          <w:color w:val="auto"/>
        </w:rPr>
      </w:pPr>
    </w:p>
    <w:p>
      <w:pPr>
        <w:ind w:right="140" w:firstLine="8"/>
        <w:spacing w:after="0" w:line="271"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Fair value is generally determined through independent appraisals of the underlying collateral. The Company may also use another available source of collateral assessment to determine a reasonable estimate of the fair value of the collateral. Appraisals may be adjusted by management for qualitative factors such as economic factors and estimated liquidation expenses. The range of these possible adjustments was 5% to 81%.</w:t>
      </w:r>
    </w:p>
    <w:p>
      <w:pPr>
        <w:ind w:right="30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is determined using a discounted cash flow model. The unobservable inputs include anticipated rate of loan prepayments and discount rates. The range of prepayment assumptions used was 4.2% to 11.4%. For discount rates, the range was 9.6% to 15.8%.</w:t>
      </w:r>
    </w:p>
    <w:p>
      <w:pPr>
        <w:sectPr>
          <w:pgSz w:w="11900" w:h="16838" w:orient="portrait"/>
          <w:cols w:equalWidth="0" w:num="1">
            <w:col w:w="11420"/>
          </w:cols>
          <w:pgMar w:left="240" w:top="118"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total gains (losses) on assets measured at fair value on a non-recurring basis for the three and six months ended December 31,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00" w:type="dxa"/>
            <w:vAlign w:val="bottom"/>
            <w:gridSpan w:val="6"/>
          </w:tcPr>
          <w:p>
            <w:pPr>
              <w:jc w:val="right"/>
              <w:ind w:right="180"/>
              <w:spacing w:after="0"/>
              <w:rPr>
                <w:sz w:val="20"/>
                <w:szCs w:val="20"/>
                <w:color w:val="auto"/>
              </w:rPr>
            </w:pPr>
            <w:r>
              <w:rPr>
                <w:rFonts w:ascii="Arial" w:cs="Arial" w:eastAsia="Arial" w:hAnsi="Arial"/>
                <w:sz w:val="18"/>
                <w:szCs w:val="18"/>
                <w:color w:val="auto"/>
                <w:w w:val="91"/>
              </w:rPr>
              <w:t>Three months Ended December 31,</w:t>
            </w:r>
          </w:p>
        </w:tc>
        <w:tc>
          <w:tcPr>
            <w:tcW w:w="140" w:type="dxa"/>
            <w:vAlign w:val="bottom"/>
          </w:tcPr>
          <w:p>
            <w:pPr>
              <w:spacing w:after="0"/>
              <w:rPr>
                <w:sz w:val="20"/>
                <w:szCs w:val="20"/>
                <w:color w:val="auto"/>
              </w:rPr>
            </w:pPr>
          </w:p>
        </w:tc>
        <w:tc>
          <w:tcPr>
            <w:tcW w:w="2660" w:type="dxa"/>
            <w:vAlign w:val="bottom"/>
            <w:gridSpan w:val="6"/>
          </w:tcPr>
          <w:p>
            <w:pPr>
              <w:jc w:val="right"/>
              <w:ind w:right="260"/>
              <w:spacing w:after="0"/>
              <w:rPr>
                <w:sz w:val="20"/>
                <w:szCs w:val="20"/>
                <w:color w:val="auto"/>
              </w:rPr>
            </w:pPr>
            <w:r>
              <w:rPr>
                <w:rFonts w:ascii="Arial" w:cs="Arial" w:eastAsia="Arial" w:hAnsi="Arial"/>
                <w:sz w:val="18"/>
                <w:szCs w:val="18"/>
                <w:color w:val="auto"/>
                <w:w w:val="90"/>
              </w:rPr>
              <w:t>Six months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440" w:type="dxa"/>
            <w:vAlign w:val="bottom"/>
            <w:gridSpan w:val="3"/>
          </w:tcPr>
          <w:p>
            <w:pPr>
              <w:jc w:val="right"/>
              <w:ind w:right="750"/>
              <w:spacing w:after="0"/>
              <w:rPr>
                <w:sz w:val="20"/>
                <w:szCs w:val="20"/>
                <w:color w:val="auto"/>
              </w:rPr>
            </w:pPr>
            <w:r>
              <w:rPr>
                <w:rFonts w:ascii="Arial" w:cs="Arial" w:eastAsia="Arial" w:hAnsi="Arial"/>
                <w:sz w:val="16"/>
                <w:szCs w:val="16"/>
                <w:color w:val="auto"/>
                <w:w w:val="73"/>
              </w:rPr>
              <w:t>thousands)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5"/>
              </w:rPr>
              <w:t>Real estate owned and other repossessed collateral</w:t>
            </w:r>
          </w:p>
        </w:tc>
        <w:tc>
          <w:tcPr>
            <w:tcW w:w="8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Loan servicing rights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estimated fair value of the Company's financial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11"/>
          </w:tcPr>
          <w:p>
            <w:pPr>
              <w:ind w:left="580"/>
              <w:spacing w:after="0"/>
              <w:rPr>
                <w:sz w:val="20"/>
                <w:szCs w:val="20"/>
                <w:color w:val="auto"/>
              </w:rPr>
            </w:pPr>
            <w:r>
              <w:rPr>
                <w:rFonts w:ascii="Arial" w:cs="Arial" w:eastAsia="Arial" w:hAnsi="Arial"/>
                <w:sz w:val="18"/>
                <w:szCs w:val="18"/>
                <w:color w:val="auto"/>
              </w:rPr>
              <w:t>Fair Value Measurements at 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74"/>
              </w:rPr>
              <w:t>(Dollars 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128,223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128,223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128,223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85,672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85,672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line="256" w:lineRule="exact"/>
              <w:rPr>
                <w:sz w:val="20"/>
                <w:szCs w:val="20"/>
                <w:color w:val="auto"/>
              </w:rPr>
            </w:pPr>
            <w:r>
              <w:rPr>
                <w:rFonts w:ascii="Arial" w:cs="Arial" w:eastAsia="Arial" w:hAnsi="Arial"/>
                <w:sz w:val="18"/>
                <w:szCs w:val="18"/>
                <w:color w:val="auto"/>
                <w:w w:val="91"/>
              </w:rPr>
              <w:t>Other investments measured at net asset value</w:t>
            </w:r>
            <w:r>
              <w:rPr>
                <w:rFonts w:ascii="Arial" w:cs="Arial" w:eastAsia="Arial" w:hAnsi="Arial"/>
                <w:sz w:val="29"/>
                <w:szCs w:val="29"/>
                <w:color w:val="auto"/>
                <w:w w:val="91"/>
                <w:vertAlign w:val="superscript"/>
              </w:rPr>
              <w:t>(1)</w:t>
            </w: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6,667</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6,333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6,333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769,835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773,755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2,245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2,245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848,654</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848,766</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848,766</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768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25,291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right"/>
              <w:ind w:right="25"/>
              <w:spacing w:after="0"/>
              <w:rPr>
                <w:sz w:val="20"/>
                <w:szCs w:val="20"/>
                <w:color w:val="auto"/>
              </w:rPr>
            </w:pPr>
            <w:r>
              <w:rPr>
                <w:rFonts w:ascii="Arial" w:cs="Arial" w:eastAsia="Arial" w:hAnsi="Arial"/>
                <w:sz w:val="18"/>
                <w:szCs w:val="18"/>
                <w:color w:val="auto"/>
              </w:rPr>
              <w:t>Fair Value Measurements at June 30, 2017</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74"/>
              </w:rPr>
              <w:t>(Dollars in thousands)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Financial assets:</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163,283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163,283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163,283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90,071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90,071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00" w:type="dxa"/>
            <w:vAlign w:val="bottom"/>
            <w:gridSpan w:val="3"/>
          </w:tcPr>
          <w:p>
            <w:pPr>
              <w:spacing w:after="0" w:line="256" w:lineRule="exact"/>
              <w:rPr>
                <w:sz w:val="20"/>
                <w:szCs w:val="20"/>
                <w:color w:val="auto"/>
              </w:rPr>
            </w:pPr>
            <w:r>
              <w:rPr>
                <w:rFonts w:ascii="Arial" w:cs="Arial" w:eastAsia="Arial" w:hAnsi="Arial"/>
                <w:sz w:val="18"/>
                <w:szCs w:val="18"/>
                <w:color w:val="auto"/>
                <w:w w:val="91"/>
              </w:rPr>
              <w:t>Other investments measured at net asset value</w:t>
            </w:r>
            <w:r>
              <w:rPr>
                <w:rFonts w:ascii="Arial" w:cs="Arial" w:eastAsia="Arial" w:hAnsi="Arial"/>
                <w:sz w:val="29"/>
                <w:szCs w:val="29"/>
                <w:color w:val="auto"/>
                <w:w w:val="91"/>
                <w:vertAlign w:val="superscript"/>
              </w:rPr>
              <w:t>(1)</w:t>
            </w:r>
          </w:p>
        </w:tc>
        <w:tc>
          <w:tcPr>
            <w:tcW w:w="1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6,622</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stock</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1,938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4,699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4,699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775,530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776,579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Financial liabilities: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Deposits</w:t>
            </w:r>
          </w:p>
        </w:tc>
        <w:tc>
          <w:tcPr>
            <w:tcW w:w="2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889,850</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889,877</w:t>
            </w: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889,877</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20,057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25,677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80" w:hanging="486"/>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ASU 820-10, certain investments that are measured at fair value using the net asset value per share (or its equivalent) as a practical expedienthave not been classified in the fair value hierarchy. The fair value amount presented in the table are intended to permit reconciliation of the fair value amount to the consolidated financial statements.</w:t>
      </w:r>
    </w:p>
    <w:p>
      <w:pPr>
        <w:sectPr>
          <w:pgSz w:w="11900" w:h="16838" w:orient="portrait"/>
          <w:cols w:equalWidth="0" w:num="1">
            <w:col w:w="11160"/>
          </w:cols>
          <w:pgMar w:left="240" w:top="118" w:right="499" w:bottom="1440" w:gutter="0" w:footer="0" w:header="0"/>
        </w:sectPr>
      </w:pPr>
    </w:p>
    <w:p>
      <w:pPr>
        <w:spacing w:after="0" w:line="18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notes and tables included in Northeast Bancorp’s Annual Report on Form 10-K for the fiscal year ended June 30, 2017, filed with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Note about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certain “forward-looking statements” within the meaning of Section 27A of the Securities Act of 1933, as amended and Section 21E of the Securities Exchange Act of 1934, as amended, such as statements relating to Northeast Bancorp’s financial condition, prospective results of operations, future performance or expectations, plans, objectives, prospects, loan loss allowance adequacy, simulation of changes in interest rates, capital spending and finance sources and revenue sources. These statements relate to expectations concerning matters that are not historical facts. Accordingly, statements that are based on management’s projections, estimates, assumptions, and judgments constitute forward-looking statements. These forward-looking statements, which are based on various assumptions (some of which are beyond the Company’s control), may be identified by reference to a future period or periods, or by the use of forward-looking terminology such as “believe”, “expect”, “estimate”, “anticipate”, “continue”, “plan”, “approximately”, “intend”, “objective”, “goal”, “project”, or other similar terms or variations on those terms, or the future or conditional verbs such as “will”, “may”, “should”, “could”, and “would”. Although the Company believes that these forward-looking statements are based on reasonable estimates and assumptions, they are not guarantees of future performance and are subject to known and unknown risks, uncertainties, contingencies, and other factors. Accordingly, the Company cannot give you any assurance that its expectations will, in fact, occur or that its estimates or assumptions will be correct. The Company cautions you that actual results could differ materially from those expressed or implied by such forward-looking statements as a result of, among other factors, changes in interest rates and real estate values; competitive pressures from other financial institutions; weakness in general economic conditions on a national basis or in the local markets in which the Company operates, including changes which adversely affect borrowers’ ability to service and repay the Company’s loans; changes in loan defaults and charge-off rates; changes in the value of securities and other assets, adequacy of loan loss reserves, or deposit levels necessitating increased borrowing to fund loans and investments; changes in government regulation; operational risks including, but not limited to, cybersecurity breaches, fraud and natural disasters; the risk that the Company may not be successful in the implementation of its business strategy; the risk that intangibles recorded in the Company’s financial statements will become impaired; changes in assumptions used in making such forward-looking statements; and the other risks and uncertainties detailed in the Company’s Annual Report on Form 10-K for the fiscal year ended June 30, 2017 as updated in the Company’s Quarterly Reports on Form 10-Q and other filings submitted to the Securities and Exchange Commission. These forward-looking statements speak only as of the date of this report and the Company does not undertake any obligation to update or revise any of these forward-looking statements to reflect events or circumstances occurring after the date of this report or to reflect the occurrence of unanticipated events.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Overview</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Northeast Bancorp (“we,” “our,” “us,” “Northeast” or the “Company”), incorporated under Maine law in 1987, is a bank holding company registered with the Board of Governors of the Federal Reserve System (the “Federal Reserve”). As a bank holding company registered under the Bank Holding Company Act of 1956, as amended (the “BHCA”), the Company is subject to regulation and supervision by the Federal Reserve. The Company’s primary subsidiary and principal asset is its wholly-owned banking subsidiary, Northeast Bank (the “Bank” or “Northeast Bank”), a Maine state-chartered bank originally organized in 1872. As a Federal Deposit Insurance Corporation (“FDIC”) insured Maine-chartered bank, the Bank is subject to regulation and supervision by the Maine Bureau of Financial Institutions (the “Bureau”) and the FDIC.</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December 29, 2010, the merger of the Company and FHB Formation LLC, a Delaware limited liability company (“FHB”), was consummated. As a result of the merger, the surviving company received a capital contribution of $16.2 million (in addition to the approximately $13.1 million in cash consideration paid to former shareholders), and the former members of FHB collectively acquired approximately 60% of the Company’s outstanding common stock. The Company applied the acquisition method of accounting, as described in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to the merger, which represents an acquisition by FHB of Northeast, with Northeast as the surviving company.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transaction, as part of the regulatory approval process, the Company and the Bank made certain commitments to the Federal Reserve, the most significant of which are (i) to maintain a Tier 1 leverage ratio of at least 10%, (ii) to maintain a total risk-based capital ratio of at least 15%, (iii) to limit purchased loans to 40% of total loans, (iv) to fund 100% of the Company’s loans with core deposits (defined as non-maturity deposits and non-brokered insured time deposits), and (v) to hold commercial real estate loans (including owner-occupied commercial real estate) to within 300% of total risk-based capital. On June 28, 2013, the Federal Reserve approved the amendment to exclude owner-occupied commercial real estate loans from the commitment to hold commercial real estate loans to within 300% of total risk-based capital. All other commitments made to the Federal Reserve in connection with the merger remain unchanged. The Company and the Bank are currently in compliance with all commitments to the Federal Reserve. The Company’s compliance ratios at December 31, 2017 follow: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266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Ratios as of December 31,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 Tier 1 leverage capital ratio</w:t>
            </w:r>
          </w:p>
        </w:tc>
        <w:tc>
          <w:tcPr>
            <w:tcW w:w="10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(ii) Total capital ratio</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(iii) Ratio of purchased loans to total loans, including loans held for sale</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(iv) Ratio of loans to core deposits (1)</w:t>
            </w: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 Ratio of non-owner occupied commercial real estate loans to total capital (2)</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deposits include all non-maturity deposits and non-brokered insured time deposits.</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calculating this ratio, commercial real estate includes all non-owner occupied commercial real estate loans defined as such by regulatory guidance, including all land development and construction loans.</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December 31, 2017, the Company, on a consolidated basis, had total assets of $1.0 billion, total deposits of $848.7 million, and shareholders’ equity of $130.0 million. The Company gathers retail deposits through its banking offices in Maine and the Bank's online affinity deposit program, ableBanking; originates loans through the Bank’s Community Banking Division; originates Small Business Administration (“SBA”) and United States Department of Agriculture (“USDA”) loans through the Bank’s national SBA group (“SBA Division”); and purchases and originates commercial loans through the Bank’s Loan Acquisition and Servicing Group (“LASG”). The Community Banking Division, with ten full-service branches and two loan production offices, operates from the Bank’s headquarters in Lewiston, Maine. LASG, ableBanking, and the SBA Division operate from the Company's offices in Boston, Massachusetts.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references herein to the Company include the Company and its subsidiary on a consolidated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goal is to prudently grow its franchise, while maintaining sound operations and risk management, by means of the following strategies: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Continuing to grow the LASG’s national originated and purchased loan business. </w:t>
      </w:r>
      <w:r>
        <w:rPr>
          <w:rFonts w:ascii="Arial" w:cs="Arial" w:eastAsia="Arial" w:hAnsi="Arial"/>
          <w:sz w:val="18"/>
          <w:szCs w:val="18"/>
          <w:color w:val="auto"/>
        </w:rPr>
        <w:t>We purchase commercial real estate loans nationally, at prices that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have produced yields significantly higher than those available on our originated loan portfolio. We also originate loans nationally, taking advantage of our core expertise in underwriting and servicing national credits.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Growing our national SBA origination business. </w:t>
      </w:r>
      <w:r>
        <w:rPr>
          <w:rFonts w:ascii="Arial" w:cs="Arial" w:eastAsia="Arial" w:hAnsi="Arial"/>
          <w:sz w:val="18"/>
          <w:szCs w:val="18"/>
          <w:color w:val="auto"/>
        </w:rPr>
        <w:t>We originate loans on a national basis to small businesses, primarily through the SBA 7(a) program,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partial guarantee of the SBA.</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 xml:space="preserve">Continuing our community banking tradition. </w:t>
      </w:r>
      <w:r>
        <w:rPr>
          <w:rFonts w:ascii="Arial" w:cs="Arial" w:eastAsia="Arial" w:hAnsi="Arial"/>
          <w:sz w:val="17"/>
          <w:szCs w:val="17"/>
          <w:color w:val="auto"/>
        </w:rPr>
        <w:t>With a history that dates to 1872, our Community Banking Division maintains its focus on sales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goal of attracting and retaining deposits, and serving the lending needs of retail and commercial customers within our core markets.</w:t>
      </w:r>
    </w:p>
    <w:p>
      <w:pPr>
        <w:spacing w:after="0" w:line="14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i w:val="1"/>
          <w:iCs w:val="1"/>
          <w:color w:val="auto"/>
        </w:rPr>
        <w:t xml:space="preserve">Generating deposits to fund our business. </w:t>
      </w:r>
      <w:r>
        <w:rPr>
          <w:rFonts w:ascii="Arial" w:cs="Arial" w:eastAsia="Arial" w:hAnsi="Arial"/>
          <w:sz w:val="16"/>
          <w:szCs w:val="16"/>
          <w:color w:val="auto"/>
        </w:rPr>
        <w:t>We offer a full line of deposit products through our ten-branch network located in the Community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Division’s market. ableBanking is a direct savings platform providing an additional channel to raise core deposits to fund our asset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Critical accounting policies are those that involve significant judgments and assessments by management, and which could potentially result in materially different results under different assumptions and conditions. The reader is encouraged to review each of the policies included in Form 10-K for the year ended June 30, 2017 to gain a better understanding of how Northeast’s financial performance is measured and reported. There has been no material change in critical accounting policies during the three and six months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income totaled $3.3 million for the quarter ended December 31, 2017, an increase of $204 thousand, or 6.6%, from net income of $3.1 million for the quarter ended December 31, 2016.</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$624 thousand for the quarter ended December 31, 2017, compared to the quarter ended December 31, 2016. The increase is primarily due to higher average balances in the total loan portfolio. This increase was partially offset by higher funding costs and higher average deposit balances.</w:t>
      </w:r>
    </w:p>
    <w:p>
      <w:pPr>
        <w:spacing w:after="0" w:line="18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Noninterest income decreased by $1.5 million for the quarter ended December 31, 2017, compared to the quarter ended December 31, 2016, principally due to the following:</w:t>
      </w:r>
    </w:p>
    <w:p>
      <w:pPr>
        <w:spacing w:after="0" w:line="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gain on sale of SBA loans of $1.4 million, due to a lower amount of SBA loans sold in the quarter;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decrease in gain on sale of residential loans held for sale of $82 thousand, due to lower volume of residential loans sold in the quarter.</w:t>
      </w:r>
    </w:p>
    <w:p>
      <w:pPr>
        <w:sectPr>
          <w:pgSz w:w="11900" w:h="16838" w:orient="portrait"/>
          <w:cols w:equalWidth="0" w:num="1">
            <w:col w:w="11420"/>
          </w:cols>
          <w:pgMar w:left="240" w:top="118" w:right="239" w:bottom="798"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798" w:gutter="0" w:footer="0" w:header="0"/>
          <w:type w:val="continuous"/>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Noninterest expense decreased by $393 thousand for the quarter ended December 31, 2017, compared to the quarter ended December 31, 2016, primarily due to the following:</w:t>
      </w:r>
    </w:p>
    <w:p>
      <w:pPr>
        <w:spacing w:after="0" w:line="1" w:lineRule="exact"/>
        <w:rPr>
          <w:sz w:val="20"/>
          <w:szCs w:val="20"/>
          <w:color w:val="auto"/>
        </w:rPr>
      </w:pPr>
    </w:p>
    <w:p>
      <w:pPr>
        <w:ind w:left="980" w:right="64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other noninterest expense of $395 thousand, primarily due to a $330 thousand decrease in expense related to the quarterly valuation of SBA servicing rights; and</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loan expense of $179 thousand, largely driven by lower expense related to loan acquisition and refinance activity.</w:t>
      </w:r>
    </w:p>
    <w:p>
      <w:pPr>
        <w:spacing w:after="0" w:line="9" w:lineRule="exact"/>
        <w:rPr>
          <w:rFonts w:ascii="Arial" w:cs="Arial" w:eastAsia="Arial" w:hAnsi="Arial"/>
          <w:sz w:val="18"/>
          <w:szCs w:val="18"/>
          <w:color w:val="auto"/>
        </w:rPr>
      </w:pPr>
    </w:p>
    <w:p>
      <w:pPr>
        <w:ind w:left="980" w:right="24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decreases in noninterest expense were partially offset by an increase in data processing fees of $214 thousand, primarily due to increased costs associated with outsourcing of data processing.</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Income tax expense decreased by $458 thousand for the quarter ended December 31, 2017, compared to the quarter ended December 31, 2016, primarily due to the following:</w:t>
      </w:r>
    </w:p>
    <w:p>
      <w:pPr>
        <w:spacing w:after="0" w:line="1" w:lineRule="exact"/>
        <w:rPr>
          <w:sz w:val="20"/>
          <w:szCs w:val="20"/>
          <w:color w:val="auto"/>
        </w:rPr>
      </w:pPr>
    </w:p>
    <w:p>
      <w:pPr>
        <w:ind w:left="980" w:right="1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federal corporate income tax rate as a result of the Tax Cuts and Jobs Act signed into law on December 22, 2017, which resulted in a $762 thousand decrease in federal income tax expense. Of this total, $328 thousand was related to the decrease in the federal corporate income tax rate for the three months ended December 31, 2017 and $434 thousand was related to income tax expense previously recorded in the three months ended September 30, 2017, to arrive at the required blended federal corporate income tax rate of 28.0% for fiscal year 2018; and</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decrease in income tax expense as a result of a $279 thousand income tax benefit arising from the treatment of stock options exercised or vested restricted stock awards under ASU 2016-09, </w:t>
      </w:r>
      <w:r>
        <w:rPr>
          <w:rFonts w:ascii="Arial" w:cs="Arial" w:eastAsia="Arial" w:hAnsi="Arial"/>
          <w:sz w:val="18"/>
          <w:szCs w:val="18"/>
          <w:i w:val="1"/>
          <w:iCs w:val="1"/>
          <w:color w:val="auto"/>
        </w:rPr>
        <w:t>Compensation—Stock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whereby the tax effects of exercised options or vested awards are treated as a discrete item in the reporting period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occur.</w:t>
      </w:r>
    </w:p>
    <w:p>
      <w:pPr>
        <w:spacing w:after="0" w:line="1" w:lineRule="exact"/>
        <w:rPr>
          <w:rFonts w:ascii="Arial" w:cs="Arial" w:eastAsia="Arial" w:hAnsi="Arial"/>
          <w:sz w:val="18"/>
          <w:szCs w:val="18"/>
          <w:color w:val="auto"/>
        </w:rPr>
      </w:pPr>
    </w:p>
    <w:p>
      <w:pPr>
        <w:ind w:left="980" w:right="440" w:hanging="324"/>
        <w:spacing w:after="0" w:line="25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decreases in income tax expense were partially offset by the impact of revaluing the deferred tax asset as a result of the change in the federal corporate income tax rate as well as the recording of current year changes in the deferred tax asset, which resulted in an increase in income tax expense of $498 thousand.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2017, total assets were $1.0 billion, a decrease of $42.4 million, or 3.9%, from total assets of $1.1 billion as of June 30, 2017. The principal components of the change in the balance sheet follow: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highlights the changes in the loan portfolio for the three and six months ended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8"/>
                <w:szCs w:val="18"/>
                <w:color w:val="auto"/>
                <w:w w:val="91"/>
              </w:rPr>
              <w:t>Loan Portfolio Changes</w:t>
            </w:r>
          </w:p>
        </w:tc>
        <w:tc>
          <w:tcPr>
            <w:tcW w:w="1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color w:val="auto"/>
                <w:w w:val="89"/>
              </w:rPr>
              <w:t>Three Months Ended December 31, 2017</w:t>
            </w:r>
          </w:p>
        </w:tc>
        <w:tc>
          <w:tcPr>
            <w:tcW w:w="1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ind w:left="40"/>
              <w:spacing w:after="0" w:line="195" w:lineRule="exact"/>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2017 Balance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2017 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Change ($)</w:t>
            </w:r>
          </w:p>
        </w:tc>
        <w:tc>
          <w:tcPr>
            <w:tcW w:w="180" w:type="dxa"/>
            <w:vAlign w:val="bottom"/>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 (%)</w:t>
            </w:r>
          </w:p>
        </w:tc>
        <w:tc>
          <w:tcPr>
            <w:tcW w:w="18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244,177</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14,163</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LASG Originated</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340,756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6,118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Community Banking</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140,944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(6,914)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r>
      <w:tr>
        <w:trPr>
          <w:trHeight w:val="20"/>
        </w:trPr>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774,190</w:t>
            </w:r>
          </w:p>
        </w:tc>
        <w:tc>
          <w:tcPr>
            <w:tcW w:w="1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759,584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w w:val="96"/>
              </w:rPr>
              <w:t>Six Months Ended December 31, 2017</w:t>
            </w:r>
          </w:p>
        </w:tc>
        <w:tc>
          <w:tcPr>
            <w:tcW w:w="1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ind w:left="40"/>
              <w:spacing w:after="0" w:line="195" w:lineRule="exact"/>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87"/>
              </w:rPr>
              <w:t>June 30, 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0"/>
        </w:trPr>
        <w:tc>
          <w:tcPr>
            <w:tcW w:w="4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2017 Balance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7"/>
              </w:rPr>
              <w:t>Change ($)</w:t>
            </w:r>
          </w:p>
        </w:tc>
        <w:tc>
          <w:tcPr>
            <w:tcW w:w="180" w:type="dxa"/>
            <w:vAlign w:val="bottom"/>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Change (%)</w:t>
            </w:r>
          </w:p>
        </w:tc>
        <w:tc>
          <w:tcPr>
            <w:tcW w:w="18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jc w:val="center"/>
              <w:ind w:right="300"/>
              <w:spacing w:after="0"/>
              <w:rPr>
                <w:sz w:val="20"/>
                <w:szCs w:val="20"/>
                <w:color w:val="auto"/>
              </w:rPr>
            </w:pPr>
            <w:r>
              <w:rPr>
                <w:rFonts w:ascii="Arial" w:cs="Arial" w:eastAsia="Arial" w:hAnsi="Arial"/>
                <w:sz w:val="18"/>
                <w:szCs w:val="18"/>
                <w:color w:val="auto"/>
                <w:w w:val="91"/>
              </w:rPr>
              <w:t>(Dollars in thousands)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LASG Purchased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244,177</w:t>
            </w:r>
          </w:p>
        </w:tc>
        <w:tc>
          <w:tcPr>
            <w:tcW w:w="30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(2,211)</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LASG Originated</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330,515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16,359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Community Banking</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149,327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(15,297)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-10.24%</w:t>
            </w:r>
          </w:p>
        </w:tc>
      </w:tr>
      <w:tr>
        <w:trPr>
          <w:trHeight w:val="20"/>
        </w:trPr>
        <w:tc>
          <w:tcPr>
            <w:tcW w:w="4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774,190</w:t>
            </w:r>
          </w:p>
        </w:tc>
        <w:tc>
          <w:tcPr>
            <w:tcW w:w="18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779,195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Loans generated by the LASG for the quarter ended December 31, 2017 totaled $79.1 million, which consisted of $34.8 million of purchased loans, at an average price of 91.1% of unpaid principal balance, and $44.3 million of originated loans. The SBA Division closed and funded $4.5 million of new loans during the quarter ended December 31, 2017. In addition, the Company sold $3.4 million of the guaranteed portion of SBA loans in the secondary market, of which $1.6 million were originated in the current quarter and $1.8 million were originated in prior quarters. Residential loan production sold in the secondary market totaled $17.6 million for the quarter.</w:t>
      </w:r>
    </w:p>
    <w:p>
      <w:pPr>
        <w:sectPr>
          <w:pgSz w:w="11900" w:h="16838" w:orient="portrait"/>
          <w:cols w:equalWidth="0" w:num="1">
            <w:col w:w="11400"/>
          </w:cols>
          <w:pgMar w:left="240" w:top="118" w:right="25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noted above in the “</w:t>
      </w:r>
      <w:r>
        <w:rPr>
          <w:rFonts w:ascii="Arial" w:cs="Arial" w:eastAsia="Arial" w:hAnsi="Arial"/>
          <w:sz w:val="16"/>
          <w:szCs w:val="16"/>
          <w:i w:val="1"/>
          <w:iCs w:val="1"/>
          <w:color w:val="auto"/>
        </w:rPr>
        <w:t>Business Overview</w:t>
      </w:r>
      <w:r>
        <w:rPr>
          <w:rFonts w:ascii="Arial" w:cs="Arial" w:eastAsia="Arial" w:hAnsi="Arial"/>
          <w:sz w:val="16"/>
          <w:szCs w:val="16"/>
          <w:color w:val="auto"/>
        </w:rPr>
        <w:t>” section, the Company made certain commitments to the Federal Reserve in connection with the merger of FHB with and into the Company in December 2010. The Company’s loan purchase and commercial real estate loan availability under these conditions follow.</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Basis for</w:t>
            </w:r>
          </w:p>
        </w:tc>
        <w:tc>
          <w:tcPr>
            <w:tcW w:w="16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Availability at</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Regulatory Condition</w:t>
            </w:r>
          </w:p>
        </w:tc>
        <w:tc>
          <w:tcPr>
            <w:tcW w:w="16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Condition</w:t>
            </w:r>
          </w:p>
        </w:tc>
        <w:tc>
          <w:tcPr>
            <w:tcW w:w="100" w:type="dxa"/>
            <w:vAlign w:val="bottom"/>
          </w:tcPr>
          <w:p>
            <w:pPr>
              <w:spacing w:after="0"/>
              <w:rPr>
                <w:sz w:val="20"/>
                <w:szCs w:val="20"/>
                <w:color w:val="auto"/>
              </w:rPr>
            </w:pPr>
          </w:p>
        </w:tc>
        <w:tc>
          <w:tcPr>
            <w:tcW w:w="162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31, 2017</w:t>
            </w:r>
          </w:p>
        </w:tc>
      </w:tr>
      <w:tr>
        <w:trPr>
          <w:trHeight w:val="210"/>
        </w:trPr>
        <w:tc>
          <w:tcPr>
            <w:tcW w:w="1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 may not exceed 40% of total loans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Regulatory Capital</w:t>
            </w:r>
          </w:p>
        </w:tc>
        <w:tc>
          <w:tcPr>
            <w:tcW w:w="16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Non-owner occupied commercial real estate loans may not exceed 300% of total capital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the Bank’s LASG portfolio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color w:val="auto"/>
                <w:w w:val="97"/>
              </w:rPr>
              <w:t>LASG Portfolio</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color w:val="auto"/>
                <w:w w:val="90"/>
              </w:rPr>
              <w:t>Three Months Ended December 31,</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w w:val="94"/>
              </w:rPr>
              <w:t>2016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center"/>
              <w:ind w:right="550"/>
              <w:spacing w:after="0"/>
              <w:rPr>
                <w:sz w:val="20"/>
                <w:szCs w:val="20"/>
                <w:color w:val="auto"/>
              </w:rPr>
            </w:pPr>
            <w:r>
              <w:rPr>
                <w:rFonts w:ascii="Arial" w:cs="Arial" w:eastAsia="Arial" w:hAnsi="Arial"/>
                <w:sz w:val="18"/>
                <w:szCs w:val="18"/>
                <w:color w:val="auto"/>
                <w:w w:val="92"/>
              </w:rPr>
              <w:t>to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93"/>
              </w:rPr>
              <w:t>to 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Broker-Dealers</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2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0"/>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0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4"/>
              </w:rPr>
              <w:t>thousands)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originated during the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160"/>
              <w:spacing w:after="0" w:line="201" w:lineRule="exact"/>
              <w:rPr>
                <w:sz w:val="20"/>
                <w:szCs w:val="20"/>
                <w:color w:val="auto"/>
              </w:rPr>
            </w:pPr>
            <w:r>
              <w:rPr>
                <w:rFonts w:ascii="Arial" w:cs="Arial" w:eastAsia="Arial" w:hAnsi="Arial"/>
                <w:sz w:val="18"/>
                <w:szCs w:val="18"/>
                <w:color w:val="auto"/>
              </w:rPr>
              <w:t>Unpaid principal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38,205</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44,285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82,490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51,112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45,647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34,802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44,285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79,087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46,033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45,647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Loan returns during the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Total Return (2)</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6.49%</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ind w:left="650"/>
              <w:spacing w:after="0"/>
              <w:rPr>
                <w:sz w:val="20"/>
                <w:szCs w:val="20"/>
                <w:color w:val="auto"/>
              </w:rPr>
            </w:pPr>
            <w:r>
              <w:rPr>
                <w:rFonts w:ascii="Arial" w:cs="Arial" w:eastAsia="Arial" w:hAnsi="Arial"/>
                <w:sz w:val="18"/>
                <w:szCs w:val="18"/>
                <w:color w:val="auto"/>
                <w:w w:val="90"/>
              </w:rPr>
              <w:t>Six Months Ended December 31,</w:t>
            </w: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w w:val="94"/>
              </w:rPr>
              <w:t>2016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0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87"/>
              </w:rPr>
              <w:t>Secured Loans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center"/>
              <w:ind w:right="550"/>
              <w:spacing w:after="0"/>
              <w:rPr>
                <w:sz w:val="20"/>
                <w:szCs w:val="20"/>
                <w:color w:val="auto"/>
              </w:rPr>
            </w:pPr>
            <w:r>
              <w:rPr>
                <w:rFonts w:ascii="Arial" w:cs="Arial" w:eastAsia="Arial" w:hAnsi="Arial"/>
                <w:sz w:val="18"/>
                <w:szCs w:val="18"/>
                <w:color w:val="auto"/>
                <w:w w:val="92"/>
              </w:rPr>
              <w:t>to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290"/>
              <w:spacing w:after="0"/>
              <w:rPr>
                <w:sz w:val="20"/>
                <w:szCs w:val="20"/>
                <w:color w:val="auto"/>
              </w:rPr>
            </w:pPr>
            <w:r>
              <w:rPr>
                <w:rFonts w:ascii="Arial" w:cs="Arial" w:eastAsia="Arial" w:hAnsi="Arial"/>
                <w:sz w:val="18"/>
                <w:szCs w:val="18"/>
                <w:color w:val="auto"/>
                <w:w w:val="93"/>
              </w:rPr>
              <w:t>to Broker-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Purchased</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Broker-Dealers</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Originated</w:t>
            </w:r>
          </w:p>
        </w:tc>
        <w:tc>
          <w:tcPr>
            <w:tcW w:w="2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0"/>
              </w:rPr>
              <w:t>Dealers</w:t>
            </w:r>
          </w:p>
        </w:tc>
        <w:tc>
          <w:tcPr>
            <w:tcW w:w="1120" w:type="dxa"/>
            <w:vAlign w:val="bottom"/>
            <w:gridSpan w:val="3"/>
          </w:tcPr>
          <w:p>
            <w:pPr>
              <w:ind w:left="80"/>
              <w:spacing w:after="0"/>
              <w:rPr>
                <w:sz w:val="20"/>
                <w:szCs w:val="20"/>
                <w:color w:val="auto"/>
              </w:rPr>
            </w:pPr>
            <w:r>
              <w:rPr>
                <w:rFonts w:ascii="Arial" w:cs="Arial" w:eastAsia="Arial" w:hAnsi="Arial"/>
                <w:sz w:val="18"/>
                <w:szCs w:val="18"/>
                <w:color w:val="auto"/>
              </w:rPr>
              <w:t>Total LASG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00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4"/>
              </w:rPr>
              <w:t>thousands)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Loans purchased 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originated during the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160"/>
              <w:spacing w:after="0" w:line="201" w:lineRule="exact"/>
              <w:rPr>
                <w:sz w:val="20"/>
                <w:szCs w:val="20"/>
                <w:color w:val="auto"/>
              </w:rPr>
            </w:pPr>
            <w:r>
              <w:rPr>
                <w:rFonts w:ascii="Arial" w:cs="Arial" w:eastAsia="Arial" w:hAnsi="Arial"/>
                <w:sz w:val="18"/>
                <w:szCs w:val="18"/>
                <w:color w:val="auto"/>
              </w:rPr>
              <w:t>Unpaid principal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42,523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85,064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127,587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67,903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88,025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basis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38,453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85,064</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123,517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59,886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88,025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Loan returns during the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Yield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Total Return (2)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Total loans as of period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end: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Unpaid principal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276,440</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346,874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623,314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288,455</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5"/>
              </w:rPr>
              <w:t>231,278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48,000</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Net investment basis</w:t>
            </w: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244,177</w:t>
            </w:r>
          </w:p>
        </w:tc>
        <w:tc>
          <w:tcPr>
            <w:tcW w:w="2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346,874</w:t>
            </w:r>
          </w:p>
        </w:tc>
        <w:tc>
          <w:tcPr>
            <w:tcW w:w="5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591,051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w w:val="95"/>
              </w:rPr>
              <w:t>255,048</w:t>
            </w:r>
          </w:p>
        </w:tc>
        <w:tc>
          <w:tcPr>
            <w:tcW w:w="20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231,278</w:t>
            </w:r>
          </w:p>
        </w:tc>
        <w:tc>
          <w:tcPr>
            <w:tcW w:w="2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48,000</w:t>
            </w:r>
          </w:p>
        </w:tc>
        <w:tc>
          <w:tcPr>
            <w:tcW w:w="2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534,326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Purchased loan balances include loans held for sale of $975 thousand.</w:t>
      </w:r>
    </w:p>
    <w:p>
      <w:pPr>
        <w:spacing w:after="0" w:line="23" w:lineRule="exact"/>
        <w:rPr>
          <w:rFonts w:ascii="Arial" w:cs="Arial" w:eastAsia="Arial" w:hAnsi="Arial"/>
          <w:sz w:val="18"/>
          <w:szCs w:val="18"/>
          <w:color w:val="auto"/>
        </w:rPr>
      </w:pPr>
    </w:p>
    <w:p>
      <w:pPr>
        <w:jc w:val="both"/>
        <w:ind w:firstLine="8"/>
        <w:spacing w:after="0" w:line="255"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and other noninterest income recorded during the period divided by the average invested balance, which includes loans held for sale, on an annualized basis. The total return does not include the effect of purchased loan charge-offs or recoveries in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Due from Banks, Short-Term Investments and Available-for-Sale Securities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and cash equivalents were $128.2 million as of December 31, 2017, a decrease of $35.1 million, or 21.5%, from $163.3 million at June 30, 2017. The decrease is primarily due to the decrease in deposits, offset by the decrease in loans in the period.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Available-for-sale securities totaled $92.3 million as of December 31, 2017, compared to $96.7 million as of June 30, 2017, representing a decrease of $4.4 million, or 4.5%, primarily due to principal payments on mortgage-backed securities. Included in available-for-sale securities are securities issued by government agencies and government-sponsored enterprises, as well as an investment of approximately $5.0 million in a CRA qualified fund that seeks to invest in securities either issued or guaranteed by the U.S. government or its agencies, as well as an investment of approximately $1.5 million in a CRA qualified fund that primarily invests in the federally guaranteed portion of SBA 7(a) loans. At December 31, 2017, no securities were pledged for outstanding borrowings.</w:t>
      </w:r>
    </w:p>
    <w:p>
      <w:pPr>
        <w:sectPr>
          <w:pgSz w:w="11900" w:h="16838" w:orient="portrait"/>
          <w:cols w:equalWidth="0" w:num="1">
            <w:col w:w="11420"/>
          </w:cols>
          <w:pgMar w:left="240" w:top="118" w:right="239" w:bottom="55"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5" w:gutter="0" w:footer="0" w:header="0"/>
          <w:type w:val="continuous"/>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portfolio (excluding loans held-for-sale) by lending division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color w:val="auto"/>
              </w:rPr>
              <w:t>December 31, 2017</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Community Banking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color w:val="auto"/>
              </w:rPr>
              <w:t>LASG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SBA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8"/>
              </w:rPr>
              <w:t>Division</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8"/>
              </w:rPr>
              <w:t>Division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020" w:type="dxa"/>
            <w:vAlign w:val="bottom"/>
            <w:tcBorders>
              <w:bottom w:val="single" w:sz="8" w:color="auto"/>
            </w:tcBorders>
            <w:gridSpan w:val="2"/>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00" w:type="dxa"/>
            <w:vAlign w:val="bottom"/>
            <w:gridSpan w:val="2"/>
            <w:vMerge w:val="continue"/>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jc w:val="center"/>
              <w:ind w:right="2470"/>
              <w:spacing w:after="0"/>
              <w:rPr>
                <w:sz w:val="20"/>
                <w:szCs w:val="20"/>
                <w:color w:val="auto"/>
              </w:rPr>
            </w:pPr>
            <w:r>
              <w:rPr>
                <w:rFonts w:ascii="Arial" w:cs="Arial" w:eastAsia="Arial" w:hAnsi="Arial"/>
                <w:sz w:val="18"/>
                <w:szCs w:val="18"/>
                <w:color w:val="auto"/>
                <w:w w:val="92"/>
              </w:rPr>
              <w:t>Originated loans: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73,035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7,298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80,462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20,673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102,172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139,726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115,953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11,430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159,186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177,756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jc w:val="center"/>
              <w:ind w:right="2450"/>
              <w:spacing w:after="0"/>
              <w:rPr>
                <w:sz w:val="20"/>
                <w:szCs w:val="20"/>
                <w:color w:val="auto"/>
              </w:rPr>
            </w:pPr>
            <w:r>
              <w:rPr>
                <w:rFonts w:ascii="Arial" w:cs="Arial" w:eastAsia="Arial" w:hAnsi="Arial"/>
                <w:sz w:val="18"/>
                <w:szCs w:val="18"/>
                <w:color w:val="auto"/>
                <w:w w:val="90"/>
              </w:rPr>
              <w:t>Subtotal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134,030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530,013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jc w:val="center"/>
              <w:ind w:right="2510"/>
              <w:spacing w:after="0"/>
              <w:rPr>
                <w:sz w:val="20"/>
                <w:szCs w:val="20"/>
                <w:color w:val="auto"/>
              </w:rPr>
            </w:pPr>
            <w:r>
              <w:rPr>
                <w:rFonts w:ascii="Arial" w:cs="Arial" w:eastAsia="Arial" w:hAnsi="Arial"/>
                <w:sz w:val="18"/>
                <w:szCs w:val="18"/>
                <w:color w:val="auto"/>
                <w:w w:val="87"/>
              </w:rPr>
              <w:t>Purchased loans:</w:t>
            </w: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4,723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134,486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134,486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103,789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jc w:val="center"/>
              <w:ind w:right="2450"/>
              <w:spacing w:after="0"/>
              <w:rPr>
                <w:sz w:val="20"/>
                <w:szCs w:val="20"/>
                <w:color w:val="auto"/>
              </w:rPr>
            </w:pPr>
            <w:r>
              <w:rPr>
                <w:rFonts w:ascii="Arial" w:cs="Arial" w:eastAsia="Arial" w:hAnsi="Arial"/>
                <w:sz w:val="18"/>
                <w:szCs w:val="18"/>
                <w:color w:val="auto"/>
                <w:w w:val="90"/>
              </w:rPr>
              <w:t>Subtotal</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244,177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134,030</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591,051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49,109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774,190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8"/>
                <w:szCs w:val="18"/>
                <w:color w:val="auto"/>
              </w:rPr>
              <w:t>June 30, 2017</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Community Banking</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8"/>
                <w:szCs w:val="18"/>
                <w:color w:val="auto"/>
              </w:rPr>
              <w:t>LASG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SBA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8"/>
              </w:rPr>
              <w:t>Division</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8"/>
              </w:rPr>
              <w:t>Division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gridSpan w:val="2"/>
            <w:vMerge w:val="restart"/>
          </w:tcPr>
          <w:p>
            <w:pPr>
              <w:spacing w:after="0"/>
              <w:rPr>
                <w:sz w:val="20"/>
                <w:szCs w:val="20"/>
                <w:color w:val="auto"/>
              </w:rPr>
            </w:pPr>
            <w:r>
              <w:rPr>
                <w:rFonts w:ascii="Arial" w:cs="Arial" w:eastAsia="Arial" w:hAnsi="Arial"/>
                <w:sz w:val="18"/>
                <w:szCs w:val="18"/>
                <w:color w:val="auto"/>
              </w:rPr>
              <w:t>in</w:t>
            </w:r>
          </w:p>
        </w:tc>
        <w:tc>
          <w:tcPr>
            <w:tcW w:w="1020" w:type="dxa"/>
            <w:vAlign w:val="bottom"/>
            <w:tcBorders>
              <w:bottom w:val="single" w:sz="8" w:color="auto"/>
            </w:tcBorders>
            <w:gridSpan w:val="2"/>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(Dollars</w:t>
            </w:r>
          </w:p>
        </w:tc>
        <w:tc>
          <w:tcPr>
            <w:tcW w:w="200" w:type="dxa"/>
            <w:vAlign w:val="bottom"/>
            <w:gridSpan w:val="2"/>
            <w:vMerge w:val="continue"/>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jc w:val="center"/>
              <w:ind w:right="2470"/>
              <w:spacing w:after="0"/>
              <w:rPr>
                <w:sz w:val="20"/>
                <w:szCs w:val="20"/>
                <w:color w:val="auto"/>
              </w:rPr>
            </w:pPr>
            <w:r>
              <w:rPr>
                <w:rFonts w:ascii="Arial" w:cs="Arial" w:eastAsia="Arial" w:hAnsi="Arial"/>
                <w:sz w:val="18"/>
                <w:szCs w:val="18"/>
                <w:color w:val="auto"/>
                <w:w w:val="92"/>
              </w:rPr>
              <w:t>Originated loans: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81,538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2,092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83,759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23,638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90,154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23,720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137,512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118,768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12,349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154,823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174,468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jc w:val="center"/>
              <w:ind w:right="2450"/>
              <w:spacing w:after="0"/>
              <w:rPr>
                <w:sz w:val="20"/>
                <w:szCs w:val="20"/>
                <w:color w:val="auto"/>
              </w:rPr>
            </w:pPr>
            <w:r>
              <w:rPr>
                <w:rFonts w:ascii="Arial" w:cs="Arial" w:eastAsia="Arial" w:hAnsi="Arial"/>
                <w:sz w:val="18"/>
                <w:szCs w:val="18"/>
                <w:color w:val="auto"/>
                <w:w w:val="90"/>
              </w:rPr>
              <w:t>Subtotal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149,327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52,965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532,807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jc w:val="center"/>
              <w:ind w:right="2510"/>
              <w:spacing w:after="0"/>
              <w:rPr>
                <w:sz w:val="20"/>
                <w:szCs w:val="20"/>
                <w:color w:val="auto"/>
              </w:rPr>
            </w:pPr>
            <w:r>
              <w:rPr>
                <w:rFonts w:ascii="Arial" w:cs="Arial" w:eastAsia="Arial" w:hAnsi="Arial"/>
                <w:sz w:val="18"/>
                <w:szCs w:val="18"/>
                <w:color w:val="auto"/>
                <w:w w:val="87"/>
              </w:rPr>
              <w:t>Purchased loans:</w:t>
            </w: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Residential real estate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 non-owner occupied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134,970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Commercial real estate: owner occupied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106,754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106,754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8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jc w:val="center"/>
              <w:ind w:right="2450"/>
              <w:spacing w:after="0"/>
              <w:rPr>
                <w:sz w:val="20"/>
                <w:szCs w:val="20"/>
                <w:color w:val="auto"/>
              </w:rPr>
            </w:pPr>
            <w:r>
              <w:rPr>
                <w:rFonts w:ascii="Arial" w:cs="Arial" w:eastAsia="Arial" w:hAnsi="Arial"/>
                <w:sz w:val="18"/>
                <w:szCs w:val="18"/>
                <w:color w:val="auto"/>
                <w:w w:val="90"/>
              </w:rPr>
              <w:t>Subtotal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246,388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149,327</w:t>
            </w:r>
          </w:p>
        </w:tc>
        <w:tc>
          <w:tcPr>
            <w:tcW w:w="1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576,903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52,965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779,195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Assets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Loans are classified as nonperforming when 90 or more days past due, unless a loan is well-secured and in the process of collection. Loans less than 90 days past due, for which collection of principal or interest is considered doubtful, also may be designated as nonperforming. In both situations, accrual of interest ceases. The Company typically maintains such loans as nonperforming until the respective borrowers have demonstrated a sustained period of payment performance.</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cases where a borrower experiences financial difficulties and the Company makes certain concessionary modifications, the loan is classified as a troubled debt restructuring (“TDR”). Concessionary modifications may include adjustments to interest rates, extensions of maturity, or other actions intended to minimize economic loss and avoid foreclosure or repossession of collateral. Nonaccrual loans that are restructured generally remain on nonaccrual status for a minimum period of six months to demonstrate that the borrower can meet the restructured terms. If the restructured loan is on accrual status prior to being modified, it is reviewed to determine if the modified loan should remain on accrual status. If the borrower’s ability to meet the revised payment schedule is not reasonably assured, the loan is classified as a nonaccrual loan. With limited exceptions, loans classified as TDRs remain classified as such until the loan is paid off.</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nonperforming assets include other real estate owned (“OREO”) and other personal property securing loans repossessed by the Bank. The real estate and personal property collateral for commercial and consumer loans is recorded at fair value less estimated costs to sell upon repossession. Revenues and expenses are recognized in the period when received or incurred on OREO and in-substance foreclosures. Gains and losses on disposition are recognized in noninterest income.</w:t>
      </w:r>
    </w:p>
    <w:p>
      <w:pPr>
        <w:sectPr>
          <w:pgSz w:w="11900" w:h="16838" w:orient="portrait"/>
          <w:cols w:equalWidth="0" w:num="1">
            <w:col w:w="11420"/>
          </w:cols>
          <w:pgMar w:left="240" w:top="118" w:right="239" w:bottom="595"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595" w:gutter="0" w:footer="0" w:header="0"/>
          <w:type w:val="continuous"/>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details the Company's nonperforming assets and other credit quality indicators as of December 31, 2017 and June 30, 2017. Management believes that, based on their carrying amounts, nonperforming assets are well secured based on the estimated fair value of underlying collateral.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gridSpan w:val="10"/>
          </w:tcPr>
          <w:p>
            <w:pPr>
              <w:jc w:val="center"/>
              <w:ind w:right="420"/>
              <w:spacing w:after="0"/>
              <w:rPr>
                <w:sz w:val="20"/>
                <w:szCs w:val="20"/>
                <w:color w:val="auto"/>
              </w:rPr>
            </w:pPr>
            <w:r>
              <w:rPr>
                <w:rFonts w:ascii="Arial" w:cs="Arial" w:eastAsia="Arial" w:hAnsi="Arial"/>
                <w:sz w:val="18"/>
                <w:szCs w:val="18"/>
                <w:color w:val="auto"/>
                <w:w w:val="90"/>
              </w:rPr>
              <w:t>Nonperforming Assets at 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5"/>
              </w:rPr>
              <w:t>Purchased</w:t>
            </w: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3,783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8,450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9,217</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9,784</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On 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tcPr>
          <w:p>
            <w:pPr>
              <w:jc w:val="center"/>
              <w:ind w:left="690"/>
              <w:spacing w:after="0"/>
              <w:rPr>
                <w:sz w:val="20"/>
                <w:szCs w:val="20"/>
                <w:color w:val="auto"/>
              </w:rPr>
            </w:pPr>
            <w:r>
              <w:rPr>
                <w:rFonts w:ascii="Arial" w:cs="Arial" w:eastAsia="Arial" w:hAnsi="Arial"/>
                <w:sz w:val="18"/>
                <w:szCs w:val="18"/>
                <w:color w:val="auto"/>
                <w:w w:val="90"/>
              </w:rPr>
              <w:t>Nonperforming Assets at June 30, 2017</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Originated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Purchased</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Residential real estate</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3,337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1,056</w:t>
            </w: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1"/>
              </w:rPr>
              <w:t>Real estate owned and other repossessed collateral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6,515</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8,274</w:t>
            </w: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nonperforming loans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Ratio of loans past due to total loans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Nonperforming loans that are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loans risk rated substandard or worse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accrual status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Nonaccrual status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of December 31, 2017, nonperforming assets totaled $19.0 million, or 1.84% of total assets, as compared to $14.8 million, or 1.37% of total assets, as of June 30, 2017. The increase was attributed to an increase in loans purchased that were delinquent at purchase, as well as one LASG originated relationship, which became nonperforming in the six months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application of the acquisition method of accounting for the merger on December 29, 2010, the allowance for loan losses was reduced to zero when the loan portfolio was marked to its then current fair value. Since that date, the Company has provided for an allowance for loan losses as new loans are originated or in the event that credit exposure in the pre-merger loan portfolio or other acquired loans exceeds the exposure estimated when initial fair values were determined.</w:t>
      </w:r>
    </w:p>
    <w:p>
      <w:pPr>
        <w:spacing w:after="0" w:line="18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Company’s allowance for loan losses was $4.4 million as of December 31, 2017, compared to $3.7 million as of June 30, 2017. The increase in the period is primarily the result of the effect of changes in the qualitative factors, as well as the increase in specific reserve on one loan relationship.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ratios related to the allowance for loan losses for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December 31, 2017</w:t>
            </w:r>
          </w:p>
        </w:tc>
        <w:tc>
          <w:tcPr>
            <w:tcW w:w="260" w:type="dxa"/>
            <w:vAlign w:val="bottom"/>
          </w:tcPr>
          <w:p>
            <w:pPr>
              <w:spacing w:after="0"/>
              <w:rPr>
                <w:sz w:val="20"/>
                <w:szCs w:val="20"/>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June 30, 2017</w:t>
            </w:r>
          </w:p>
        </w:tc>
        <w:tc>
          <w:tcPr>
            <w:tcW w:w="240" w:type="dxa"/>
            <w:vAlign w:val="bottom"/>
          </w:tcPr>
          <w:p>
            <w:pPr>
              <w:spacing w:after="0"/>
              <w:rPr>
                <w:sz w:val="20"/>
                <w:szCs w:val="20"/>
                <w:color w:val="auto"/>
              </w:rPr>
            </w:pPr>
          </w:p>
        </w:tc>
        <w:tc>
          <w:tcPr>
            <w:tcW w:w="19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December 31, 2016</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24.07%</w:t>
            </w:r>
          </w:p>
        </w:tc>
        <w:tc>
          <w:tcPr>
            <w:tcW w:w="196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1"/>
              </w:rPr>
              <w:t>26.25%</w:t>
            </w:r>
          </w:p>
        </w:tc>
        <w:tc>
          <w:tcPr>
            <w:tcW w:w="22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1"/>
              </w:rPr>
              <w:t>30.47%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Allowance for loan losses to total loans</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0.56%</w:t>
            </w:r>
          </w:p>
        </w:tc>
        <w:tc>
          <w:tcPr>
            <w:tcW w:w="196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0.47%</w:t>
            </w:r>
          </w:p>
        </w:tc>
        <w:tc>
          <w:tcPr>
            <w:tcW w:w="22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0.41%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Last twelve months of net-charge offs to average loans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0.04%</w:t>
            </w:r>
          </w:p>
        </w:tc>
        <w:tc>
          <w:tcPr>
            <w:tcW w:w="19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0.04%</w:t>
            </w:r>
          </w:p>
        </w:tc>
        <w:tc>
          <w:tcPr>
            <w:tcW w:w="2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0"/>
              </w:rPr>
              <w:t>0.06%</w:t>
            </w:r>
          </w:p>
        </w:tc>
      </w:tr>
    </w:tbl>
    <w:p>
      <w:pPr>
        <w:spacing w:after="0" w:line="200" w:lineRule="exact"/>
        <w:rPr>
          <w:sz w:val="20"/>
          <w:szCs w:val="20"/>
          <w:color w:val="auto"/>
        </w:rPr>
      </w:pPr>
    </w:p>
    <w:p>
      <w:pPr>
        <w:sectPr>
          <w:pgSz w:w="11900" w:h="16838" w:orient="portrait"/>
          <w:cols w:equalWidth="0" w:num="1">
            <w:col w:w="11360"/>
          </w:cols>
          <w:pgMar w:left="240" w:top="118" w:right="299" w:bottom="582"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582"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management believes that it uses the best information available to make its determinations with respect to the allowance, there can be no assurance that the Company will not have to increase its provision for loan losses in the future as a result of changing economic conditions, adverse markets for real estate or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Premises and equipment, net, increased by $124 thousand, or 1.8%, to $7.1 million at December 31, 2017, compared to $6.9 million at June 30, 2017. The increase was primarily due to fixed assets purchased during the period, offset by depreciation and amortization.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Intangible assets totaled $1.1 million and $1.3 million at December 31, 2017 and June 30, 2017, respectively. The $218 thousand decrease was the result of core deposit intangible asset amortization during the period.</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Loan servicing rights totaled $3.0 million and $2.8 million at December 31, 2017 and June 30, 2017, respectively. The $159 thousand increase was the result of SBA loans sold during the quarter and the revaluation of the servicing rights performed on a quarterly basis, offset by amortization.</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cash surrender value of the Company’s bank-owned life insurance (“BOLI”) assets increased $223 thousand, or 1.4% to $16.4 million at December 31, 2017, compared to $16.2 million at June 30, 2017. Increases in cash surrender value are recognized in noninterest income and are not subject to income taxes. Borrowing on, or surrendering a policy, may subject the Company to income tax expense on the increase in cash surrender value. For these reasons, management considers BOLI an illiquid asset. BOLI represented 10.4% of the Company’s regulatory total capital at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FHLBB Advances, Subordinated Debt, Liquidity, Capital, and Stock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principal source of funding is its core deposit accounts. At December 31, 2017, non-maturity accounts, and non-brokered insured time deposits represented 100% of total deposits.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Total deposits decreased $41.2 million to $848.7 million as of December 31, 2017 from $889.9 million as of June 30, 2017. The decrease was attributable primarily to a decrease in money market accounts of $22.3 million, or 6.0% and a decrease in time deposits of $19.4 million, or 5.8%.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total deposits at December 31, 2017 and June 30,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right"/>
              <w:ind w:right="840"/>
              <w:spacing w:after="0"/>
              <w:rPr>
                <w:sz w:val="20"/>
                <w:szCs w:val="20"/>
                <w:color w:val="auto"/>
              </w:rPr>
            </w:pPr>
            <w:r>
              <w:rPr>
                <w:rFonts w:ascii="Arial" w:cs="Arial" w:eastAsia="Arial" w:hAnsi="Arial"/>
                <w:sz w:val="18"/>
                <w:szCs w:val="18"/>
                <w:color w:val="auto"/>
              </w:rPr>
              <w:t>December 31, 2017</w:t>
            </w:r>
          </w:p>
        </w:tc>
        <w:tc>
          <w:tcPr>
            <w:tcW w:w="22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color w:val="auto"/>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Percent of Total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ind w:right="740"/>
              <w:spacing w:after="0"/>
              <w:rPr>
                <w:sz w:val="20"/>
                <w:szCs w:val="20"/>
                <w:color w:val="auto"/>
              </w:rPr>
            </w:pPr>
            <w:r>
              <w:rPr>
                <w:rFonts w:ascii="Arial" w:cs="Arial" w:eastAsia="Arial" w:hAnsi="Arial"/>
                <w:sz w:val="18"/>
                <w:szCs w:val="18"/>
                <w:color w:val="auto"/>
              </w:rPr>
              <w:t>(Dollars 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71,054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69,827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71,420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71,247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Regular and other savings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36,330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37,170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Money market deposits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352,237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374,569</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non-certificate accounts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531,041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62.57%</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552,814</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Term certificates of $250 thousand or less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317,613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37.43%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Term certificates greater than $250 thousand</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certificate accounts</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317,613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37.43%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337,037</w:t>
            </w:r>
          </w:p>
        </w:tc>
        <w:tc>
          <w:tcPr>
            <w:tcW w:w="2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848,654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889,850</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FHLBB Advances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Advances from the Federal Home Loan Bank of Boston (“FHLBB”) were $15.0 million at December 31, 2017, compared to $20.0 million at June 30, 2017. As of December 31, 2017, the Company had pledged certain residential real estate loans and commercial real estate loans to secure outstanding advances and provide additional borrowing capacity. As of December 31, 2017, no securities were pledged for outstanding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June 29, 2016, the Company entered into a Subordinated Note Purchase Agreement with certain institutional accredited investors pursuant to which the Company issued subordinated notes equal to $15.05 million in aggregate principal amount with an interest rate of 6.75% fixed-to-floating maturing in 2026 (“subordinated notes”). The subordinated notes, net of issuance costs, totaled $14.7 million at December 31, 2017, compared to $14.6 million at June 30,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had junior subordinated debentures issued to affiliated trusts totaling $9.1 million and $9.0 million at December 31, 2017 and June 30, 2017, respectively. The unpaid principal balance of the junior subordinated debentures totaled $16.5 million at both December 31, 2017 and June 30,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unused borrowing capacity of the Company at December 31, 2017, in addition to traditional retail deposit products:</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Brokered time deposits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Federal Home Loan Bank of Boston</w:t>
      </w:r>
    </w:p>
    <w:p>
      <w:pPr>
        <w:spacing w:after="0" w:line="9" w:lineRule="exact"/>
        <w:rPr>
          <w:sz w:val="20"/>
          <w:szCs w:val="20"/>
          <w:color w:val="auto"/>
        </w:rPr>
      </w:pPr>
    </w:p>
    <w:p>
      <w:pPr>
        <w:ind w:left="660"/>
        <w:spacing w:after="0" w:line="273" w:lineRule="auto"/>
        <w:rPr>
          <w:sz w:val="20"/>
          <w:szCs w:val="20"/>
          <w:color w:val="auto"/>
        </w:rPr>
      </w:pPr>
      <w:r>
        <w:rPr>
          <w:rFonts w:ascii="Arial" w:cs="Arial" w:eastAsia="Arial" w:hAnsi="Arial"/>
          <w:sz w:val="18"/>
          <w:szCs w:val="18"/>
          <w:color w:val="auto"/>
        </w:rPr>
        <w:t>Federal Discount Window Borrower-in-Custody Other available lines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unused borrowing capacity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As of December 31,</w:t>
      </w:r>
    </w:p>
    <w:p>
      <w:pPr>
        <w:spacing w:after="0" w:line="23"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166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 w:lineRule="exact"/>
        <w:rPr>
          <w:sz w:val="20"/>
          <w:szCs w:val="20"/>
          <w:color w:val="auto"/>
        </w:rPr>
      </w:pPr>
    </w:p>
    <w:p>
      <w:pPr>
        <w:ind w:left="1247" w:hanging="1247"/>
        <w:spacing w:after="0"/>
        <w:tabs>
          <w:tab w:leader="none" w:pos="12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258,612 Subject to policy limitation of 25% of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-130810</wp:posOffset>
            </wp:positionV>
            <wp:extent cx="68776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347"/>
        <w:spacing w:after="0"/>
        <w:rPr>
          <w:sz w:val="20"/>
          <w:szCs w:val="20"/>
          <w:color w:val="auto"/>
        </w:rPr>
      </w:pPr>
      <w:r>
        <w:rPr>
          <w:rFonts w:ascii="Arial" w:cs="Arial" w:eastAsia="Arial" w:hAnsi="Arial"/>
          <w:sz w:val="16"/>
          <w:szCs w:val="16"/>
          <w:color w:val="auto"/>
        </w:rPr>
        <w:t>48,692 Unused advance capacity subject to eligible and qualified collateral</w:t>
      </w:r>
    </w:p>
    <w:p>
      <w:pPr>
        <w:spacing w:after="0" w:line="32"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1,263 Unused credit line subject to the pledge of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-130810</wp:posOffset>
            </wp:positionV>
            <wp:extent cx="68776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1347"/>
        <w:spacing w:after="0"/>
        <w:rPr>
          <w:sz w:val="20"/>
          <w:szCs w:val="20"/>
          <w:color w:val="auto"/>
        </w:rPr>
      </w:pPr>
      <w:r>
        <w:rPr>
          <w:rFonts w:ascii="Arial" w:cs="Arial" w:eastAsia="Arial" w:hAnsi="Arial"/>
          <w:sz w:val="18"/>
          <w:szCs w:val="18"/>
          <w:color w:val="auto"/>
        </w:rPr>
        <w:t>17,500</w:t>
      </w:r>
    </w:p>
    <w:p>
      <w:pPr>
        <w:spacing w:after="0" w:line="9" w:lineRule="exact"/>
        <w:rPr>
          <w:sz w:val="20"/>
          <w:szCs w:val="20"/>
          <w:color w:val="auto"/>
        </w:rPr>
      </w:pPr>
    </w:p>
    <w:p>
      <w:pPr>
        <w:ind w:left="1247" w:hanging="1247"/>
        <w:spacing w:after="0"/>
        <w:tabs>
          <w:tab w:leader="none" w:pos="1247" w:val="left"/>
        </w:tabs>
        <w:numPr>
          <w:ilvl w:val="0"/>
          <w:numId w:val="24"/>
        </w:numPr>
        <w:rPr>
          <w:rFonts w:ascii="Arial" w:cs="Arial" w:eastAsia="Arial" w:hAnsi="Arial"/>
          <w:sz w:val="18"/>
          <w:szCs w:val="18"/>
          <w:color w:val="auto"/>
        </w:rPr>
      </w:pPr>
      <w:r>
        <w:rPr>
          <w:rFonts w:ascii="Arial" w:cs="Arial" w:eastAsia="Arial" w:hAnsi="Arial"/>
          <w:sz w:val="18"/>
          <w:szCs w:val="18"/>
          <w:color w:val="auto"/>
        </w:rPr>
        <w:t>326,067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-130810</wp:posOffset>
            </wp:positionV>
            <wp:extent cx="68776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4140" w:space="433"/>
            <w:col w:w="6827"/>
          </w:cols>
          <w:pgMar w:left="240" w:top="118" w:right="259" w:bottom="1440" w:gutter="0" w:footer="0" w:header="0"/>
          <w:type w:val="continuous"/>
        </w:sectPr>
      </w:pPr>
    </w:p>
    <w:p>
      <w:pPr>
        <w:spacing w:after="0" w:line="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Retail deposits and other core deposit sources including deposit listing services are used by the Bank to manage its overall liquidity position. While we currently do not seek wholesale funding such as FHLBB advances and brokered deposits, the ability to raise them remains an important part of our liquidity contingency planning. While we closely monitor and forecast our liquidity position, it is affected by asset growth, deposit withdrawals and meeting other contractual obligations and commitments. The accuracy of our forecast assumptions may increase or decrease our overall available liquidity. To utilize the FHLBB advance capacity, the purchase of additional capital stock of the FHLBB may be required.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2017, the Company had $399.4 million of immediately accessible liquidity, defined as cash that the Bank reasonably believes could be raised within seven days through collateralized borrowings, brokered deposits or security sales. This position represented 38.6% of total assets. The Company also had $128.2 million of cash and cash equivalents at December 31, 2017.</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believes that there are adequate funding sources to meet its liquidity needs for the foreseeable future. Primary funding sources are the repayment of principal and interest on loans, the renewal of time deposits, the potential for growth in the deposit base, and the credit availability from the FHLBB. Management does not believe that the terms and conditions that will be present at the renewal of these funding sources will significantly impact the Company’s operations, due to its management of the maturities of its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unpaid principal balance and carrying amount of junior subordinated debentures totaled $16.5 million and $9.1 million, respectively, as of December 31, 2017. The unpaid principal balance and carrying amount of subordinated debt totaled $15.1 million and $14.7 million, respectively, as of December 31, 2017. The junior subordinated debt represents qualifying Tier 1 capital for the Company, up to a maximum of 25% of total Tier 1 capital, and the and subordinated debt represents qualifying Tier II capital for the Company. At December 31, 2017, the carrying amounts of the junior subordinated debt, net of the Company’s $496 thousand investment in the affiliated trusts, qualified as Tier 1 capital, and the subordinated debt qualified as Tier II capital.</w:t>
      </w:r>
    </w:p>
    <w:p>
      <w:pPr>
        <w:spacing w:after="0" w:line="15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At December 31, 2017, shareholders’ equity was $130.0 million, an increase of $7.2 million, or 5.9% from June 30, 2017. Book value per outstanding common share was $14.54 at December 31, 2017 and $13.90 at June 30, 2017. Tier 1 capital to total average assets of the Company was 13.4% as of December 31, 2017 and 12.8% at June 30, 2017.</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capital rules, risk-based capital ratios are calculated by dividing Tier 1 and total capital, respectively, by risk-weighted assets. Assets and off-balance sheet credit equivalents are assigned to one of several risk-weight categories, based primarily on relative risk. The rules require banks and bank holding companies to maintain a minimum common equity Tier 1 capital ratio of 4.5%, a minimum Tier 1 capital ratio of 6%, a total capital ratio of 8% and a leverage ratio of 4%. Additionally, subject to a transition schedule, the capital rules require a bank holding company to establish a capital conservation buffer of Tier 1 capital in an amount above the minimum risk-based capital requirements for "adequately capitalized" institutions equal to 2.5% of total risk weighted assets, or face restrictions on the ability to pay dividends, pay discretionary bonuses, and to engage in share repurchases.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bank holding company, such as the Company, is considered "well capitalized" if the bank holding company (i) has a total capital ratio of at least 10%, (ii) has a Tier 1 risk-based capital ratio of at least 6%, and (iii) is not subject to any written agreement order, capital directive or prompt corrective action directive to meet and maintain a specific capital level for any capital measure. In addition, the FDIC has amended its prompt corrective action rules to reflect the revisions made by the revised capital rules described above. Under the FDIC's revised rules, which became effective January 1, 2015, an insured state nonmember bank is considered "well capitalized" if it (i) has a total capital ratio of 10.0% or greater; (ii) a Tier 1 risk-based capital ratio of 8.0% or greater;</w:t>
      </w:r>
    </w:p>
    <w:p>
      <w:pPr>
        <w:spacing w:after="0" w:line="2" w:lineRule="exact"/>
        <w:rPr>
          <w:sz w:val="20"/>
          <w:szCs w:val="20"/>
          <w:color w:val="auto"/>
        </w:rPr>
      </w:pPr>
    </w:p>
    <w:p>
      <w:pPr>
        <w:ind w:right="240" w:firstLine="8"/>
        <w:spacing w:after="0" w:line="290" w:lineRule="auto"/>
        <w:tabs>
          <w:tab w:leader="none" w:pos="3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common Tier 1 equity ratio of 6.5% or greater, (iv) a leverage capital ratio of 5.0% or greater; and (iv) is not subject to any written agreement, order, capital directive, or prompt corrective action directive to meet and maintain a specific capital level for any capital measure.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type w:val="continuous"/>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the Bank are considered "well capitalized" under all regulatory definitions. The Company's and the Bank's regulatory capital ratios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7"/>
          </w:tcPr>
          <w:p>
            <w:pPr>
              <w:jc w:val="center"/>
              <w:ind w:right="380"/>
              <w:spacing w:after="0"/>
              <w:rPr>
                <w:sz w:val="20"/>
                <w:szCs w:val="20"/>
                <w:color w:val="auto"/>
              </w:rPr>
            </w:pPr>
            <w:r>
              <w:rPr>
                <w:rFonts w:ascii="Arial" w:cs="Arial" w:eastAsia="Arial" w:hAnsi="Arial"/>
                <w:sz w:val="18"/>
                <w:szCs w:val="18"/>
                <w:color w:val="auto"/>
                <w:w w:val="95"/>
              </w:rPr>
              <w:t>Minimum To Be Well</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Capital Ratio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7"/>
          </w:tcPr>
          <w:p>
            <w:pPr>
              <w:jc w:val="center"/>
              <w:ind w:right="360"/>
              <w:spacing w:after="0"/>
              <w:rPr>
                <w:sz w:val="20"/>
                <w:szCs w:val="20"/>
                <w:color w:val="auto"/>
              </w:rPr>
            </w:pPr>
            <w:r>
              <w:rPr>
                <w:rFonts w:ascii="Arial" w:cs="Arial" w:eastAsia="Arial" w:hAnsi="Arial"/>
                <w:sz w:val="18"/>
                <w:szCs w:val="18"/>
                <w:color w:val="auto"/>
                <w:w w:val="92"/>
              </w:rPr>
              <w:t>Capitalized Under</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with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8"/>
                <w:szCs w:val="18"/>
                <w:color w:val="auto"/>
              </w:rPr>
              <w:t>Minimum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7"/>
          </w:tcPr>
          <w:p>
            <w:pPr>
              <w:jc w:val="center"/>
              <w:ind w:right="380"/>
              <w:spacing w:after="0"/>
              <w:rPr>
                <w:sz w:val="20"/>
                <w:szCs w:val="20"/>
                <w:color w:val="auto"/>
              </w:rPr>
            </w:pPr>
            <w:r>
              <w:rPr>
                <w:rFonts w:ascii="Arial" w:cs="Arial" w:eastAsia="Arial" w:hAnsi="Arial"/>
                <w:sz w:val="18"/>
                <w:szCs w:val="18"/>
                <w:color w:val="auto"/>
                <w:w w:val="92"/>
              </w:rPr>
              <w:t>Prompt Corrective</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Conservation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Actual</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6"/>
          </w:tcPr>
          <w:p>
            <w:pPr>
              <w:jc w:val="right"/>
              <w:ind w:right="620"/>
              <w:spacing w:after="0"/>
              <w:rPr>
                <w:sz w:val="20"/>
                <w:szCs w:val="20"/>
                <w:color w:val="auto"/>
              </w:rPr>
            </w:pPr>
            <w:r>
              <w:rPr>
                <w:rFonts w:ascii="Arial" w:cs="Arial" w:eastAsia="Arial" w:hAnsi="Arial"/>
                <w:sz w:val="18"/>
                <w:szCs w:val="18"/>
                <w:color w:val="auto"/>
              </w:rPr>
              <w:t>Requirements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7"/>
          </w:tcPr>
          <w:p>
            <w:pPr>
              <w:jc w:val="center"/>
              <w:ind w:right="380"/>
              <w:spacing w:after="0"/>
              <w:rPr>
                <w:sz w:val="20"/>
                <w:szCs w:val="20"/>
                <w:color w:val="auto"/>
              </w:rPr>
            </w:pPr>
            <w:r>
              <w:rPr>
                <w:rFonts w:ascii="Arial" w:cs="Arial" w:eastAsia="Arial" w:hAnsi="Arial"/>
                <w:sz w:val="18"/>
                <w:szCs w:val="18"/>
                <w:color w:val="auto"/>
                <w:w w:val="94"/>
              </w:rPr>
              <w:t>Action Provisions</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Buffer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Amount</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Ratio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8"/>
          </w:tcPr>
          <w:p>
            <w:pPr>
              <w:jc w:val="center"/>
              <w:ind w:left="550"/>
              <w:spacing w:after="0"/>
              <w:rPr>
                <w:sz w:val="20"/>
                <w:szCs w:val="20"/>
                <w:color w:val="auto"/>
              </w:rPr>
            </w:pPr>
            <w:r>
              <w:rPr>
                <w:rFonts w:ascii="Arial" w:cs="Arial" w:eastAsia="Arial" w:hAnsi="Arial"/>
                <w:sz w:val="18"/>
                <w:szCs w:val="18"/>
                <w:color w:val="auto"/>
                <w:w w:val="91"/>
              </w:rPr>
              <w:t>(Dollars in thousands)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equity tier 1 capital to risk weighted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130,581</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16.74%</w:t>
            </w: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35,101</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2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146,794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35,191</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50,832</w:t>
            </w:r>
          </w:p>
        </w:tc>
        <w:tc>
          <w:tcPr>
            <w:tcW w:w="112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158,309</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20.30%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62,401</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151,228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19.34%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62,562</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78,203</w:t>
            </w:r>
          </w:p>
        </w:tc>
        <w:tc>
          <w:tcPr>
            <w:tcW w:w="112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139,211</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17.85%</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46,801</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146,794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46,922</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62,562</w:t>
            </w:r>
          </w:p>
        </w:tc>
        <w:tc>
          <w:tcPr>
            <w:tcW w:w="112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139,211</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13.41%</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41,510</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146,794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41,524</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51,904</w:t>
            </w:r>
          </w:p>
        </w:tc>
        <w:tc>
          <w:tcPr>
            <w:tcW w:w="1120" w:type="dxa"/>
            <w:vAlign w:val="bottom"/>
            <w:gridSpan w:val="5"/>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w w:val="94"/>
              </w:rPr>
              <w:t>Common equity tier 1 capital to risk weighted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20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123,442</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34,714</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2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34,727</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50,162</w:t>
            </w:r>
          </w:p>
        </w:tc>
        <w:tc>
          <w:tcPr>
            <w:tcW w:w="112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&gt;6.5%</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150,269</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19.48%</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61,715</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142,447</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18.46%</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77,172</w:t>
            </w:r>
          </w:p>
        </w:tc>
        <w:tc>
          <w:tcPr>
            <w:tcW w:w="112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&gt;10.0%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Tier 1 capital to risk weighted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131,958</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46,286</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17.98%</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46,303</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61,737</w:t>
            </w:r>
          </w:p>
        </w:tc>
        <w:tc>
          <w:tcPr>
            <w:tcW w:w="112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&gt;8.0%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Company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131,958</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41,215</w:t>
            </w:r>
          </w:p>
        </w:tc>
        <w:tc>
          <w:tcPr>
            <w:tcW w:w="1020" w:type="dxa"/>
            <w:vAlign w:val="bottom"/>
            <w:gridSpan w:val="4"/>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ind w:left="160"/>
              <w:spacing w:after="0" w:line="176" w:lineRule="exact"/>
              <w:rPr>
                <w:sz w:val="20"/>
                <w:szCs w:val="20"/>
                <w:color w:val="auto"/>
              </w:rPr>
            </w:pPr>
            <w:r>
              <w:rPr>
                <w:rFonts w:ascii="Arial" w:cs="Arial" w:eastAsia="Arial" w:hAnsi="Arial"/>
                <w:sz w:val="18"/>
                <w:szCs w:val="18"/>
                <w:color w:val="auto"/>
              </w:rPr>
              <w:t>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138,744</w:t>
            </w:r>
          </w:p>
        </w:tc>
        <w:tc>
          <w:tcPr>
            <w:tcW w:w="200" w:type="dxa"/>
            <w:vAlign w:val="bottom"/>
          </w:tcPr>
          <w:p>
            <w:pPr>
              <w:spacing w:after="0"/>
              <w:rPr>
                <w:sz w:val="15"/>
                <w:szCs w:val="15"/>
                <w:color w:val="auto"/>
              </w:rPr>
            </w:pPr>
          </w:p>
        </w:tc>
        <w:tc>
          <w:tcPr>
            <w:tcW w:w="9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13.46%</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41,238</w:t>
            </w:r>
          </w:p>
        </w:tc>
        <w:tc>
          <w:tcPr>
            <w:tcW w:w="1020" w:type="dxa"/>
            <w:vAlign w:val="bottom"/>
            <w:gridSpan w:val="4"/>
          </w:tcPr>
          <w:p>
            <w:pPr>
              <w:jc w:val="right"/>
              <w:ind w:right="120"/>
              <w:spacing w:after="0" w:line="176" w:lineRule="exact"/>
              <w:rPr>
                <w:sz w:val="20"/>
                <w:szCs w:val="20"/>
                <w:color w:val="auto"/>
              </w:rPr>
            </w:pPr>
            <w:r>
              <w:rPr>
                <w:rFonts w:ascii="Arial" w:cs="Arial" w:eastAsia="Arial" w:hAnsi="Arial"/>
                <w:sz w:val="18"/>
                <w:szCs w:val="18"/>
                <w:color w:val="auto"/>
              </w:rPr>
              <w:t>&gt;4.0%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51,547</w:t>
            </w:r>
          </w:p>
        </w:tc>
        <w:tc>
          <w:tcPr>
            <w:tcW w:w="1120" w:type="dxa"/>
            <w:vAlign w:val="bottom"/>
            <w:gridSpan w:val="5"/>
          </w:tcPr>
          <w:p>
            <w:pPr>
              <w:jc w:val="right"/>
              <w:ind w:right="220"/>
              <w:spacing w:after="0" w:line="176" w:lineRule="exact"/>
              <w:rPr>
                <w:sz w:val="20"/>
                <w:szCs w:val="20"/>
                <w:color w:val="auto"/>
              </w:rPr>
            </w:pPr>
            <w:r>
              <w:rPr>
                <w:rFonts w:ascii="Arial" w:cs="Arial" w:eastAsia="Arial" w:hAnsi="Arial"/>
                <w:sz w:val="18"/>
                <w:szCs w:val="18"/>
                <w:color w:val="auto"/>
              </w:rPr>
              <w:t>&gt;5.0%</w:t>
            </w:r>
          </w:p>
        </w:tc>
        <w:tc>
          <w:tcPr>
            <w:tcW w:w="11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In addition to the minimum regulatory capital required for capital adequacy purposes included in the table above, the Company is required to maintain a capital conservation buffer, in the form of common equity, in order to avoid restrictions on capital distributions and discretionary bonuses. The required amount of the capital conservation buffer was 1.875% on January 1, 2018 and will increase by 0.625% until it reaches 2.5% on January 1, 2019.</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Bank may not declare or pay a cash dividend on, or repurchase, any of its capital stock from the Company if the effect thereof would cause the capital of the Bank to be reduced below the capital requirements imposed by the regulatory authorities or if such amount exceeds the otherwise allowable amount under FRB rules.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connection with the merger, as part of the regulatory approval process, the Company and the Bank made certain commitments to the Federal Reserve, the most significant of which are (i) to maintain a Tier 1 leverage ratio of at least 10%, (ii) to maintain a total capital ratio of at least 15%, (iii) to limit purchased loans to 40% of total loans, (iv) to fund 100% of the Company's loans with core deposits (defined as non-maturity deposits and non-brokered insured time deposits), and (v) to hold non-owner occupied commercial real estate loans to within 300% of total capital. The Company and the Bank are currently in compliance with all commitments to the Federal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On October 21, 2016, the Board of Directors voted to amend the existing stock repurchase program to authorize the Company to purchase an additional 500,000 shares of its common stock, representing 5.7% of the Company’s outstanding common shares. Under the existing program, implemented in April 2014, the Company has purchased 1,970,000 shares through October 25, 2016 and no shares remained available for repurchase under the program on that date, prior to the 500,000 share increase in the repurchase plan. The amended stock repurchase program will expire on October 21, 2018.</w:t>
      </w:r>
    </w:p>
    <w:p>
      <w:pPr>
        <w:sectPr>
          <w:pgSz w:w="11900" w:h="16838" w:orient="portrait"/>
          <w:cols w:equalWidth="0" w:num="1">
            <w:col w:w="11420"/>
          </w:cols>
          <w:pgMar w:left="240" w:top="118" w:right="239" w:bottom="100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00" w:gutter="0" w:footer="0" w:header="0"/>
          <w:type w:val="continuous"/>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Financial Instruments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a party to financial instruments with off-balance sheet risk in the normal course of business to meet the financing needs of its customers. These financial instruments include commitments to extend credit, unused lines of credit, standby letters of credit, and commitments to fund investments. These instruments involve, to varying degrees, elements of credit and interest-rate risk in excess of the amounts recognized in the condensed consolidated balance sheet. The contract or notional amounts of these instruments reflect the extent of the Company’s involvement in particular classes of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See Part I. Item I. “Notes to Unaudited Consolidated Financial Statements – Note 9: Commitments and Contingencies” for further discussion.</w:t>
      </w: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income totaled $3.3 million for the quarter ended December 31, 2017, an increase of $204 thousand from $3.1 million for the quarter ended December 31, 2016.</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following table details the “Total Return” on purchased loans. When compared to the three months ended December 31, 2016, transactional income decreased by $1.0 million. The total return on purchased loans for the three months ended December 31, 2017 was 11.0%. The decrease over the prior comparable period was primarily due to lower accelerated accretion in the three months ended December 31, 2017. When compared to the six months ended December 31, 2016, transactional income increased by $432 thousand. This increase over the prior comparable period was primarily due to higher loan fees in the six months ended December 31, 2017. The following table details the total return on purchased loans: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color w:val="auto"/>
                <w:w w:val="89"/>
              </w:rPr>
              <w:t>Total Return on Purchased Loans</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color w:val="auto"/>
                <w:w w:val="90"/>
              </w:rPr>
              <w:t>Three Months Ended December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Income</w:t>
            </w:r>
          </w:p>
        </w:tc>
        <w:tc>
          <w:tcPr>
            <w:tcW w:w="1160" w:type="dxa"/>
            <w:vAlign w:val="bottom"/>
          </w:tcPr>
          <w:p>
            <w:pPr>
              <w:ind w:left="16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2,943</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11.00%</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7,659</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color w:val="auto"/>
                <w:w w:val="89"/>
              </w:rPr>
              <w:t>Total Return on Purchased Loans</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8"/>
                <w:szCs w:val="18"/>
                <w:color w:val="auto"/>
                <w:w w:val="90"/>
              </w:rPr>
              <w:t>Six Months Ended December 31,</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1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2016</w:t>
            </w: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Income</w:t>
            </w:r>
          </w:p>
        </w:tc>
        <w:tc>
          <w:tcPr>
            <w:tcW w:w="1160" w:type="dxa"/>
            <w:vAlign w:val="bottom"/>
          </w:tcPr>
          <w:p>
            <w:pPr>
              <w:ind w:left="160"/>
              <w:spacing w:after="0"/>
              <w:rPr>
                <w:sz w:val="20"/>
                <w:szCs w:val="20"/>
                <w:color w:val="auto"/>
              </w:rPr>
            </w:pPr>
            <w:r>
              <w:rPr>
                <w:rFonts w:ascii="Arial" w:cs="Arial" w:eastAsia="Arial" w:hAnsi="Arial"/>
                <w:sz w:val="18"/>
                <w:szCs w:val="18"/>
                <w:color w:val="auto"/>
              </w:rPr>
              <w:t>Return (1)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71"/>
              </w:rPr>
              <w:t>in</w:t>
            </w:r>
          </w:p>
        </w:tc>
        <w:tc>
          <w:tcPr>
            <w:tcW w:w="240" w:type="dxa"/>
            <w:vAlign w:val="bottom"/>
          </w:tcPr>
          <w:p>
            <w:pPr>
              <w:spacing w:after="0"/>
              <w:rPr>
                <w:sz w:val="18"/>
                <w:szCs w:val="18"/>
                <w:color w:val="auto"/>
              </w:rPr>
            </w:pPr>
          </w:p>
        </w:tc>
        <w:tc>
          <w:tcPr>
            <w:tcW w:w="1380" w:type="dxa"/>
            <w:vAlign w:val="bottom"/>
            <w:gridSpan w:val="3"/>
          </w:tcPr>
          <w:p>
            <w:pPr>
              <w:jc w:val="right"/>
              <w:ind w:right="720"/>
              <w:spacing w:after="0"/>
              <w:rPr>
                <w:sz w:val="20"/>
                <w:szCs w:val="20"/>
                <w:color w:val="auto"/>
              </w:rPr>
            </w:pPr>
            <w:r>
              <w:rPr>
                <w:rFonts w:ascii="Arial" w:cs="Arial" w:eastAsia="Arial" w:hAnsi="Arial"/>
                <w:sz w:val="18"/>
                <w:szCs w:val="18"/>
                <w:color w:val="auto"/>
              </w:rPr>
              <w:t>Income</w:t>
            </w:r>
          </w:p>
        </w:tc>
        <w:tc>
          <w:tcPr>
            <w:tcW w:w="1100" w:type="dxa"/>
            <w:vAlign w:val="bottom"/>
          </w:tcPr>
          <w:p>
            <w:pPr>
              <w:ind w:left="100"/>
              <w:spacing w:after="0"/>
              <w:rPr>
                <w:sz w:val="20"/>
                <w:szCs w:val="20"/>
                <w:color w:val="auto"/>
              </w:rPr>
            </w:pPr>
            <w:r>
              <w:rPr>
                <w:rFonts w:ascii="Arial" w:cs="Arial" w:eastAsia="Arial" w:hAnsi="Arial"/>
                <w:sz w:val="18"/>
                <w:szCs w:val="18"/>
                <w:color w:val="auto"/>
              </w:rPr>
              <w:t>Return (1)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(Dollars</w:t>
            </w:r>
          </w:p>
        </w:tc>
        <w:tc>
          <w:tcPr>
            <w:tcW w:w="240" w:type="dxa"/>
            <w:vAlign w:val="bottom"/>
            <w:vMerge w:val="continue"/>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Regularly scheduled interest and accretion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Transactional income: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loan sales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Gain on sale of real estate owned</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Accelerated accretion and loan fees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4,270</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transactional income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11.65%</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13,759</w:t>
            </w: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return on purchased loans represents scheduled accretion, accelerated accretion, gains on asset sales, gains on real estate owned and other noninterest income recorded during the period divided by the average invested balance, which includes loans held for sale, on an annualized basis. The total return does not include the effect of purchased loan charge-offs or recoveries in the quarter. Total return is considered a non-GAAP financial measure.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2017 and 2016</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and dividend income before provision for loan losses increased by $624 thousand for the quarter ended December 31, 2017, compared to the quarter ended December 31, 2016. The increase is primarily due to higher average balances in the total loan portfolio. This increase was partially offset by higher funding costs and higher average deposit balances.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8"/>
              </w:rPr>
              <w:t>Interest Income and Yield on Loans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7"/>
              </w:rPr>
              <w:t>Three Months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49,457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41,038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340,240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5,565</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216,353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3,210</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6,369</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233,502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02"/>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48,000</w:t>
            </w:r>
          </w:p>
        </w:tc>
        <w:tc>
          <w:tcPr>
            <w:tcW w:w="2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2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2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11,934</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497,855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760,915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14,501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742,856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loans held for sale.</w:t>
      </w:r>
    </w:p>
    <w:p>
      <w:pPr>
        <w:sectPr>
          <w:pgSz w:w="11900" w:h="16838" w:orient="portrait"/>
          <w:cols w:equalWidth="0" w:num="1">
            <w:col w:w="11400"/>
          </w:cols>
          <w:pgMar w:left="240" w:top="118" w:right="25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interest rate spread decreased by 4 basis points and net interest margin decreased by 1 basis point for the quarter ended December 31, 2017 compared to the quarter ended December 31, 2016. The decrease was principally due to higher deposit rates and average deposit balances.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sets forth the average balance sheets, interest income and interest expense, and average yields and costs for the three months ended December 31,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6"/>
              </w:rPr>
              <w:t>Three Months Ended December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9"/>
              </w:rPr>
              <w:t>Interest</w:t>
            </w: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Income/</w:t>
            </w: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Expense</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760,915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14,501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742,856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13,931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145,305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114,276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15,260</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952,280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1,037,920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990,257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70,287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71,795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367,265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312,911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36,872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35,206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303,246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777,670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737,230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Federal Home Loan Bank advances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17,719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23,745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819,898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788,783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83,855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877,620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liabilities and shareholders' equity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1,037,920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990,257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12,457</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11,851</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Nonaccrual loans are included in the computation of average, but unpaid interest has not been included for purposes of determining interest income.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tax exempt interest income of $18 thousand for the three months ended December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460"/>
              <w:spacing w:after="0"/>
              <w:rPr>
                <w:sz w:val="20"/>
                <w:szCs w:val="20"/>
                <w:color w:val="auto"/>
              </w:rPr>
            </w:pPr>
            <w:r>
              <w:rPr>
                <w:rFonts w:ascii="Arial" w:cs="Arial" w:eastAsia="Arial" w:hAnsi="Arial"/>
                <w:sz w:val="18"/>
                <w:szCs w:val="18"/>
                <w:color w:val="auto"/>
                <w:w w:val="93"/>
              </w:rPr>
              <w:t>Three Months Ended December 31, 2017 compared to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2017 and 2016</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interest and dividend income before provision for the six months ended December 31, 2017 and 2016 was $25.8 million and $21.6 million, respectively. The increase of $4.2 million was largely attributable to higher loan volume and interest income in the originated loan portfolio, as well as an increase in transactional income. The following table summarizes interest income and related yields recognized on the Company’s loans for the six months ended December 31, 2017 and 2016.</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Six Months Ended December 31,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6"/>
                <w:szCs w:val="16"/>
                <w:color w:val="auto"/>
              </w:rPr>
            </w:pPr>
          </w:p>
        </w:tc>
        <w:tc>
          <w:tcPr>
            <w:tcW w:w="1180" w:type="dxa"/>
            <w:vAlign w:val="bottom"/>
            <w:gridSpan w:val="2"/>
          </w:tcPr>
          <w:p>
            <w:pPr>
              <w:jc w:val="center"/>
              <w:ind w:right="44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6"/>
                <w:szCs w:val="16"/>
                <w:color w:val="auto"/>
              </w:rPr>
            </w:pPr>
          </w:p>
        </w:tc>
        <w:tc>
          <w:tcPr>
            <w:tcW w:w="1200" w:type="dxa"/>
            <w:vAlign w:val="bottom"/>
            <w:gridSpan w:val="2"/>
          </w:tcPr>
          <w:p>
            <w:pPr>
              <w:jc w:val="center"/>
              <w:ind w:right="420"/>
              <w:spacing w:after="0" w:line="195" w:lineRule="exact"/>
              <w:rPr>
                <w:sz w:val="20"/>
                <w:szCs w:val="20"/>
                <w:color w:val="auto"/>
              </w:rPr>
            </w:pPr>
            <w:r>
              <w:rPr>
                <w:rFonts w:ascii="Arial" w:cs="Arial" w:eastAsia="Arial" w:hAnsi="Arial"/>
                <w:sz w:val="18"/>
                <w:szCs w:val="18"/>
                <w:color w:val="auto"/>
                <w:w w:val="89"/>
              </w:rPr>
              <w:t>Interest</w:t>
            </w: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Balance (1)</w:t>
            </w:r>
          </w:p>
        </w:tc>
        <w:tc>
          <w:tcPr>
            <w:tcW w:w="2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Income</w:t>
            </w:r>
          </w:p>
        </w:tc>
        <w:tc>
          <w:tcPr>
            <w:tcW w:w="1440" w:type="dxa"/>
            <w:vAlign w:val="bottom"/>
            <w:gridSpan w:val="2"/>
          </w:tcPr>
          <w:p>
            <w:pPr>
              <w:jc w:val="right"/>
              <w:ind w:right="570"/>
              <w:spacing w:after="0"/>
              <w:rPr>
                <w:sz w:val="20"/>
                <w:szCs w:val="20"/>
                <w:color w:val="auto"/>
              </w:rPr>
            </w:pPr>
            <w:r>
              <w:rPr>
                <w:rFonts w:ascii="Arial" w:cs="Arial" w:eastAsia="Arial" w:hAnsi="Arial"/>
                <w:sz w:val="18"/>
                <w:szCs w:val="18"/>
                <w:color w:val="auto"/>
              </w:rPr>
              <w:t>Yield</w:t>
            </w:r>
          </w:p>
        </w:tc>
        <w:tc>
          <w:tcPr>
            <w:tcW w:w="14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Balance (1)</w:t>
            </w: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71"/>
              </w:rPr>
              <w:t>in</w:t>
            </w: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Community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3,496</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204,864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SBA</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51,499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1,756</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36,093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60"/>
              <w:spacing w:after="0"/>
              <w:rPr>
                <w:sz w:val="20"/>
                <w:szCs w:val="20"/>
                <w:color w:val="auto"/>
              </w:rPr>
            </w:pPr>
            <w:r>
              <w:rPr>
                <w:rFonts w:ascii="Arial" w:cs="Arial" w:eastAsia="Arial" w:hAnsi="Arial"/>
                <w:sz w:val="18"/>
                <w:szCs w:val="18"/>
                <w:color w:val="auto"/>
              </w:rPr>
              <w:t>Originated</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334,507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10,831</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200,731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5,949</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13,800</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232,751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13,740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2"/>
        </w:trPr>
        <w:tc>
          <w:tcPr>
            <w:tcW w:w="2420" w:type="dxa"/>
            <w:vAlign w:val="bottom"/>
          </w:tcPr>
          <w:p>
            <w:pPr>
              <w:ind w:left="160"/>
              <w:spacing w:after="0" w:line="201" w:lineRule="exact"/>
              <w:rPr>
                <w:sz w:val="20"/>
                <w:szCs w:val="20"/>
                <w:color w:val="auto"/>
              </w:rPr>
            </w:pPr>
            <w:r>
              <w:rPr>
                <w:rFonts w:ascii="Arial" w:cs="Arial" w:eastAsia="Arial" w:hAnsi="Arial"/>
                <w:sz w:val="18"/>
                <w:szCs w:val="18"/>
                <w:color w:val="auto"/>
              </w:rPr>
              <w:t>Secured Loans to Broker-</w:t>
            </w: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48,000</w:t>
            </w:r>
          </w:p>
        </w:tc>
        <w:tc>
          <w:tcPr>
            <w:tcW w:w="2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2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20" w:type="dxa"/>
            <w:vAlign w:val="bottom"/>
          </w:tcPr>
          <w:p>
            <w:pPr>
              <w:ind w:left="160"/>
              <w:spacing w:after="0"/>
              <w:rPr>
                <w:sz w:val="20"/>
                <w:szCs w:val="20"/>
                <w:color w:val="auto"/>
              </w:rPr>
            </w:pPr>
            <w:r>
              <w:rPr>
                <w:rFonts w:ascii="Arial" w:cs="Arial" w:eastAsia="Arial" w:hAnsi="Arial"/>
                <w:sz w:val="18"/>
                <w:szCs w:val="18"/>
                <w:color w:val="auto"/>
              </w:rPr>
              <w:t>Dealers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LASG</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24,631</w:t>
            </w:r>
          </w:p>
        </w:tc>
        <w:tc>
          <w:tcPr>
            <w:tcW w:w="14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481,482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766,766</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29,883</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722,439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Includes loans held for sale.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interest rate spread and net interest margin increased by 50 basis points and 52 basis points, respectively, for the six months ended December 31, 2017 compared to the six months ended December 31, 2016. The increase was primarily due to the increase in yield on loans from higher average balances and transactional income, offset partially by higher deposit rates and average deposit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Six Months Ended December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2016</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9"/>
              </w:rPr>
              <w:t>Interest</w:t>
            </w: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Income/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Yield/</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Average</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Income/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Yield/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Expense</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Expense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Loans (1) (2) (3)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766,766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29,893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722,439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25,752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 Home Loan Bank stock</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Short-term investments (4)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152,830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134,334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31,448</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953,001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due from banks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non-interest earning assets</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1,051,339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988,865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Liabilities &amp;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NOW accounts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69,931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71,323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377,449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Savings accounts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36,953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35,488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deposits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Total interest-bearing deposits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792,198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4,305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735,928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3,553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Federal Home Loan Bank advances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18,863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23,703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23,395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835,561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788,959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4,982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Demand deposits and escrow accounts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78,104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924,842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875,318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liabilities and shareholders' equity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1,051,339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988,865</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25,778</w:t>
            </w: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21,643</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spread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interest margin (6)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income and yield are stated on a fully tax-equivalent basis using the statutory tax rate.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Nonaccrual loans are included in the computation of average, but unpaid interest has not been included for purposes of determining interest income.</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term investments include FHLB overnight deposits and other interest-bearing deposits.</w:t>
      </w:r>
    </w:p>
    <w:p>
      <w:pPr>
        <w:spacing w:after="0" w:line="9" w:lineRule="exact"/>
        <w:rPr>
          <w:rFonts w:ascii="Arial" w:cs="Arial" w:eastAsia="Arial" w:hAnsi="Arial"/>
          <w:sz w:val="18"/>
          <w:szCs w:val="18"/>
          <w:color w:val="auto"/>
        </w:rPr>
      </w:pPr>
    </w:p>
    <w:p>
      <w:pPr>
        <w:ind w:right="900" w:firstLine="8"/>
        <w:spacing w:after="0" w:line="250"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tax exempt interest income of $10 thousand and $36 thousand for the six months ended December 31, 2017 and December 31, 2016, respectively.</w:t>
      </w: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interest margin is calculated as net interest income divided by total interest-earning assets.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 presents the extent to which changes in volume and interest rates of interest earning assets and interest bearing liabilities have affected the Company’s interest income and interest expense during the periods indicated. Information is provided in each category with respect to (i) changes attributable to changes in volume (changes in volume multiplied by prior period rate), (ii) changes attributable to changes in rates (changes in rates multiplied by prior period volume) and (iii) changes attributable to a combination of changes in rate and volume (change in rates multiplied by the changes in volume). Changes attributable to the combined impact of volume and rate have been allocated proportionately to the changes due to volume and the changes due to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9"/>
          </w:tcPr>
          <w:p>
            <w:pPr>
              <w:jc w:val="right"/>
              <w:ind w:right="540"/>
              <w:spacing w:after="0"/>
              <w:rPr>
                <w:sz w:val="20"/>
                <w:szCs w:val="20"/>
                <w:color w:val="auto"/>
              </w:rPr>
            </w:pPr>
            <w:r>
              <w:rPr>
                <w:rFonts w:ascii="Arial" w:cs="Arial" w:eastAsia="Arial" w:hAnsi="Arial"/>
                <w:sz w:val="18"/>
                <w:szCs w:val="18"/>
                <w:color w:val="auto"/>
                <w:w w:val="95"/>
              </w:rPr>
              <w:t>Six Months Ended December 31, 2017 compared to 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94"/>
              </w:rPr>
              <w:t>Change Due to</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Volume</w:t>
            </w:r>
          </w:p>
        </w:tc>
        <w:tc>
          <w:tcPr>
            <w:tcW w:w="100" w:type="dxa"/>
            <w:vAlign w:val="bottom"/>
          </w:tcPr>
          <w:p>
            <w:pPr>
              <w:spacing w:after="0"/>
              <w:rPr>
                <w:sz w:val="20"/>
                <w:szCs w:val="20"/>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8"/>
                <w:szCs w:val="18"/>
                <w:color w:val="auto"/>
                <w:w w:val="90"/>
              </w:rPr>
              <w:t>Change Due to Rate</w:t>
            </w:r>
          </w:p>
        </w:tc>
        <w:tc>
          <w:tcPr>
            <w:tcW w:w="18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Total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6"/>
              </w:rPr>
              <w:t>(Dollars in thousands)</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earning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stock</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interest-earning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3,138</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change in net interest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2,551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Quarterly, the Company determines the amount of the allowance for loan losses that is appropriate to provide for losses inherent in the Company’s loan portfolios, with the provision for loan losses determined by the net change in the allowance for loan losses. For loans accounted for under ASC 310-30, a provision for loan loss is recorded when estimates of future cash flows are lower than had been previously expected. See Part I. Item I. “Notes to Unaudited Consolidated Financial Statements — Note 4: Loans, Allowance for Loan Losses and Credit Quality” for further discussion.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provision for loan losses for periods subsequent to the merger with FHB reflects the impact of adjusting loans to their then fair values, as well as the elimination of the allowance for loan losses in accordance with the acquisition method of accounting. Subsequent to the merger, the provision for loan losses has been recorded based on estimates of inherent losses in newly originated loans and for incremental reserves required for pre-merger loans based on estimates of deteriorated credit quality post-merger.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2017 and 2016</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provision for loan losses for the quarter ended December 31, 2017 and 2016 was $437 thousand and $628 thousand, respectively. The decrease in the Company’s loan loss provision was primarily due to the effect of changes in the qualitative factors, as well as updates to the specific reserve on impaired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2017 and 2016</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provision for loan losses for the six months ended December 31, 2017 and 2016 was $792 thousand and $820 thousand, respectively. The decrease in the Company’s loan loss provision was due to the effect of changes in the qualitative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2017 and 2016</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Noninterest income decreased by $1.5 million for the quarter ended December 31, 2017, compared to the quarter ended December 31, 2016, principally due to the following:</w:t>
      </w:r>
    </w:p>
    <w:p>
      <w:pPr>
        <w:spacing w:after="0" w:line="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gain on sale of SBA loans of $1.4 million, due to a lower amount of SBA loans sold in the quarter;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decrease in gain on sale of residential loans held for sale of $82 thousand, due to lower volume of residential loans sold in the quarter.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2017 and 2016</w:t>
      </w:r>
    </w:p>
    <w:p>
      <w:pPr>
        <w:spacing w:after="0" w:line="225"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color w:val="auto"/>
        </w:rPr>
        <w:t>Noninterest income decreased by $1.3 million for the six months ended December 31, 2017, compared to the six months ended December 31, 2016, principally due to the following:</w:t>
      </w:r>
    </w:p>
    <w:p>
      <w:pPr>
        <w:spacing w:after="0" w:line="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gain on sale of SBA loans of $1.1 million, due to a lower amount of SBA loans sold in the six month period; and</w:t>
      </w:r>
    </w:p>
    <w:p>
      <w:pPr>
        <w:spacing w:after="0" w:line="9" w:lineRule="exact"/>
        <w:rPr>
          <w:rFonts w:ascii="Arial" w:cs="Arial" w:eastAsia="Arial" w:hAnsi="Arial"/>
          <w:sz w:val="18"/>
          <w:szCs w:val="18"/>
          <w:color w:val="auto"/>
        </w:rPr>
      </w:pPr>
    </w:p>
    <w:p>
      <w:pPr>
        <w:ind w:left="980" w:right="320" w:hanging="324"/>
        <w:spacing w:after="0" w:line="261"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gain on sale of residential loans held for sale of $333 thousand, due to lower volume of residential loans sold in the six month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2017 and 2016</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Noninterest expense decreased by $393 thousand for the quarter ended December 31, 2017, compared to the quarter ended December 31, 2016, primarily due to the following:</w:t>
      </w:r>
    </w:p>
    <w:p>
      <w:pPr>
        <w:spacing w:after="0" w:line="1" w:lineRule="exact"/>
        <w:rPr>
          <w:sz w:val="20"/>
          <w:szCs w:val="20"/>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other noninterest expense of $395 thousand, primarily due to a $330 thousand decrease in expense related to the quarterly valuation of SBA servicing rights;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in loan expense of $179 thousand, largely driven by lower expense related to loan acquisition and refinance activity.</w:t>
      </w:r>
    </w:p>
    <w:p>
      <w:pPr>
        <w:spacing w:after="0" w:line="9"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decreases in noninterest expense were partially offset by an increase in data processing fees of $214 thousand, primarily due to increased cost associated with outsourcing of data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2017 and 2016</w:t>
      </w:r>
    </w:p>
    <w:p>
      <w:pPr>
        <w:spacing w:after="0" w:line="225"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Noninterest expense decreased by $305 thousand for the six months ended December 31, 2017, compared to the six months ended December 31, 2016, principally due to the following:</w:t>
      </w:r>
    </w:p>
    <w:p>
      <w:pPr>
        <w:spacing w:after="0" w:line="1" w:lineRule="exact"/>
        <w:rPr>
          <w:sz w:val="20"/>
          <w:szCs w:val="20"/>
          <w:color w:val="auto"/>
        </w:rPr>
      </w:pPr>
    </w:p>
    <w:p>
      <w:pPr>
        <w:ind w:left="660" w:right="32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other noninterest expense of $349 thousand, primarily due to a $330 thousand decrease in expense related to the valuation of SBA servicing rights; and</w:t>
      </w:r>
    </w:p>
    <w:p>
      <w:pPr>
        <w:spacing w:after="0" w:line="183"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in occupancy and equipment expense of $221 thousand, primarily due to a decrease in IT-related equipment expense and computer equipment depreciation expense.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decreases in noninterest expense were partially offset by an increase in data processing fees of $395 thousand, primarily due to the increased cost associated with outsourcing of data processing.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2017 and 2016</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income tax expense was $1.4 million, or an effective tax rate of 29.5% for the quarter ended December 31, 2017, compared to income tax expense of $1.8 million, or an effective tax rate of 37.2% for the quarter ended December 31, 2016. Overall, tax expense decreased by $458 thousand for the quarter, primarily due to the following:</w:t>
      </w:r>
    </w:p>
    <w:p>
      <w:pPr>
        <w:ind w:left="660" w:hanging="328"/>
        <w:spacing w:after="0" w:line="28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decrease in the federal corporate income tax rate as a result of the Tax Cuts and Jobs Act signed into law on December 22, 2017, which resulted in a $762 thousand decrease in federal income tax expense. Of this total, $328 thousand was related to the decrease in the federal corporate income tax rate for the three months ended December 31, 2017 and $434 thousand was related to income tax expense previously recorded in the three months ended September 30, 2017, to arrive at the required blended federal corporate income tax rate of 28.0% for fiscal year 2018; and</w:t>
      </w:r>
    </w:p>
    <w:p>
      <w:pPr>
        <w:spacing w:after="0" w:line="2" w:lineRule="exact"/>
        <w:rPr>
          <w:rFonts w:ascii="Arial" w:cs="Arial" w:eastAsia="Arial" w:hAnsi="Arial"/>
          <w:sz w:val="16"/>
          <w:szCs w:val="16"/>
          <w:color w:val="auto"/>
        </w:rPr>
      </w:pPr>
    </w:p>
    <w:p>
      <w:pPr>
        <w:ind w:left="660" w:right="140" w:hanging="328"/>
        <w:spacing w:after="0" w:line="28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 decrease in income tax expense as a result of a $279 thousand income tax benefit arising from the treatment of stock options exercised or vested restricted stock awards under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whereby the tax effects of exercised options or vested awards are treated as a discrete item in the reporting period in which they occur.</w:t>
      </w:r>
    </w:p>
    <w:p>
      <w:pPr>
        <w:spacing w:after="0" w:line="2" w:lineRule="exact"/>
        <w:rPr>
          <w:rFonts w:ascii="Arial" w:cs="Arial" w:eastAsia="Arial" w:hAnsi="Arial"/>
          <w:sz w:val="16"/>
          <w:szCs w:val="16"/>
          <w:color w:val="auto"/>
        </w:rPr>
      </w:pPr>
    </w:p>
    <w:p>
      <w:pPr>
        <w:ind w:left="660" w:right="28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decreases in income tax expense were partially offset by the impact of revaluing the deferred tax asset as a result of the change in the federal corporate income tax rate as well as the recording of current year changes in the deferred tax asset, which resulted in an increase in income tax expense of $498 thousand.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2017 and 2016</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income tax expense was $3.0 million, or an effective tax rate of 27.5% for the six months ended December 31, 2017, compared to income tax expense of $2.9 million, or an effective tax rate of 37.0% for the six months ended December 31, 2016. Overall, income tax expense increased by $143 thousand for the six months, primarily due to the following:</w:t>
      </w:r>
    </w:p>
    <w:p>
      <w:pPr>
        <w:ind w:left="660" w:right="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income before income tax offset by a decrease in the federal corporate income tax rate as a result of the Tax Cuts and Jobs Act signed into law on December 22, 2017, which resulted in a blended federal corporate income tax rate of 28.0% for the six months ended December 31, 2017;</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income tax expense of $498 thousand due to the revaluing of the deferred tax asset as a result of the change in the federal corporate income tax rate; and,</w:t>
      </w:r>
    </w:p>
    <w:p>
      <w:pPr>
        <w:ind w:left="660" w:right="140" w:hanging="328"/>
        <w:spacing w:after="0" w:line="29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 decrease in income tax expense as a result of a $1.1 million income tax benefit arising from the treatment of stock options exercised or vested restricted stock awards under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whereby the tax effects of exercised options or vested awards are treated as a discrete item in the reporting period in which they occur.</w:t>
      </w:r>
      <w:r>
        <w:rPr>
          <w:rFonts w:ascii="Arial" w:cs="Arial" w:eastAsia="Arial" w:hAnsi="Arial"/>
          <w:sz w:val="16"/>
          <w:szCs w:val="16"/>
          <w:i w:val="1"/>
          <w:iCs w:val="1"/>
          <w:color w:val="auto"/>
        </w:rPr>
        <w:t xml:space="preserve"> </w:t>
      </w:r>
      <w:r>
        <w:rPr>
          <w:rFonts w:ascii="Arial" w:cs="Arial" w:eastAsia="Arial" w:hAnsi="Arial"/>
          <w:sz w:val="16"/>
          <w:szCs w:val="16"/>
          <w:color w:val="auto"/>
        </w:rPr>
        <w:t>See Part I. Item I. “Notes to Unaudited Consolidated Financial Statements — Note 10: Stock-Based Compensation” for further discussion.</w:t>
      </w:r>
    </w:p>
    <w:p>
      <w:pPr>
        <w:sectPr>
          <w:pgSz w:w="11900" w:h="16838" w:orient="portrait"/>
          <w:cols w:equalWidth="0" w:num="1">
            <w:col w:w="11380"/>
          </w:cols>
          <w:pgMar w:left="240" w:top="118" w:right="27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risk is the risk of loss due to adverse changes in market prices and rates, and typically encompasses exposures such as sensitivity to changes in market interest rates, foreign currency exchange rates, and commodity prices. The Company has no exposure to foreign currency exchange or commodity price movements. Because net interest income is our primary source of revenue, interest rate risk is a significant market risk to which the Company is exposed.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rate risk can be defined as the exposure of future net interest income to adverse movements in interest rates. Net interest income is affected by changes in interest rates as well as by fluctuations in the level, mix and duration of the Company's assets and liabilities. Over and above the influence that interest rates have on net interest income, changes in rates also affect the volume of lending activity, the ability of borrowers to repay loans, the volume of loan prepayments, the flow and mix of deposits, and the market value of the Company's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Asset/Liability Management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has established an Asset Liability Management Committee ("ALCO"), which is responsible for managing the Company's interest rate risk in accordance with policies and limits approved by the Board of Directors. With regard to management of market risk, the ALCO is charged with managing the Company's mix of assets and funding sources to produce results that are consistent with the Company's liquidity, capital adequacy, growth, and profitability goals.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Exposure to interest rate risk is managed by Northeast through periodic evaluations of the current interest rate risk inherent in its rate-sensitive assets and liabilities, coupled with determinations of the level of risk considered appropriate given the Company's capital and liquidity requirements, business strategy, and performance objectives. Through such management, Northeast seeks to mitigate the potential volatility in its net interest income due to changes in interest rates in a manner consistent with the risk appetite established by the Board of Directors.</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ALCO's primary tool for measuring, evaluating, and managing interest rate risk is income simulation analysis. Income simulation analysis measures the interest rate risk inherent in the Company's balance sheet at a given point in time by showing the effect of interest rate shifts on net interest income over defined time horizons. These simulations take into account the specific repricing, maturity, prepayment and call options of financial instruments that vary under different interest rate scenarios. The ALCO reviews simulation results to determine whether the exposure to a decline in net interest income remains within established tolerance levels over the simulation horizons and to develop appropriate strategies to manage this exposure. The Company considers a variety of specified rate scenarios, including instantaneous rate shocks, against static (or flat) rates when measuring interest rate risk, and evaluates results over two consecutive twelve-month periods. All changes are measured in comparison to the projected net interest income that would result from an "unchanged" scenario, where interest rates remain stable over the measured time horizon(s).</w:t>
      </w:r>
    </w:p>
    <w:p>
      <w:pPr>
        <w:spacing w:after="0" w:line="17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the ALCO reviews simulation assumptions to ensure they are reasonable, and back-tests simulation results on a periodic basis as a monitoring tool, income simulation analysis may not always prove to be an accurate indicator of the Company's interest rate risk or future earnings. There are inherent shortcomings in income simulation, given the number and variety of assumptions that must be made to perform it. For example, the projected level of future market interest rates and the shape of future interest rate yield curves have a major impact on income simulation results. Many assumptions concerning the repricing of financial instruments, the degree to which non-maturity deposits react to changes in market rates, and the expected prepayment rates on loans, mortgage-backed securities, and callable debt securities are also inherently uncertain. In addition, as income simulation analysis assumes that the Company's balance sheet will remain static over the simulation horizon, the results do not reflect the Company's expectations for future balance sheet growth, nor changes in business strategy that the Company could implement in response to rate shifts to mitigate its loss exposures. As such, although the analysis described above provides an indication of the Company's sensitivity to interest rate changes at a point in time, these estimates are not intended to and do not provide a precise forecast of the effect of changes in market interest rates on the Company's net interest income and will differ from actual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Interest Rate Risk</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can be subject to margin compression depending on the economic environment and the shape of the yield curve. Under the Company's current balance sheet position, the Company's margin generally performs slightly better over time in a rising rate environment, while it generally decreases in a declining rate environment and when the yield curve is flattening or inverted.</w:t>
      </w:r>
    </w:p>
    <w:p>
      <w:pPr>
        <w:spacing w:after="0" w:line="1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Under a flattening yield curve scenario, margin compression occurs as the spread between the cost of funding and the yield on interest earning assets narrows. Under this scenario the degree of margin compression is highly dependent on the Company's ability to fund asset growth through lower cost deposits. However, if the curve is flattening, while short-term rates are rising, the adverse impact on margin may be somewhat delayed, as increases in the Prime Rate will initially result in the Company's asset yields re-pricing more quickly than funding costs.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an inverted yield curve situation, shorter-term rates exceed longer-term rates, and the impact on margin is similar but more adverse than the flat curve scenario. Again, however, the extent of the impact on margin is highly dependent on the Company's balance sheet mix.</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 declining rate environment, margin compression will eventually occur as the yield on interest earning assets decreases more rapidly than decreases in funding costs. The primary causes would be the impact of interest rate decreases (including decreases in the Prime Rate) on adjustable rate loans and the fact that decreases in deposit rates may be limited or lag decreases in the Prime Rate.</w:t>
      </w:r>
    </w:p>
    <w:p>
      <w:pPr>
        <w:spacing w:after="0" w:line="18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There have been no material changes in the results of the Company's net interest income sensitivity analysis as reported in the Company's 2017 Annual Report on Form 10-K. At December 31, 2017, management continues to consider the Company's primary interest rate risk exposure to be margin compression that may result from changes in interest rates and/or changes in the mix of the Company's balance sheet components. This would include the mix of fixed versus variable rate loans and investments on the asset side, and higher cost versus lower cost deposits and overnight borrowings versus term borrowings and certificates of deposit on the liability side.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maintains controls and procedures designed to ensure that information required to be disclosed in the reports the Company files or submits under the Securities Exchange Act of 1934 (“Exchange Act”) is recorded, processed, summarized and reported within the time periods specified in the rules and forms of the Securities and Exchange Commission, and that such information is accumulated and communicated to the Company’s management, including the Chief Executive Officer and Chief Financial Officer (the Company’s principal executive officer and principal financial officer, respectively), as appropriate to allow for timely decisions regarding timely disclosure. In designing and evaluating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The Company’s management, with the participation of the Chief Executive Officer and Chief Financial Officer, has evaluated the effectiveness of its disclosure controls and procedures (as defined in Rules 13a-15(e) and 15d-15(e) under the Exchange Act) as of the end of the period covered by this Quarterly Report on Form 10-Q.</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this evaluation of the Company’s disclosure controls and procedures, the Chief Executive Officer and Chief Financial Officer have concluded that these disclosure controls and procedures were effective as of December 31,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were no changes in the Company’s internal controls over financial reporting (as defined in Rule 13a-15(f) of the Exchange Act) that occurred during the quarter ended December 31, 2017 that have materially affected, or is reasonably likely to materially affect, the Company’s internal controls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There have been no material changes to the risk factors disclosed in Item 1A of the Company’s 2017 Annual Report on Form 10-K.</w:t>
      </w:r>
    </w:p>
    <w:p>
      <w:pPr>
        <w:spacing w:after="0" w:line="244"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There were no purchases made by the Company of its common stock during the three and six months ended December 31, 2017.</w:t>
      </w:r>
    </w:p>
    <w:p>
      <w:pPr>
        <w:spacing w:after="0" w:line="23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8"/>
          <w:szCs w:val="18"/>
          <w:u w:val="single" w:color="auto"/>
          <w:color w:val="auto"/>
        </w:rPr>
        <w:t>Exhibits No</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Description</w:t>
      </w:r>
    </w:p>
    <w:p>
      <w:pPr>
        <w:spacing w:after="0" w:line="23" w:lineRule="exact"/>
        <w:rPr>
          <w:sz w:val="20"/>
          <w:szCs w:val="20"/>
          <w:color w:val="auto"/>
        </w:rPr>
      </w:pPr>
    </w:p>
    <w:p>
      <w:pPr>
        <w:jc w:val="right"/>
        <w:spacing w:after="0"/>
        <w:tabs>
          <w:tab w:leader="none" w:pos="88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6"/>
            <w:szCs w:val="16"/>
            <w:u w:val="single" w:color="auto"/>
            <w:color w:val="0000EE"/>
          </w:rPr>
          <w:t>Certification of the Chief Executive Officer pursuant to Section 302 of the Sarbanes-Oxley Act of 2002 (Rule 13a-14(a)). *</w:t>
        </w:r>
      </w:hyperlink>
    </w:p>
    <w:p>
      <w:pPr>
        <w:spacing w:after="0" w:line="9" w:lineRule="exact"/>
        <w:rPr>
          <w:sz w:val="20"/>
          <w:szCs w:val="20"/>
          <w:color w:val="auto"/>
        </w:rPr>
      </w:pPr>
    </w:p>
    <w:p>
      <w:pPr>
        <w:ind w:left="1160"/>
        <w:spacing w:after="0"/>
        <w:tabs>
          <w:tab w:leader="none" w:pos="19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2">
        <w:r>
          <w:rPr>
            <w:rFonts w:ascii="Arial" w:cs="Arial" w:eastAsia="Arial" w:hAnsi="Arial"/>
            <w:sz w:val="16"/>
            <w:szCs w:val="16"/>
            <w:u w:val="single" w:color="auto"/>
            <w:color w:val="0000EE"/>
          </w:rPr>
          <w:t>Certification of the Chief Financial Officer pursuant to Section 302 of the Sarbanes-Oxley Act of 2002 (Rule 13a-14(a)). *</w:t>
        </w:r>
      </w:hyperlink>
    </w:p>
    <w:p>
      <w:pPr>
        <w:spacing w:after="0" w:line="9" w:lineRule="exact"/>
        <w:rPr>
          <w:sz w:val="20"/>
          <w:szCs w:val="20"/>
          <w:color w:val="auto"/>
        </w:rPr>
      </w:pPr>
    </w:p>
    <w:p>
      <w:pPr>
        <w:ind w:left="1960" w:right="220" w:hanging="805"/>
        <w:spacing w:after="0" w:line="250"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8"/>
            <w:szCs w:val="18"/>
            <w:u w:val="single" w:color="auto"/>
            <w:color w:val="0000EE"/>
          </w:rPr>
          <w:t>Certificate of the 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Sarbanes-Oxley Act of 2002 (Rule 13a-14(b)). **</w:t>
        </w:r>
      </w:hyperlink>
    </w:p>
    <w:p>
      <w:pPr>
        <w:spacing w:after="0" w:line="1" w:lineRule="exact"/>
        <w:rPr>
          <w:sz w:val="20"/>
          <w:szCs w:val="20"/>
          <w:color w:val="auto"/>
        </w:rPr>
      </w:pPr>
    </w:p>
    <w:p>
      <w:pPr>
        <w:ind w:left="1960" w:right="260" w:hanging="805"/>
        <w:spacing w:after="0" w:line="250" w:lineRule="auto"/>
        <w:tabs>
          <w:tab w:leader="none" w:pos="19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8"/>
            <w:szCs w:val="18"/>
            <w:u w:val="single" w:color="auto"/>
            <w:color w:val="0000EE"/>
          </w:rPr>
          <w:t>Certificate of the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54">
        <w:r>
          <w:rPr>
            <w:rFonts w:ascii="Arial" w:cs="Arial" w:eastAsia="Arial" w:hAnsi="Arial"/>
            <w:sz w:val="18"/>
            <w:szCs w:val="18"/>
            <w:u w:val="single" w:color="auto"/>
            <w:color w:val="0000EE"/>
          </w:rPr>
          <w:t>Sarbanes-Oxley Act of 2002 (Rule 13a-14(b)). **</w:t>
        </w:r>
      </w:hyperlink>
    </w:p>
    <w:p>
      <w:pPr>
        <w:spacing w:after="0" w:line="1" w:lineRule="exact"/>
        <w:rPr>
          <w:sz w:val="20"/>
          <w:szCs w:val="20"/>
          <w:color w:val="auto"/>
        </w:rPr>
      </w:pPr>
    </w:p>
    <w:p>
      <w:pPr>
        <w:ind w:left="1960" w:right="80" w:hanging="777"/>
        <w:spacing w:after="0" w:line="252"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following materials from Northeast Bancorp’s Quarterly Report on Form 10-Q for the quarter ended December 31, 2017 formatted in XBRL: (i) Consolidated Balance Sheets at December 31, 2017 and June 30, 2017; (ii) Consolidated Statements of Income for the three and six months ended December 31, 2017 and 2016; (iii) Consolidated Statements of Comprehensive Income for the three and six months ended December 31, 2017 and 2016; (iv) Consolidated Statements of Changes in Shareholders’ Equity for the six months ended December 31, 2017 and 2016; (v) Consolidated Statements of Cash Flows for the six months ended December 31, 2017 and 2016; and (v) Notes to Unaudited Consolidated Financial Statements. *</w:t>
      </w:r>
    </w:p>
    <w:p>
      <w:pPr>
        <w:spacing w:after="0" w:line="19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118" w:right="81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Date: February 9, 2018</w:t>
      </w:r>
      <w:r>
        <w:rPr>
          <w:sz w:val="20"/>
          <w:szCs w:val="20"/>
          <w:color w:val="auto"/>
        </w:rPr>
        <w:tab/>
      </w:r>
      <w:r>
        <w:rPr>
          <w:rFonts w:ascii="Arial" w:cs="Arial" w:eastAsia="Arial" w:hAnsi="Arial"/>
          <w:sz w:val="17"/>
          <w:szCs w:val="17"/>
          <w:b w:val="1"/>
          <w:bCs w:val="1"/>
          <w:color w:val="auto"/>
        </w:rPr>
        <w:t>NORTHEAST BANCORP</w:t>
      </w:r>
    </w:p>
    <w:p>
      <w:pPr>
        <w:spacing w:after="0" w:line="22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Richard Wayne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Jean-Pierre Lapointe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Jean-Pierre Lapointe</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NORTHEAST BANCORP</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1160"/>
        <w:spacing w:after="0"/>
        <w:tabs>
          <w:tab w:leader="none" w:pos="2020" w:val="left"/>
        </w:tabs>
        <w:rPr>
          <w:sz w:val="20"/>
          <w:szCs w:val="20"/>
          <w:color w:val="auto"/>
        </w:rPr>
      </w:pPr>
      <w:r>
        <w:rPr>
          <w:rFonts w:ascii="Arial" w:cs="Arial" w:eastAsia="Arial" w:hAnsi="Arial"/>
          <w:sz w:val="18"/>
          <w:szCs w:val="18"/>
          <w:u w:val="single" w:color="auto"/>
          <w:color w:val="auto"/>
        </w:rPr>
        <w:t>Exhibits</w:t>
      </w:r>
      <w:r>
        <w:rPr>
          <w:sz w:val="20"/>
          <w:szCs w:val="20"/>
          <w:color w:val="auto"/>
        </w:rPr>
        <w:tab/>
      </w:r>
      <w:r>
        <w:rPr>
          <w:rFonts w:ascii="Arial" w:cs="Arial" w:eastAsia="Arial" w:hAnsi="Arial"/>
          <w:sz w:val="18"/>
          <w:szCs w:val="18"/>
          <w:u w:val="single" w:color="auto"/>
          <w:color w:val="auto"/>
        </w:rPr>
        <w:t>Description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w:t>
      </w:r>
    </w:p>
    <w:p>
      <w:pPr>
        <w:spacing w:after="0" w:line="9" w:lineRule="exact"/>
        <w:rPr>
          <w:sz w:val="20"/>
          <w:szCs w:val="20"/>
          <w:color w:val="auto"/>
        </w:rPr>
      </w:pPr>
    </w:p>
    <w:p>
      <w:pPr>
        <w:ind w:left="2040" w:right="340" w:hanging="737"/>
        <w:spacing w:after="0" w:line="250" w:lineRule="auto"/>
        <w:tabs>
          <w:tab w:leader="none" w:pos="2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pursuant to Section 302 of the Sarbanes-Oxley Act of 2002 (Rule 13a-14(a)). *</w:t>
      </w:r>
    </w:p>
    <w:p>
      <w:pPr>
        <w:spacing w:after="0" w:line="1" w:lineRule="exact"/>
        <w:rPr>
          <w:sz w:val="20"/>
          <w:szCs w:val="20"/>
          <w:color w:val="auto"/>
        </w:rPr>
      </w:pPr>
    </w:p>
    <w:p>
      <w:pPr>
        <w:ind w:left="2040" w:right="400" w:hanging="737"/>
        <w:spacing w:after="0" w:line="250" w:lineRule="auto"/>
        <w:tabs>
          <w:tab w:leader="none" w:pos="2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pursuant to Section 302 of the Sarbanes-Oxley Act of 2002 (Rule 13a-14(a)). *</w:t>
      </w:r>
    </w:p>
    <w:p>
      <w:pPr>
        <w:spacing w:after="0" w:line="1" w:lineRule="exact"/>
        <w:rPr>
          <w:sz w:val="20"/>
          <w:szCs w:val="20"/>
          <w:color w:val="auto"/>
        </w:rPr>
      </w:pPr>
    </w:p>
    <w:p>
      <w:pPr>
        <w:ind w:left="2040" w:right="220" w:hanging="737"/>
        <w:spacing w:after="0" w:line="250" w:lineRule="auto"/>
        <w:tabs>
          <w:tab w:leader="none" w:pos="2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Certificate of the Chief Executive Officer pursuant to 18 U.S.C. Section 1350, as adopted pursuant to Section 906 of the Sarbanes-Oxley Act of 2002 (Rule 13a-14(b)). **</w:t>
      </w:r>
    </w:p>
    <w:p>
      <w:pPr>
        <w:spacing w:after="0" w:line="1" w:lineRule="exact"/>
        <w:rPr>
          <w:sz w:val="20"/>
          <w:szCs w:val="20"/>
          <w:color w:val="auto"/>
        </w:rPr>
      </w:pPr>
    </w:p>
    <w:p>
      <w:pPr>
        <w:ind w:left="2040" w:hanging="737"/>
        <w:spacing w:after="0" w:line="250" w:lineRule="auto"/>
        <w:tabs>
          <w:tab w:leader="none" w:pos="20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Certificate of the Chief Financial Officer pursuant to 18 U.S.C. Section 1350, as adopted pursuant to Section 906 of the Sarbanes-Oxley Act of 2002 (Rule 13a-14(b)). **</w:t>
      </w:r>
    </w:p>
    <w:p>
      <w:pPr>
        <w:spacing w:after="0" w:line="1" w:lineRule="exact"/>
        <w:rPr>
          <w:sz w:val="20"/>
          <w:szCs w:val="20"/>
          <w:color w:val="auto"/>
        </w:rPr>
      </w:pPr>
    </w:p>
    <w:p>
      <w:pPr>
        <w:ind w:left="2040" w:right="60" w:hanging="722"/>
        <w:spacing w:after="0" w:line="269" w:lineRule="auto"/>
        <w:tabs>
          <w:tab w:leader="none" w:pos="2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materials from Northeast Bancorp’s Quarterly Report on Form 10-Q for the quarter ended December 31 2017 formatted in XBRL: (i) Consolidated Balance Sheets at December 31, 2017 and June 30, 2017; (ii) Consolidated Statements of Income for the three and six months ended December 31, 2017 and 2016; (iii) Consolidated Statements of Comprehensive Income for the three and six months ended December 31, 2017 and 2016; (iv) Consolidated Statements of Changes in Shareholders’ Equity for the six months ended December 31, 2017 and 2016; (v) Consolidated Statements of Cash Flows for the six months ended December 31, 2017 and 2016; and (v) Notes to Unaudited Consolidated Financial Statements.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40"/>
          </w:cols>
          <w:pgMar w:left="240" w:top="118" w:right="1019" w:bottom="1440" w:gutter="0" w:footer="0" w:header="0"/>
        </w:sectPr>
      </w:pPr>
    </w:p>
    <w:bookmarkStart w:id="50" w:name="page51"/>
    <w:bookmarkEnd w:id="50"/>
    <w:p>
      <w:pPr>
        <w:spacing w:after="0"/>
        <w:tabs>
          <w:tab w:leader="none" w:pos="1100" w:val="left"/>
        </w:tabs>
        <w:rPr>
          <w:sz w:val="20"/>
          <w:szCs w:val="20"/>
          <w:color w:val="auto"/>
        </w:rPr>
      </w:pPr>
      <w:r>
        <w:rPr>
          <w:rFonts w:ascii="Arial" w:cs="Arial" w:eastAsia="Arial" w:hAnsi="Arial"/>
          <w:sz w:val="18"/>
          <w:szCs w:val="18"/>
          <w:b w:val="1"/>
          <w:bCs w:val="1"/>
          <w:color w:val="auto"/>
        </w:rPr>
        <w:t>Exhibit 31.1</w:t>
      </w:r>
      <w:r>
        <w:rPr>
          <w:sz w:val="20"/>
          <w:szCs w:val="20"/>
          <w:color w:val="auto"/>
        </w:rPr>
        <w:tab/>
      </w:r>
      <w:r>
        <w:rPr>
          <w:rFonts w:ascii="Arial" w:cs="Arial" w:eastAsia="Arial" w:hAnsi="Arial"/>
          <w:sz w:val="16"/>
          <w:szCs w:val="16"/>
          <w:b w:val="1"/>
          <w:bCs w:val="1"/>
          <w:color w:val="auto"/>
        </w:rPr>
        <w:t>Certification of the Chief Executive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Wayne, certify that:</w:t>
      </w:r>
    </w:p>
    <w:p>
      <w:pPr>
        <w:spacing w:after="0" w:line="25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52"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340" w:right="40" w:hanging="8"/>
        <w:spacing w:after="0" w:line="264" w:lineRule="auto"/>
        <w:tabs>
          <w:tab w:leader="none" w:pos="6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340" w:right="60" w:hanging="8"/>
        <w:spacing w:after="0" w:line="264" w:lineRule="auto"/>
        <w:tabs>
          <w:tab w:leader="none" w:pos="5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100" w:hanging="8"/>
        <w:spacing w:after="0" w:line="308" w:lineRule="auto"/>
        <w:tabs>
          <w:tab w:leader="none" w:pos="63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340" w:right="140" w:hanging="8"/>
        <w:spacing w:after="0" w:line="264" w:lineRule="auto"/>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hanging="8"/>
        <w:spacing w:after="0" w:line="277" w:lineRule="auto"/>
        <w:tabs>
          <w:tab w:leader="none" w:pos="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60" w:hanging="8"/>
        <w:spacing w:after="0" w:line="277" w:lineRule="auto"/>
        <w:tabs>
          <w:tab w:leader="none" w:pos="63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9, 2018</w:t>
      </w:r>
    </w:p>
    <w:p>
      <w:pPr>
        <w:spacing w:after="0" w:line="23" w:lineRule="exact"/>
        <w:rPr>
          <w:sz w:val="20"/>
          <w:szCs w:val="20"/>
          <w:color w:val="auto"/>
        </w:rPr>
      </w:pPr>
    </w:p>
    <w:p>
      <w:pPr>
        <w:jc w:val="right"/>
        <w:ind w:right="5040"/>
        <w:spacing w:after="0"/>
        <w:rPr>
          <w:sz w:val="20"/>
          <w:szCs w:val="20"/>
          <w:color w:val="auto"/>
        </w:rPr>
      </w:pPr>
      <w:r>
        <w:rPr>
          <w:rFonts w:ascii="Arial" w:cs="Arial" w:eastAsia="Arial" w:hAnsi="Arial"/>
          <w:sz w:val="18"/>
          <w:szCs w:val="18"/>
          <w:u w:val="single" w:color="auto"/>
          <w:color w:val="auto"/>
        </w:rPr>
        <w:t>/s/ Richard Wayne</w:t>
      </w:r>
    </w:p>
    <w:p>
      <w:pPr>
        <w:spacing w:after="0" w:line="9"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Richard Wayne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80"/>
          </w:cols>
          <w:pgMar w:left="240" w:top="121" w:right="279" w:bottom="1440" w:gutter="0" w:footer="0" w:header="0"/>
        </w:sectPr>
      </w:pPr>
    </w:p>
    <w:bookmarkStart w:id="51" w:name="page52"/>
    <w:bookmarkEnd w:id="51"/>
    <w:p>
      <w:pPr>
        <w:spacing w:after="0"/>
        <w:tabs>
          <w:tab w:leader="none" w:pos="1140" w:val="left"/>
        </w:tabs>
        <w:rPr>
          <w:sz w:val="20"/>
          <w:szCs w:val="20"/>
          <w:color w:val="auto"/>
        </w:rPr>
      </w:pPr>
      <w:r>
        <w:rPr>
          <w:rFonts w:ascii="Arial" w:cs="Arial" w:eastAsia="Arial" w:hAnsi="Arial"/>
          <w:sz w:val="18"/>
          <w:szCs w:val="18"/>
          <w:b w:val="1"/>
          <w:bCs w:val="1"/>
          <w:color w:val="auto"/>
        </w:rPr>
        <w:t>Exhibit 31.2</w:t>
      </w:r>
      <w:r>
        <w:rPr>
          <w:sz w:val="20"/>
          <w:szCs w:val="20"/>
          <w:color w:val="auto"/>
        </w:rPr>
        <w:tab/>
      </w:r>
      <w:r>
        <w:rPr>
          <w:rFonts w:ascii="Arial" w:cs="Arial" w:eastAsia="Arial" w:hAnsi="Arial"/>
          <w:sz w:val="16"/>
          <w:szCs w:val="16"/>
          <w:b w:val="1"/>
          <w:bCs w:val="1"/>
          <w:color w:val="auto"/>
        </w:rPr>
        <w:t>Certification of the Chief Financial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J.P. Lapointe, certify that:</w:t>
      </w:r>
    </w:p>
    <w:p>
      <w:pPr>
        <w:spacing w:after="0" w:line="25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Northeast Bancorp;</w:t>
      </w:r>
    </w:p>
    <w:p>
      <w:pPr>
        <w:spacing w:after="0" w:line="252"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4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340" w:right="40" w:hanging="8"/>
        <w:spacing w:after="0" w:line="264" w:lineRule="auto"/>
        <w:tabs>
          <w:tab w:leader="none" w:pos="6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340" w:right="60" w:hanging="8"/>
        <w:spacing w:after="0" w:line="264" w:lineRule="auto"/>
        <w:tabs>
          <w:tab w:leader="none" w:pos="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40" w:right="100" w:hanging="8"/>
        <w:spacing w:after="0" w:line="308" w:lineRule="auto"/>
        <w:tabs>
          <w:tab w:leader="none" w:pos="63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340" w:right="140" w:hanging="8"/>
        <w:spacing w:after="0" w:line="264" w:lineRule="auto"/>
        <w:tabs>
          <w:tab w:leader="none" w:pos="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4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hanging="8"/>
        <w:spacing w:after="0" w:line="277" w:lineRule="auto"/>
        <w:tabs>
          <w:tab w:leader="none" w:pos="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60" w:hanging="8"/>
        <w:spacing w:after="0" w:line="277" w:lineRule="auto"/>
        <w:tabs>
          <w:tab w:leader="none" w:pos="63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February 9, 2018</w:t>
            </w:r>
          </w:p>
        </w:tc>
        <w:tc>
          <w:tcPr>
            <w:tcW w:w="4820" w:type="dxa"/>
            <w:vAlign w:val="bottom"/>
            <w:gridSpan w:val="3"/>
          </w:tcPr>
          <w:p>
            <w:pPr>
              <w:ind w:left="1880"/>
              <w:spacing w:after="0"/>
              <w:rPr>
                <w:sz w:val="20"/>
                <w:szCs w:val="20"/>
                <w:color w:val="auto"/>
              </w:rPr>
            </w:pPr>
            <w:r>
              <w:rPr>
                <w:rFonts w:ascii="Arial" w:cs="Arial" w:eastAsia="Arial" w:hAnsi="Arial"/>
                <w:sz w:val="18"/>
                <w:szCs w:val="18"/>
                <w:color w:val="auto"/>
              </w:rPr>
              <w:t>/s/ Jean-Pierre Lapointe</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Jean-Pierre Lapointe</w:t>
            </w:r>
          </w:p>
        </w:tc>
      </w:tr>
      <w:tr>
        <w:trPr>
          <w:trHeight w:val="230"/>
        </w:trPr>
        <w:tc>
          <w:tcPr>
            <w:tcW w:w="3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380"/>
          </w:cols>
          <w:pgMar w:left="240" w:top="121" w:right="279" w:bottom="1440" w:gutter="0" w:footer="0" w:header="0"/>
        </w:sectPr>
      </w:pPr>
    </w:p>
    <w:bookmarkStart w:id="52" w:name="page53"/>
    <w:bookmarkEnd w:id="52"/>
    <w:p>
      <w:pPr>
        <w:spacing w:after="0"/>
        <w:tabs>
          <w:tab w:leader="none" w:pos="1180" w:val="left"/>
        </w:tabs>
        <w:rPr>
          <w:sz w:val="20"/>
          <w:szCs w:val="20"/>
          <w:color w:val="auto"/>
        </w:rPr>
      </w:pPr>
      <w:r>
        <w:rPr>
          <w:rFonts w:ascii="Arial" w:cs="Arial" w:eastAsia="Arial" w:hAnsi="Arial"/>
          <w:sz w:val="18"/>
          <w:szCs w:val="18"/>
          <w:b w:val="1"/>
          <w:bCs w:val="1"/>
          <w:color w:val="auto"/>
        </w:rPr>
        <w:t>Exhibit 32.1.</w:t>
      </w:r>
      <w:r>
        <w:rPr>
          <w:sz w:val="20"/>
          <w:szCs w:val="20"/>
          <w:color w:val="auto"/>
        </w:rPr>
        <w:tab/>
      </w:r>
      <w:r>
        <w:rPr>
          <w:rFonts w:ascii="Arial" w:cs="Arial" w:eastAsia="Arial" w:hAnsi="Arial"/>
          <w:sz w:val="16"/>
          <w:szCs w:val="16"/>
          <w:b w:val="1"/>
          <w:bCs w:val="1"/>
          <w:color w:val="auto"/>
        </w:rPr>
        <w:t>Certificate of the Chief Executive Officer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40"/>
        <w:spacing w:after="0" w:line="312" w:lineRule="auto"/>
        <w:rPr>
          <w:sz w:val="20"/>
          <w:szCs w:val="20"/>
          <w:color w:val="auto"/>
        </w:rPr>
      </w:pPr>
      <w:r>
        <w:rPr>
          <w:rFonts w:ascii="Arial" w:cs="Arial" w:eastAsia="Arial" w:hAnsi="Arial"/>
          <w:sz w:val="16"/>
          <w:szCs w:val="16"/>
          <w:color w:val="auto"/>
        </w:rPr>
        <w:t>In connection with the Quarterly Report of Northeast Bancorp. (the "Company") on Form 10-Q for the quarterly period ended December 31, 2017 as filed with the Securities and Exchange Commission on the date hereof (the "Report"), I, Richard Wayne, as Chief Executive Officer of the Company, hereby certify pursuant to 18 U.S.C. 1350, as adopted pursuant to 906 of the Sarbanes-Oxley Act of 2002, that:</w:t>
      </w:r>
    </w:p>
    <w:p>
      <w:pPr>
        <w:spacing w:after="0" w:line="174"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302" w:lineRule="exact"/>
        <w:rPr>
          <w:rFonts w:ascii="Arial" w:cs="Arial" w:eastAsia="Arial" w:hAnsi="Arial"/>
          <w:sz w:val="16"/>
          <w:szCs w:val="16"/>
          <w:color w:val="auto"/>
        </w:rPr>
      </w:pPr>
    </w:p>
    <w:p>
      <w:pPr>
        <w:ind w:left="340" w:hanging="8"/>
        <w:spacing w:after="0" w:line="277"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97" w:lineRule="exact"/>
        <w:rPr>
          <w:sz w:val="20"/>
          <w:szCs w:val="20"/>
          <w:color w:val="auto"/>
        </w:rPr>
      </w:pPr>
    </w:p>
    <w:p>
      <w:pPr>
        <w:ind w:right="1480"/>
        <w:spacing w:after="0" w:line="342" w:lineRule="auto"/>
        <w:rPr>
          <w:sz w:val="20"/>
          <w:szCs w:val="20"/>
          <w:color w:val="auto"/>
        </w:rPr>
      </w:pPr>
      <w:r>
        <w:rPr>
          <w:rFonts w:ascii="Arial" w:cs="Arial" w:eastAsia="Arial" w:hAnsi="Arial"/>
          <w:sz w:val="16"/>
          <w:szCs w:val="16"/>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February 9, 2018</w:t>
            </w:r>
          </w:p>
        </w:tc>
        <w:tc>
          <w:tcPr>
            <w:tcW w:w="3820" w:type="dxa"/>
            <w:vAlign w:val="bottom"/>
            <w:gridSpan w:val="3"/>
          </w:tcPr>
          <w:p>
            <w:pPr>
              <w:ind w:left="1880"/>
              <w:spacing w:after="0"/>
              <w:rPr>
                <w:sz w:val="20"/>
                <w:szCs w:val="20"/>
                <w:color w:val="auto"/>
              </w:rPr>
            </w:pPr>
            <w:r>
              <w:rPr>
                <w:rFonts w:ascii="Arial" w:cs="Arial" w:eastAsia="Arial" w:hAnsi="Arial"/>
                <w:sz w:val="18"/>
                <w:szCs w:val="18"/>
                <w:color w:val="auto"/>
              </w:rPr>
              <w:t>/s/ Richard Wayne</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Richard Wayne</w:t>
            </w:r>
          </w:p>
        </w:tc>
      </w:tr>
      <w:tr>
        <w:trPr>
          <w:trHeight w:val="230"/>
        </w:trPr>
        <w:tc>
          <w:tcPr>
            <w:tcW w:w="3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w w:val="92"/>
              </w:rPr>
              <w:t>Chief Executive Officer</w:t>
            </w:r>
          </w:p>
        </w:tc>
      </w:tr>
    </w:tbl>
    <w:p>
      <w:pPr>
        <w:sectPr>
          <w:pgSz w:w="11900" w:h="16838" w:orient="portrait"/>
          <w:cols w:equalWidth="0" w:num="1">
            <w:col w:w="11300"/>
          </w:cols>
          <w:pgMar w:left="240" w:top="121" w:right="359" w:bottom="1440" w:gutter="0" w:footer="0" w:header="0"/>
        </w:sectPr>
      </w:pPr>
    </w:p>
    <w:bookmarkStart w:id="53" w:name="page54"/>
    <w:bookmarkEnd w:id="53"/>
    <w:p>
      <w:pPr>
        <w:spacing w:after="0"/>
        <w:tabs>
          <w:tab w:leader="none" w:pos="1180" w:val="left"/>
        </w:tabs>
        <w:rPr>
          <w:sz w:val="20"/>
          <w:szCs w:val="20"/>
          <w:color w:val="auto"/>
        </w:rPr>
      </w:pPr>
      <w:r>
        <w:rPr>
          <w:rFonts w:ascii="Arial" w:cs="Arial" w:eastAsia="Arial" w:hAnsi="Arial"/>
          <w:sz w:val="18"/>
          <w:szCs w:val="18"/>
          <w:b w:val="1"/>
          <w:bCs w:val="1"/>
          <w:color w:val="auto"/>
        </w:rPr>
        <w:t>Exhibit 32.2.</w:t>
      </w:r>
      <w:r>
        <w:rPr>
          <w:sz w:val="20"/>
          <w:szCs w:val="20"/>
          <w:color w:val="auto"/>
        </w:rPr>
        <w:tab/>
      </w:r>
      <w:r>
        <w:rPr>
          <w:rFonts w:ascii="Arial" w:cs="Arial" w:eastAsia="Arial" w:hAnsi="Arial"/>
          <w:sz w:val="16"/>
          <w:szCs w:val="16"/>
          <w:b w:val="1"/>
          <w:bCs w:val="1"/>
          <w:color w:val="auto"/>
        </w:rPr>
        <w:t>Certificate of the Chief Financial Officer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40"/>
        <w:spacing w:after="0" w:line="312" w:lineRule="auto"/>
        <w:rPr>
          <w:sz w:val="20"/>
          <w:szCs w:val="20"/>
          <w:color w:val="auto"/>
        </w:rPr>
      </w:pPr>
      <w:r>
        <w:rPr>
          <w:rFonts w:ascii="Arial" w:cs="Arial" w:eastAsia="Arial" w:hAnsi="Arial"/>
          <w:sz w:val="16"/>
          <w:szCs w:val="16"/>
          <w:color w:val="auto"/>
        </w:rPr>
        <w:t>In connection with the Quarterly Report of Northeast Bancorp. (the "Company") on Form 10-Q for the quarterly period ended December 31, 2017 as filed with the Securities and Exchange Commission on the date hereof (the "Report"), I, J.P. Lapointe, as Chief Financial Officer of the Company, hereby certify pursuant to 18 U.S.C. 1350, as adopted pursuant to 906 of the Sarbanes-Oxley Act of 2002, that:</w:t>
      </w:r>
    </w:p>
    <w:p>
      <w:pPr>
        <w:spacing w:after="0" w:line="174" w:lineRule="exact"/>
        <w:rPr>
          <w:sz w:val="20"/>
          <w:szCs w:val="20"/>
          <w:color w:val="auto"/>
        </w:rPr>
      </w:pPr>
    </w:p>
    <w:p>
      <w:pPr>
        <w:ind w:left="620" w:hanging="288"/>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302" w:lineRule="exact"/>
        <w:rPr>
          <w:rFonts w:ascii="Arial" w:cs="Arial" w:eastAsia="Arial" w:hAnsi="Arial"/>
          <w:sz w:val="16"/>
          <w:szCs w:val="16"/>
          <w:color w:val="auto"/>
        </w:rPr>
      </w:pPr>
    </w:p>
    <w:p>
      <w:pPr>
        <w:ind w:left="340" w:hanging="8"/>
        <w:spacing w:after="0" w:line="277"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the periods covered by the Report.</w:t>
      </w:r>
    </w:p>
    <w:p>
      <w:pPr>
        <w:spacing w:after="0" w:line="197" w:lineRule="exact"/>
        <w:rPr>
          <w:sz w:val="20"/>
          <w:szCs w:val="20"/>
          <w:color w:val="auto"/>
        </w:rPr>
      </w:pPr>
    </w:p>
    <w:p>
      <w:pPr>
        <w:ind w:right="1480"/>
        <w:spacing w:after="0" w:line="342" w:lineRule="auto"/>
        <w:rPr>
          <w:sz w:val="20"/>
          <w:szCs w:val="20"/>
          <w:color w:val="auto"/>
        </w:rPr>
      </w:pPr>
      <w:r>
        <w:rPr>
          <w:rFonts w:ascii="Arial" w:cs="Arial" w:eastAsia="Arial" w:hAnsi="Arial"/>
          <w:sz w:val="16"/>
          <w:szCs w:val="16"/>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February 9, 2018</w:t>
            </w:r>
          </w:p>
        </w:tc>
        <w:tc>
          <w:tcPr>
            <w:tcW w:w="4820" w:type="dxa"/>
            <w:vAlign w:val="bottom"/>
            <w:gridSpan w:val="3"/>
          </w:tcPr>
          <w:p>
            <w:pPr>
              <w:ind w:left="1880"/>
              <w:spacing w:after="0"/>
              <w:rPr>
                <w:sz w:val="20"/>
                <w:szCs w:val="20"/>
                <w:color w:val="auto"/>
              </w:rPr>
            </w:pPr>
            <w:r>
              <w:rPr>
                <w:rFonts w:ascii="Arial" w:cs="Arial" w:eastAsia="Arial" w:hAnsi="Arial"/>
                <w:sz w:val="18"/>
                <w:szCs w:val="18"/>
                <w:color w:val="auto"/>
              </w:rPr>
              <w:t>/s/ Jean-Pierre Lapointe</w:t>
            </w:r>
          </w:p>
        </w:tc>
      </w:tr>
      <w:tr>
        <w:trPr>
          <w:trHeight w:val="20"/>
        </w:trPr>
        <w:tc>
          <w:tcPr>
            <w:tcW w:w="3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rPr>
              <w:t>Jean-Pierre Lapointe</w:t>
            </w:r>
          </w:p>
        </w:tc>
      </w:tr>
      <w:tr>
        <w:trPr>
          <w:trHeight w:val="230"/>
        </w:trPr>
        <w:tc>
          <w:tcPr>
            <w:tcW w:w="3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pacing w:after="0" w:line="1" w:lineRule="exact"/>
        <w:rPr>
          <w:sz w:val="20"/>
          <w:szCs w:val="20"/>
          <w:color w:val="auto"/>
        </w:rPr>
      </w:pPr>
    </w:p>
    <w:sectPr>
      <w:pgSz w:w="11900" w:h="16838" w:orient="portrait"/>
      <w:cols w:equalWidth="0" w:num="1">
        <w:col w:w="11300"/>
      </w:cols>
      <w:pgMar w:left="24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decimal"/>
      <w:start w:val="6"/>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decimal"/>
      <w:start w:val="8"/>
    </w:lvl>
  </w:abstractNum>
  <w:abstractNum w:abstractNumId="10">
    <w:nsid w:val="B03E0C6"/>
    <w:multiLevelType w:val="hybridMultilevel"/>
    <w:lvl w:ilvl="0">
      <w:lvlJc w:val="left"/>
      <w:lvlText w:val="%1."/>
      <w:numFmt w:val="decimal"/>
      <w:start w:val="9"/>
    </w:lvl>
  </w:abstractNum>
  <w:abstractNum w:abstractNumId="11">
    <w:nsid w:val="189A769B"/>
    <w:multiLevelType w:val="hybridMultilevel"/>
    <w:lvl w:ilvl="0">
      <w:lvlJc w:val="left"/>
      <w:lvlText w:val="%1."/>
      <w:numFmt w:val="decimal"/>
      <w:start w:val="10"/>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decimal"/>
      <w:start w:val="12"/>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lowerRoman"/>
      <w:start w:val="3"/>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lvl w:ilvl="1">
      <w:lvlJc w:val="left"/>
      <w:lvlText w:val="%2"/>
      <w:numFmt w:val="decimal"/>
      <w:start w:val="101"/>
    </w:lvl>
  </w:abstractNum>
  <w:abstractNum w:abstractNumId="35">
    <w:nsid w:val="2463B9EA"/>
    <w:multiLevelType w:val="hybridMultilevel"/>
    <w:lvl w:ilvl="0">
      <w:lvlJc w:val="left"/>
      <w:lvlText w:val="**"/>
      <w:numFmt w:val="bullet"/>
      <w:start w:val="1"/>
    </w:lvl>
    <w:lvl w:ilvl="1">
      <w:lvlJc w:val="left"/>
      <w:lvlText w:val="%2"/>
      <w:numFmt w:val="decimal"/>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2019-12-29T01:53:18Z</dcterms:created>
  <dcterms:modified xsi:type="dcterms:W3CDTF">2019-12-29T01:53:18Z</dcterms:modified>
</cp:coreProperties>
</file>