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Quarterly report pursuant to Section 13 or 15 (d) of the Securities Exchange Act of 1934</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quarterly period ended December 31, 2018</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1-14588</w:t>
      </w:r>
    </w:p>
    <w:p>
      <w:pPr>
        <w:spacing w:after="0" w:line="200" w:lineRule="exact"/>
        <w:rPr>
          <w:sz w:val="24"/>
          <w:szCs w:val="24"/>
          <w:color w:val="auto"/>
        </w:rPr>
      </w:pPr>
    </w:p>
    <w:p>
      <w:pPr>
        <w:spacing w:after="0" w:line="21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Northeast Bancorp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3"/>
              </w:rPr>
              <w:t>Maine</w:t>
            </w:r>
          </w:p>
        </w:tc>
        <w:tc>
          <w:tcPr>
            <w:tcW w:w="3520" w:type="dxa"/>
            <w:vAlign w:val="bottom"/>
            <w:gridSpan w:val="2"/>
          </w:tcPr>
          <w:p>
            <w:pPr>
              <w:jc w:val="right"/>
              <w:ind w:right="1150"/>
              <w:spacing w:after="0"/>
              <w:rPr>
                <w:sz w:val="20"/>
                <w:szCs w:val="20"/>
                <w:color w:val="auto"/>
              </w:rPr>
            </w:pPr>
            <w:r>
              <w:rPr>
                <w:rFonts w:ascii="Arial" w:cs="Arial" w:eastAsia="Arial" w:hAnsi="Arial"/>
                <w:sz w:val="18"/>
                <w:szCs w:val="18"/>
                <w:b w:val="1"/>
                <w:bCs w:val="1"/>
                <w:color w:val="auto"/>
              </w:rPr>
              <w:t>01-0425066</w:t>
            </w:r>
          </w:p>
        </w:tc>
      </w:tr>
      <w:tr>
        <w:trPr>
          <w:trHeight w:val="228"/>
        </w:trPr>
        <w:tc>
          <w:tcPr>
            <w:tcW w:w="5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200" w:type="dxa"/>
            <w:vAlign w:val="bottom"/>
          </w:tcPr>
          <w:p>
            <w:pPr>
              <w:spacing w:after="0"/>
              <w:rPr>
                <w:sz w:val="19"/>
                <w:szCs w:val="19"/>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4"/>
        </w:trPr>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1"/>
              </w:rPr>
              <w:t>500 Canal Street, Lewiston, Maine</w:t>
            </w:r>
          </w:p>
        </w:tc>
        <w:tc>
          <w:tcPr>
            <w:tcW w:w="3520" w:type="dxa"/>
            <w:vAlign w:val="bottom"/>
            <w:gridSpan w:val="2"/>
          </w:tcPr>
          <w:p>
            <w:pPr>
              <w:jc w:val="right"/>
              <w:ind w:right="1350"/>
              <w:spacing w:after="0"/>
              <w:rPr>
                <w:sz w:val="20"/>
                <w:szCs w:val="20"/>
                <w:color w:val="auto"/>
              </w:rPr>
            </w:pPr>
            <w:r>
              <w:rPr>
                <w:rFonts w:ascii="Arial" w:cs="Arial" w:eastAsia="Arial" w:hAnsi="Arial"/>
                <w:sz w:val="18"/>
                <w:szCs w:val="18"/>
                <w:b w:val="1"/>
                <w:bCs w:val="1"/>
                <w:color w:val="auto"/>
              </w:rPr>
              <w:t>04240</w:t>
            </w:r>
          </w:p>
        </w:tc>
      </w:tr>
      <w:tr>
        <w:trPr>
          <w:trHeight w:val="228"/>
        </w:trPr>
        <w:tc>
          <w:tcPr>
            <w:tcW w:w="5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00" w:type="dxa"/>
            <w:vAlign w:val="bottom"/>
          </w:tcPr>
          <w:p>
            <w:pPr>
              <w:spacing w:after="0"/>
              <w:rPr>
                <w:sz w:val="19"/>
                <w:szCs w:val="19"/>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(Zip Code)</w:t>
            </w:r>
          </w:p>
        </w:tc>
      </w:tr>
    </w:tbl>
    <w:p>
      <w:pPr>
        <w:spacing w:after="0" w:line="17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(207) 786-3245</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both"/>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subjected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___</w:t>
      </w:r>
    </w:p>
    <w:p>
      <w:pPr>
        <w:spacing w:after="0" w:line="184" w:lineRule="exact"/>
        <w:rPr>
          <w:sz w:val="24"/>
          <w:szCs w:val="24"/>
          <w:color w:val="auto"/>
        </w:rPr>
      </w:pPr>
    </w:p>
    <w:p>
      <w:pPr>
        <w:ind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___</w:t>
      </w:r>
    </w:p>
    <w:p>
      <w:pPr>
        <w:spacing w:after="0" w:line="184"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an emerging growth company. See definition of “accelerated filer,” and “large accelerated filer”, “smaller reporting company” and “emerging growth company” in Rule 12b-2 of the Exchange Act. (Check one):</w:t>
      </w:r>
    </w:p>
    <w:p>
      <w:pPr>
        <w:sectPr>
          <w:pgSz w:w="11900" w:h="16838" w:orient="portrait"/>
          <w:cols w:equalWidth="0" w:num="1">
            <w:col w:w="11280"/>
          </w:cols>
          <w:pgMar w:left="240" w:top="692" w:right="379" w:bottom="1440" w:gutter="0" w:footer="0" w:header="0"/>
        </w:sectPr>
      </w:pPr>
    </w:p>
    <w:p>
      <w:pPr>
        <w:spacing w:after="0" w:line="149" w:lineRule="exact"/>
        <w:rPr>
          <w:sz w:val="24"/>
          <w:szCs w:val="24"/>
          <w:color w:val="auto"/>
        </w:rPr>
      </w:pPr>
    </w:p>
    <w:p>
      <w:pPr>
        <w:ind w:left="18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560" w:space="720"/>
            <w:col w:w="3000"/>
          </w:cols>
          <w:pgMar w:left="240" w:top="692" w:right="379" w:bottom="1440" w:gutter="0" w:footer="0" w:header="0"/>
          <w:type w:val="continuous"/>
        </w:sectPr>
      </w:pPr>
    </w:p>
    <w:p>
      <w:pPr>
        <w:spacing w:after="0" w:line="48" w:lineRule="exact"/>
        <w:rPr>
          <w:sz w:val="24"/>
          <w:szCs w:val="24"/>
          <w:color w:val="auto"/>
        </w:rPr>
      </w:pPr>
    </w:p>
    <w:p>
      <w:pPr>
        <w:ind w:left="19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100" w:space="720"/>
            <w:col w:w="3460"/>
          </w:cols>
          <w:pgMar w:left="240" w:top="692" w:right="379" w:bottom="1440" w:gutter="0" w:footer="0" w:header="0"/>
          <w:type w:val="continuous"/>
        </w:sectPr>
      </w:pPr>
    </w:p>
    <w:p>
      <w:pPr>
        <w:spacing w:after="0" w:line="48" w:lineRule="exact"/>
        <w:rPr>
          <w:sz w:val="24"/>
          <w:szCs w:val="24"/>
          <w:color w:val="auto"/>
        </w:rPr>
      </w:pPr>
    </w:p>
    <w:p>
      <w:pPr>
        <w:ind w:left="14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80"/>
          </w:cols>
          <w:pgMar w:left="240" w:top="692" w:right="379" w:bottom="1440" w:gutter="0" w:footer="0" w:header="0"/>
          <w:type w:val="continuous"/>
        </w:sectPr>
      </w:pPr>
    </w:p>
    <w:p>
      <w:pPr>
        <w:spacing w:after="0" w:line="28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Yes_ No </w:t>
      </w:r>
      <w:r>
        <w:rPr>
          <w:rFonts w:ascii="MS PGothic" w:cs="MS PGothic" w:eastAsia="MS PGothic" w:hAnsi="MS PGothic"/>
          <w:sz w:val="18"/>
          <w:szCs w:val="18"/>
          <w:color w:val="auto"/>
        </w:rPr>
        <w:t>☑</w:t>
      </w:r>
    </w:p>
    <w:p>
      <w:pPr>
        <w:spacing w:after="0" w:line="258"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February 1, 2019, the registrant had outstanding 8,227,945 shares of voting common stock, $1.00 par value per share and 811,946 shares of non-voting common stock, $1.00 par value per share.</w:t>
      </w:r>
    </w:p>
    <w:p>
      <w:pPr>
        <w:spacing w:after="0" w:line="18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692" w:right="37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720" w:type="dxa"/>
            <w:vAlign w:val="bottom"/>
            <w:tcBorders>
              <w:bottom w:val="single" w:sz="8" w:color="0000EE"/>
            </w:tcBorders>
            <w:gridSpan w:val="3"/>
          </w:tcPr>
          <w:p>
            <w:pP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Financial Information</w:t>
              </w:r>
            </w:hyperlink>
          </w:p>
        </w:tc>
        <w:tc>
          <w:tcPr>
            <w:tcW w:w="8260" w:type="dxa"/>
            <w:vAlign w:val="bottom"/>
            <w:gridSpan w:val="17"/>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20" w:type="dxa"/>
            <w:vAlign w:val="bottom"/>
          </w:tcPr>
          <w:p>
            <w:pPr>
              <w:spacing w:after="0"/>
              <w:rPr>
                <w:sz w:val="17"/>
                <w:szCs w:val="17"/>
                <w:color w:val="auto"/>
              </w:rPr>
            </w:pPr>
          </w:p>
        </w:tc>
        <w:tc>
          <w:tcPr>
            <w:tcW w:w="1160" w:type="dxa"/>
            <w:vAlign w:val="bottom"/>
          </w:tcPr>
          <w:p>
            <w:pPr>
              <w:spacing w:after="0" w:line="196" w:lineRule="exact"/>
              <w:rPr>
                <w:sz w:val="20"/>
                <w:szCs w:val="20"/>
                <w:color w:val="auto"/>
              </w:rPr>
            </w:pPr>
            <w:r>
              <w:rPr>
                <w:rFonts w:ascii="Arial" w:cs="Arial" w:eastAsia="Arial" w:hAnsi="Arial"/>
                <w:sz w:val="18"/>
                <w:szCs w:val="18"/>
                <w:b w:val="1"/>
                <w:bCs w:val="1"/>
                <w:color w:val="auto"/>
              </w:rPr>
              <w:t>Item 1.</w:t>
            </w:r>
          </w:p>
        </w:tc>
        <w:tc>
          <w:tcPr>
            <w:tcW w:w="8820" w:type="dxa"/>
            <w:vAlign w:val="bottom"/>
            <w:gridSpan w:val="19"/>
          </w:tcPr>
          <w:p>
            <w:pPr>
              <w:spacing w:after="0" w:line="19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12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Consolidated Balance Sheets December 31, 2018 and June 30, 2018</w:t>
              </w:r>
            </w:hyperlink>
          </w:p>
        </w:tc>
        <w:tc>
          <w:tcPr>
            <w:tcW w:w="3700" w:type="dxa"/>
            <w:vAlign w:val="bottom"/>
            <w:gridSpan w:val="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60" w:type="dxa"/>
            <w:vAlign w:val="bottom"/>
            <w:tcBorders>
              <w:bottom w:val="single" w:sz="8" w:color="0000EE"/>
            </w:tcBorders>
            <w:gridSpan w:val="16"/>
          </w:tcPr>
          <w:p>
            <w:pPr>
              <w:spacing w:after="0"/>
              <w:rPr>
                <w:rFonts w:ascii="Arial" w:cs="Arial" w:eastAsia="Arial" w:hAnsi="Arial"/>
                <w:sz w:val="18"/>
                <w:szCs w:val="18"/>
                <w:b w:val="1"/>
                <w:bCs w:val="1"/>
                <w:color w:val="0000EE"/>
                <w:w w:val="89"/>
              </w:rPr>
            </w:pPr>
            <w:hyperlink w:anchor="page5">
              <w:r>
                <w:rPr>
                  <w:rFonts w:ascii="Arial" w:cs="Arial" w:eastAsia="Arial" w:hAnsi="Arial"/>
                  <w:sz w:val="18"/>
                  <w:szCs w:val="18"/>
                  <w:b w:val="1"/>
                  <w:bCs w:val="1"/>
                  <w:color w:val="0000EE"/>
                  <w:w w:val="89"/>
                </w:rPr>
                <w:t>Consolidated Statements of Income Three and Six Months Ended December 31, 2018 and 2017</w:t>
              </w:r>
            </w:hyperlink>
          </w:p>
        </w:tc>
        <w:tc>
          <w:tcPr>
            <w:tcW w:w="156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500" w:type="dxa"/>
            <w:vAlign w:val="bottom"/>
            <w:tcBorders>
              <w:bottom w:val="single" w:sz="8" w:color="0000EE"/>
            </w:tcBorders>
            <w:gridSpan w:val="18"/>
          </w:tcPr>
          <w:p>
            <w:pPr>
              <w:spacing w:after="0"/>
              <w:rPr>
                <w:rFonts w:ascii="Arial" w:cs="Arial" w:eastAsia="Arial" w:hAnsi="Arial"/>
                <w:sz w:val="18"/>
                <w:szCs w:val="18"/>
                <w:b w:val="1"/>
                <w:bCs w:val="1"/>
                <w:color w:val="0000EE"/>
                <w:w w:val="89"/>
              </w:rPr>
            </w:pPr>
            <w:hyperlink w:anchor="page6">
              <w:r>
                <w:rPr>
                  <w:rFonts w:ascii="Arial" w:cs="Arial" w:eastAsia="Arial" w:hAnsi="Arial"/>
                  <w:sz w:val="18"/>
                  <w:szCs w:val="18"/>
                  <w:b w:val="1"/>
                  <w:bCs w:val="1"/>
                  <w:color w:val="0000EE"/>
                  <w:w w:val="89"/>
                </w:rPr>
                <w:t>Consolidated Statements of Comprehensive Income Three and Six Months Ended December 31, 2018 and 2017</w:t>
              </w:r>
            </w:hyperlink>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380" w:type="dxa"/>
            <w:vAlign w:val="bottom"/>
            <w:tcBorders>
              <w:bottom w:val="single" w:sz="8" w:color="0000EE"/>
            </w:tcBorders>
            <w:gridSpan w:val="17"/>
          </w:tcPr>
          <w:p>
            <w:pPr>
              <w:spacing w:after="0"/>
              <w:rPr>
                <w:rFonts w:ascii="Arial" w:cs="Arial" w:eastAsia="Arial" w:hAnsi="Arial"/>
                <w:sz w:val="18"/>
                <w:szCs w:val="18"/>
                <w:b w:val="1"/>
                <w:bCs w:val="1"/>
                <w:color w:val="0000EE"/>
                <w:w w:val="89"/>
              </w:rPr>
            </w:pPr>
            <w:hyperlink w:anchor="page7">
              <w:r>
                <w:rPr>
                  <w:rFonts w:ascii="Arial" w:cs="Arial" w:eastAsia="Arial" w:hAnsi="Arial"/>
                  <w:sz w:val="18"/>
                  <w:szCs w:val="18"/>
                  <w:b w:val="1"/>
                  <w:bCs w:val="1"/>
                  <w:color w:val="0000EE"/>
                  <w:w w:val="89"/>
                </w:rPr>
                <w:t>Consolidated Statements of Changes in Shareholders' Equity Six Months Ended December 31, 2018 and 2017</w:t>
              </w:r>
            </w:hyperlink>
          </w:p>
        </w:tc>
        <w:tc>
          <w:tcPr>
            <w:tcW w:w="44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20" w:type="dxa"/>
            <w:vAlign w:val="bottom"/>
            <w:gridSpan w:val="19"/>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Consolidated Statements of Cash Flows Six Months Ended December 31, 2018 and 2017</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72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Notes to Unaudited Consolidated Financial Statements</w:t>
              </w:r>
            </w:hyperlink>
          </w:p>
        </w:tc>
        <w:tc>
          <w:tcPr>
            <w:tcW w:w="210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820" w:type="dxa"/>
            <w:vAlign w:val="bottom"/>
            <w:gridSpan w:val="19"/>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Management's Discussion and Analysis of Financial Condition and Results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9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tcBorders>
              <w:top w:val="single" w:sz="8" w:color="0000EE"/>
              <w:bottom w:val="single" w:sz="8" w:color="0000EE"/>
            </w:tcBorders>
            <w:gridSpan w:val="12"/>
          </w:tcPr>
          <w:p>
            <w:pPr>
              <w:spacing w:after="0"/>
              <w:rPr>
                <w:rFonts w:ascii="Arial" w:cs="Arial" w:eastAsia="Arial" w:hAnsi="Arial"/>
                <w:sz w:val="18"/>
                <w:szCs w:val="18"/>
                <w:b w:val="1"/>
                <w:bCs w:val="1"/>
                <w:color w:val="0000EE"/>
                <w:w w:val="91"/>
              </w:rPr>
            </w:pPr>
            <w:hyperlink w:anchor="page51">
              <w:r>
                <w:rPr>
                  <w:rFonts w:ascii="Arial" w:cs="Arial" w:eastAsia="Arial" w:hAnsi="Arial"/>
                  <w:sz w:val="18"/>
                  <w:szCs w:val="18"/>
                  <w:b w:val="1"/>
                  <w:bCs w:val="1"/>
                  <w:color w:val="0000EE"/>
                  <w:w w:val="91"/>
                </w:rPr>
                <w:t>Quantitative and Qualitative Disclosure about Market Risk</w:t>
              </w:r>
            </w:hyperlink>
          </w:p>
        </w:tc>
        <w:tc>
          <w:tcPr>
            <w:tcW w:w="2260" w:type="dxa"/>
            <w:vAlign w:val="bottom"/>
            <w:tcBorders>
              <w:top w:val="single" w:sz="8" w:color="0000EE"/>
            </w:tcBorders>
            <w:gridSpan w:val="3"/>
          </w:tcPr>
          <w:p>
            <w:pPr>
              <w:spacing w:after="0"/>
              <w:rPr>
                <w:sz w:val="24"/>
                <w:szCs w:val="24"/>
                <w:color w:val="auto"/>
              </w:rPr>
            </w:pPr>
          </w:p>
        </w:tc>
        <w:tc>
          <w:tcPr>
            <w:tcW w:w="200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2"/>
        </w:trPr>
        <w:tc>
          <w:tcPr>
            <w:tcW w:w="9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8820" w:type="dxa"/>
            <w:vAlign w:val="bottom"/>
            <w:gridSpan w:val="19"/>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2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46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52">
              <w:r>
                <w:rPr>
                  <w:rFonts w:ascii="Arial" w:cs="Arial" w:eastAsia="Arial" w:hAnsi="Arial"/>
                  <w:sz w:val="18"/>
                  <w:szCs w:val="18"/>
                  <w:b w:val="1"/>
                  <w:bCs w:val="1"/>
                  <w:color w:val="0000EE"/>
                  <w:w w:val="94"/>
                </w:rPr>
                <w:t>Other Information</w:t>
              </w:r>
            </w:hyperlink>
          </w:p>
        </w:tc>
        <w:tc>
          <w:tcPr>
            <w:tcW w:w="8520" w:type="dxa"/>
            <w:vAlign w:val="bottom"/>
            <w:gridSpan w:val="1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9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tcBorders>
              <w:bottom w:val="single" w:sz="8" w:color="0000EE"/>
            </w:tcBorders>
            <w:gridSpan w:val="6"/>
          </w:tcPr>
          <w:p>
            <w:pPr>
              <w:spacing w:after="0"/>
              <w:rPr>
                <w:rFonts w:ascii="Arial" w:cs="Arial" w:eastAsia="Arial" w:hAnsi="Arial"/>
                <w:sz w:val="18"/>
                <w:szCs w:val="18"/>
                <w:b w:val="1"/>
                <w:bCs w:val="1"/>
                <w:color w:val="0000EE"/>
                <w:w w:val="86"/>
              </w:rPr>
            </w:pPr>
            <w:hyperlink w:anchor="page52">
              <w:r>
                <w:rPr>
                  <w:rFonts w:ascii="Arial" w:cs="Arial" w:eastAsia="Arial" w:hAnsi="Arial"/>
                  <w:sz w:val="18"/>
                  <w:szCs w:val="18"/>
                  <w:b w:val="1"/>
                  <w:bCs w:val="1"/>
                  <w:color w:val="0000EE"/>
                  <w:w w:val="86"/>
                </w:rPr>
                <w:t>Legal Proceedings</w:t>
              </w:r>
            </w:hyperlink>
          </w:p>
        </w:tc>
        <w:tc>
          <w:tcPr>
            <w:tcW w:w="7420" w:type="dxa"/>
            <w:vAlign w:val="bottom"/>
            <w:gridSpan w:val="1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9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8820" w:type="dxa"/>
            <w:vAlign w:val="bottom"/>
            <w:gridSpan w:val="19"/>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Risk Factors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2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820" w:type="dxa"/>
            <w:vAlign w:val="bottom"/>
            <w:gridSpan w:val="19"/>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Unregistered Sales of Equity Securities and Use of Proceeds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9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w w:val="88"/>
              </w:rPr>
            </w:pPr>
            <w:hyperlink w:anchor="page52">
              <w:r>
                <w:rPr>
                  <w:rFonts w:ascii="Arial" w:cs="Arial" w:eastAsia="Arial" w:hAnsi="Arial"/>
                  <w:sz w:val="18"/>
                  <w:szCs w:val="18"/>
                  <w:b w:val="1"/>
                  <w:bCs w:val="1"/>
                  <w:color w:val="0000EE"/>
                  <w:w w:val="88"/>
                </w:rPr>
                <w:t>Defaults Upon Senior Securities</w:t>
              </w:r>
            </w:hyperlink>
          </w:p>
        </w:tc>
        <w:tc>
          <w:tcPr>
            <w:tcW w:w="2120" w:type="dxa"/>
            <w:vAlign w:val="bottom"/>
            <w:tcBorders>
              <w:top w:val="single" w:sz="8" w:color="0000EE"/>
            </w:tcBorders>
            <w:gridSpan w:val="3"/>
          </w:tcPr>
          <w:p>
            <w:pPr>
              <w:spacing w:after="0"/>
              <w:rPr>
                <w:sz w:val="24"/>
                <w:szCs w:val="24"/>
                <w:color w:val="auto"/>
              </w:rPr>
            </w:pPr>
          </w:p>
        </w:tc>
        <w:tc>
          <w:tcPr>
            <w:tcW w:w="426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9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900" w:type="dxa"/>
            <w:vAlign w:val="bottom"/>
            <w:tcBorders>
              <w:bottom w:val="single" w:sz="8" w:color="0000EE"/>
            </w:tcBorders>
            <w:gridSpan w:val="8"/>
          </w:tcPr>
          <w:p>
            <w:pPr>
              <w:spacing w:after="0"/>
              <w:rPr>
                <w:rFonts w:ascii="Arial" w:cs="Arial" w:eastAsia="Arial" w:hAnsi="Arial"/>
                <w:sz w:val="18"/>
                <w:szCs w:val="18"/>
                <w:b w:val="1"/>
                <w:bCs w:val="1"/>
                <w:color w:val="0000EE"/>
                <w:w w:val="89"/>
              </w:rPr>
            </w:pPr>
            <w:hyperlink w:anchor="page52">
              <w:r>
                <w:rPr>
                  <w:rFonts w:ascii="Arial" w:cs="Arial" w:eastAsia="Arial" w:hAnsi="Arial"/>
                  <w:sz w:val="18"/>
                  <w:szCs w:val="18"/>
                  <w:b w:val="1"/>
                  <w:bCs w:val="1"/>
                  <w:color w:val="0000EE"/>
                  <w:w w:val="89"/>
                </w:rPr>
                <w:t>Mine Safety Disclosures</w:t>
              </w:r>
            </w:hyperlink>
          </w:p>
        </w:tc>
        <w:tc>
          <w:tcPr>
            <w:tcW w:w="692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9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tcBorders>
              <w:bottom w:val="single" w:sz="8" w:color="0000EE"/>
            </w:tcBorders>
            <w:gridSpan w:val="7"/>
          </w:tcPr>
          <w:p>
            <w:pPr>
              <w:spacing w:after="0"/>
              <w:rPr>
                <w:rFonts w:ascii="Arial" w:cs="Arial" w:eastAsia="Arial" w:hAnsi="Arial"/>
                <w:sz w:val="18"/>
                <w:szCs w:val="18"/>
                <w:b w:val="1"/>
                <w:bCs w:val="1"/>
                <w:color w:val="0000EE"/>
                <w:w w:val="93"/>
              </w:rPr>
            </w:pPr>
            <w:hyperlink w:anchor="page52">
              <w:r>
                <w:rPr>
                  <w:rFonts w:ascii="Arial" w:cs="Arial" w:eastAsia="Arial" w:hAnsi="Arial"/>
                  <w:sz w:val="18"/>
                  <w:szCs w:val="18"/>
                  <w:b w:val="1"/>
                  <w:bCs w:val="1"/>
                  <w:color w:val="0000EE"/>
                  <w:w w:val="93"/>
                </w:rPr>
                <w:t>Other Information</w:t>
              </w:r>
            </w:hyperlink>
          </w:p>
        </w:tc>
        <w:tc>
          <w:tcPr>
            <w:tcW w:w="738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9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52">
              <w:r>
                <w:rPr>
                  <w:rFonts w:ascii="Arial" w:cs="Arial" w:eastAsia="Arial" w:hAnsi="Arial"/>
                  <w:sz w:val="18"/>
                  <w:szCs w:val="18"/>
                  <w:b w:val="1"/>
                  <w:bCs w:val="1"/>
                  <w:color w:val="0000EE"/>
                  <w:w w:val="88"/>
                </w:rPr>
                <w:t>Exhibits</w:t>
              </w:r>
            </w:hyperlink>
          </w:p>
        </w:tc>
        <w:tc>
          <w:tcPr>
            <w:tcW w:w="8180" w:type="dxa"/>
            <w:vAlign w:val="bottom"/>
            <w:gridSpan w:val="1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Borders>
              <w:bottom w:val="single" w:sz="8" w:color="0000EE"/>
            </w:tcBorders>
            <w:gridSpan w:val="4"/>
          </w:tcPr>
          <w:p>
            <w:pPr>
              <w:spacing w:after="0"/>
              <w:rPr>
                <w:rFonts w:ascii="Arial" w:cs="Arial" w:eastAsia="Arial" w:hAnsi="Arial"/>
                <w:sz w:val="18"/>
                <w:szCs w:val="18"/>
                <w:b w:val="1"/>
                <w:bCs w:val="1"/>
                <w:color w:val="0000EE"/>
                <w:w w:val="85"/>
              </w:rPr>
            </w:pPr>
            <w:hyperlink w:anchor="page53">
              <w:r>
                <w:rPr>
                  <w:rFonts w:ascii="Arial" w:cs="Arial" w:eastAsia="Arial" w:hAnsi="Arial"/>
                  <w:sz w:val="18"/>
                  <w:szCs w:val="18"/>
                  <w:b w:val="1"/>
                  <w:bCs w:val="1"/>
                  <w:color w:val="0000EE"/>
                  <w:w w:val="85"/>
                </w:rPr>
                <w:t>Signatures</w:t>
              </w:r>
            </w:hyperlink>
          </w:p>
        </w:tc>
        <w:tc>
          <w:tcPr>
            <w:tcW w:w="8000" w:type="dxa"/>
            <w:vAlign w:val="bottom"/>
            <w:gridSpan w:val="1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53"/>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180" w:type="dxa"/>
            <w:vAlign w:val="bottom"/>
            <w:gridSpan w:val="11"/>
          </w:tcPr>
          <w:p>
            <w:pPr>
              <w:ind w:left="358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1-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right"/>
        <w:ind w:right="340"/>
        <w:spacing w:after="0"/>
        <w:tabs>
          <w:tab w:leader="none" w:pos="980" w:val="left"/>
        </w:tabs>
        <w:rPr>
          <w:sz w:val="20"/>
          <w:szCs w:val="20"/>
          <w:color w:val="auto"/>
        </w:rPr>
      </w:pPr>
      <w:r>
        <w:rPr>
          <w:rFonts w:ascii="Arial" w:cs="Arial" w:eastAsia="Arial" w:hAnsi="Arial"/>
          <w:sz w:val="18"/>
          <w:szCs w:val="18"/>
          <w:u w:val="single" w:color="auto"/>
          <w:color w:val="auto"/>
        </w:rPr>
        <w:t>December 31, 2018</w:t>
      </w:r>
      <w:r>
        <w:rPr>
          <w:sz w:val="20"/>
          <w:szCs w:val="20"/>
          <w:color w:val="auto"/>
        </w:rPr>
        <w:tab/>
      </w:r>
      <w:r>
        <w:rPr>
          <w:rFonts w:ascii="Arial" w:cs="Arial" w:eastAsia="Arial" w:hAnsi="Arial"/>
          <w:sz w:val="15"/>
          <w:szCs w:val="15"/>
          <w:color w:val="auto"/>
        </w:rPr>
        <w:t>June 30, 2018</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and due from banks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cash and cash equivalents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2,416</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3,889</w:t>
            </w:r>
          </w:p>
        </w:tc>
      </w:tr>
      <w:tr>
        <w:trPr>
          <w:trHeight w:val="230"/>
        </w:trPr>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135,200</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153,513</w:t>
            </w:r>
          </w:p>
        </w:tc>
      </w:tr>
      <w:tr>
        <w:trPr>
          <w:trHeight w:val="210"/>
        </w:trPr>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137,616</w:t>
            </w:r>
          </w:p>
        </w:tc>
        <w:tc>
          <w:tcPr>
            <w:tcW w:w="2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157,402</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-290830</wp:posOffset>
            </wp:positionV>
            <wp:extent cx="724662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118" w:right="239" w:bottom="0" w:gutter="0" w:footer="0" w:header="0"/>
          <w:type w:val="continuous"/>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debt securities, at fair value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78,132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Equity securities, at fair value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6,711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investment securities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84,843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 loans held for sale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SBA loans held for sale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loans held for sale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633,439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579,450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209,493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92,566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938,286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871,802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Allowance for loan losses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Loans, net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932,978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866,995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Real estate owned and other repossessed collateral, net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1,463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Federal Home Loan Bank stock, at cost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649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Servicing rights, net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Bank-owned life insurance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16,839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1,194,127</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1,157,736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700"/>
              <w:spacing w:after="0"/>
              <w:rPr>
                <w:sz w:val="20"/>
                <w:szCs w:val="20"/>
                <w:color w:val="auto"/>
              </w:rPr>
            </w:pPr>
            <w:r>
              <w:rPr>
                <w:rFonts w:ascii="Arial" w:cs="Arial" w:eastAsia="Arial" w:hAnsi="Arial"/>
                <w:sz w:val="18"/>
                <w:szCs w:val="18"/>
                <w:color w:val="auto"/>
              </w:rPr>
              <w:t>Liabilities and Shareholders' Equity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Demand</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68,324</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Savings and interest checking</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107,769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345,149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420,886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464,349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Total deposits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985,591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954,940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24,128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20,451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1,045,636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1,019,306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0"/>
              </w:rPr>
              <w:t>Preferred stock, $1.00 par value, 1,000,000 shares authorized; no shares issued and outstanding at December</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31, 2018 and June 30, 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Voting common stock, $1.00 par value, 25,000,000 shares authorized; 8,236,917 and 8,056,527 shares issued</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outstanding at December 31, 2018 and June 30, 2018, respectively</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8,237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0"/>
              </w:rPr>
              <w:t>Non-voting common stock, $1.00 par value, 3,000,000 shares authorized; 811,946 and 882,314 shares issued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and outstanding at December 31, 2018 and June 30, 2018, respectively</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812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77,455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63,535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Total shareholders' equity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148,491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138,430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1,194,127</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ectPr>
          <w:pgSz w:w="11900" w:h="16838" w:orient="portrait"/>
          <w:cols w:equalWidth="0" w:num="1">
            <w:col w:w="10219"/>
          </w:cols>
          <w:pgMar w:left="240" w:top="125" w:right="1440" w:bottom="1440" w:gutter="0" w:footer="0" w:header="0"/>
        </w:sectPr>
      </w:pP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spacing w:after="0"/>
              <w:rPr>
                <w:sz w:val="20"/>
                <w:szCs w:val="20"/>
                <w:color w:val="auto"/>
              </w:rPr>
            </w:pPr>
            <w:r>
              <w:rPr>
                <w:rFonts w:ascii="Arial" w:cs="Arial" w:eastAsia="Arial" w:hAnsi="Arial"/>
                <w:sz w:val="18"/>
                <w:szCs w:val="18"/>
                <w:color w:val="auto"/>
              </w:rPr>
              <w:t>Three Months Ended December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ind w:left="60"/>
              <w:spacing w:after="0"/>
              <w:rPr>
                <w:sz w:val="20"/>
                <w:szCs w:val="20"/>
                <w:color w:val="auto"/>
              </w:rPr>
            </w:pPr>
            <w:r>
              <w:rPr>
                <w:rFonts w:ascii="Arial" w:cs="Arial" w:eastAsia="Arial" w:hAnsi="Arial"/>
                <w:sz w:val="18"/>
                <w:szCs w:val="18"/>
                <w:color w:val="auto"/>
                <w:w w:val="95"/>
              </w:rPr>
              <w:t>Six Months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Interest and fees on loans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18,934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14,501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36,460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available-for-sale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Other interest and dividend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 and dividend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20,329</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3,982</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2,129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7,664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Subordinated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573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 under capital lease agreements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Total 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4,686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9,094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interest and dividend income before provision for loan losses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15,643</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interest and dividend income after provision for loan losses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15,542</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Fees for other services to customers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SBA loans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Gain on sales of residential loans held for sale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other loans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Net unrealized gain on equity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Gain (loss) on real estate owned, other repossessed collateral and premises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equipment, net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Bank-owned life insurance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Total noninterest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Noninterest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employee benefits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5,699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Occupancy and equipment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957</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Data processing fees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830</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624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Loan acquisition and collection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585</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FDIC insurance premiums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Intangible asset amortization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Total noninterest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19,257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9,659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9,048,397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8,924,495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9,022,161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8,883,003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9,201,557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9,168,084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9,192,643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9,129,010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0.57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jc w:val="right"/>
              <w:ind w:right="320"/>
              <w:spacing w:after="0"/>
              <w:rPr>
                <w:sz w:val="20"/>
                <w:szCs w:val="20"/>
                <w:color w:val="auto"/>
              </w:rPr>
            </w:pPr>
            <w:r>
              <w:rPr>
                <w:rFonts w:ascii="Arial" w:cs="Arial" w:eastAsia="Arial" w:hAnsi="Arial"/>
                <w:sz w:val="18"/>
                <w:szCs w:val="18"/>
                <w:color w:val="auto"/>
                <w:w w:val="89"/>
              </w:rPr>
              <w:t>Three Months Ended December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jc w:val="right"/>
              <w:ind w:right="160"/>
              <w:spacing w:after="0"/>
              <w:rPr>
                <w:sz w:val="20"/>
                <w:szCs w:val="20"/>
                <w:color w:val="auto"/>
              </w:rPr>
            </w:pPr>
            <w:r>
              <w:rPr>
                <w:rFonts w:ascii="Arial" w:cs="Arial" w:eastAsia="Arial" w:hAnsi="Arial"/>
                <w:sz w:val="18"/>
                <w:szCs w:val="18"/>
                <w:color w:val="auto"/>
                <w:w w:val="91"/>
              </w:rPr>
              <w:t>Six Months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9,659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before tax:</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Available-for-sale securities: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net unrealized gain (loss) on available-for-sale securities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Derivatives and hedging activities: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accumulated (loss) gain on effective cash flow hedges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Arial" w:cs="Arial" w:eastAsia="Arial" w:hAnsi="Arial"/>
                <w:sz w:val="18"/>
                <w:szCs w:val="18"/>
                <w:color w:val="auto"/>
              </w:rPr>
              <w:t>Reclassification adjustments included in interest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derivatives and hedging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Total other comprehensive (loss) income, before tax</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tax (benefit) expense related to other comprehensive (loss)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9,692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ind w:right="4880"/>
        <w:spacing w:after="0" w:line="250" w:lineRule="auto"/>
        <w:rPr>
          <w:sz w:val="20"/>
          <w:szCs w:val="20"/>
          <w:color w:val="auto"/>
        </w:rPr>
      </w:pPr>
      <w:r>
        <w:rPr>
          <w:rFonts w:ascii="Arial" w:cs="Arial" w:eastAsia="Arial" w:hAnsi="Arial"/>
          <w:sz w:val="18"/>
          <w:szCs w:val="18"/>
          <w:b w:val="1"/>
          <w:bCs w:val="1"/>
          <w:color w:val="auto"/>
        </w:rPr>
        <w:t xml:space="preserve">CONSOLIDATED STATEMENTS OF CHANGES IN SHAREHOLDERS’ EQUITY </w:t>
      </w: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and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w w:val="95"/>
              </w:rPr>
              <w:t>Accumulated</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3"/>
            <w:vMerge w:val="restart"/>
          </w:tcPr>
          <w:p>
            <w:pPr>
              <w:jc w:val="right"/>
              <w:ind w:right="239"/>
              <w:spacing w:after="0"/>
              <w:rPr>
                <w:sz w:val="20"/>
                <w:szCs w:val="20"/>
                <w:color w:val="auto"/>
              </w:rPr>
            </w:pPr>
            <w:r>
              <w:rPr>
                <w:rFonts w:ascii="Arial" w:cs="Arial" w:eastAsia="Arial" w:hAnsi="Arial"/>
                <w:sz w:val="16"/>
                <w:szCs w:val="16"/>
                <w:color w:val="auto"/>
              </w:rPr>
              <w:t>Voting Common</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center"/>
              <w:ind w:right="259"/>
              <w:spacing w:after="0"/>
              <w:rPr>
                <w:sz w:val="20"/>
                <w:szCs w:val="20"/>
                <w:color w:val="auto"/>
              </w:rPr>
            </w:pPr>
            <w:r>
              <w:rPr>
                <w:rFonts w:ascii="Arial" w:cs="Arial" w:eastAsia="Arial" w:hAnsi="Arial"/>
                <w:sz w:val="16"/>
                <w:szCs w:val="16"/>
                <w:color w:val="auto"/>
                <w:w w:val="89"/>
              </w:rPr>
              <w:t>Other</w:t>
            </w:r>
          </w:p>
        </w:tc>
        <w:tc>
          <w:tcPr>
            <w:tcW w:w="220" w:type="dxa"/>
            <w:vAlign w:val="bottom"/>
          </w:tcPr>
          <w:p>
            <w:pPr>
              <w:spacing w:after="0"/>
              <w:rPr>
                <w:sz w:val="17"/>
                <w:szCs w:val="17"/>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w w:val="95"/>
              </w:rPr>
              <w:t>Preferred Stock</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Stock</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gridSpan w:val="4"/>
          </w:tcPr>
          <w:p>
            <w:pPr>
              <w:jc w:val="right"/>
              <w:ind w:right="140"/>
              <w:spacing w:after="0"/>
              <w:rPr>
                <w:sz w:val="20"/>
                <w:szCs w:val="20"/>
                <w:color w:val="auto"/>
              </w:rPr>
            </w:pPr>
            <w:r>
              <w:rPr>
                <w:rFonts w:ascii="Arial" w:cs="Arial" w:eastAsia="Arial" w:hAnsi="Arial"/>
                <w:sz w:val="16"/>
                <w:szCs w:val="16"/>
                <w:color w:val="auto"/>
                <w:w w:val="97"/>
              </w:rPr>
              <w:t>Non-voting Common Stock</w:t>
            </w:r>
          </w:p>
        </w:tc>
        <w:tc>
          <w:tcPr>
            <w:tcW w:w="18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w w:val="99"/>
              </w:rPr>
              <w:t>Additional</w:t>
            </w:r>
          </w:p>
        </w:tc>
        <w:tc>
          <w:tcPr>
            <w:tcW w:w="860" w:type="dxa"/>
            <w:vAlign w:val="bottom"/>
            <w:gridSpan w:val="2"/>
          </w:tcPr>
          <w:p>
            <w:pPr>
              <w:jc w:val="right"/>
              <w:ind w:right="99"/>
              <w:spacing w:after="0"/>
              <w:rPr>
                <w:sz w:val="20"/>
                <w:szCs w:val="20"/>
                <w:color w:val="auto"/>
              </w:rPr>
            </w:pPr>
            <w:r>
              <w:rPr>
                <w:rFonts w:ascii="Arial" w:cs="Arial" w:eastAsia="Arial" w:hAnsi="Arial"/>
                <w:sz w:val="16"/>
                <w:szCs w:val="16"/>
                <w:color w:val="auto"/>
              </w:rPr>
              <w:t>Retained</w:t>
            </w:r>
          </w:p>
        </w:tc>
        <w:tc>
          <w:tcPr>
            <w:tcW w:w="1220" w:type="dxa"/>
            <w:vAlign w:val="bottom"/>
            <w:gridSpan w:val="2"/>
          </w:tcPr>
          <w:p>
            <w:pPr>
              <w:ind w:left="80"/>
              <w:spacing w:after="0"/>
              <w:rPr>
                <w:sz w:val="20"/>
                <w:szCs w:val="20"/>
                <w:color w:val="auto"/>
              </w:rPr>
            </w:pPr>
            <w:r>
              <w:rPr>
                <w:rFonts w:ascii="Arial" w:cs="Arial" w:eastAsia="Arial" w:hAnsi="Arial"/>
                <w:sz w:val="16"/>
                <w:szCs w:val="16"/>
                <w:color w:val="auto"/>
                <w:w w:val="99"/>
              </w:rPr>
              <w:t>Comprehensive</w:t>
            </w:r>
          </w:p>
        </w:tc>
        <w:tc>
          <w:tcPr>
            <w:tcW w:w="1040" w:type="dxa"/>
            <w:vAlign w:val="bottom"/>
            <w:gridSpan w:val="3"/>
          </w:tcPr>
          <w:p>
            <w:pPr>
              <w:ind w:left="60"/>
              <w:spacing w:after="0"/>
              <w:rPr>
                <w:sz w:val="20"/>
                <w:szCs w:val="20"/>
                <w:color w:val="auto"/>
              </w:rPr>
            </w:pPr>
            <w:r>
              <w:rPr>
                <w:rFonts w:ascii="Arial" w:cs="Arial" w:eastAsia="Arial" w:hAnsi="Arial"/>
                <w:sz w:val="16"/>
                <w:szCs w:val="16"/>
                <w:color w:val="auto"/>
                <w:w w:val="97"/>
              </w:rPr>
              <w:t>Shareholders'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2"/>
              </w:rPr>
              <w:t>Shares</w:t>
            </w:r>
          </w:p>
        </w:tc>
        <w:tc>
          <w:tcPr>
            <w:tcW w:w="780" w:type="dxa"/>
            <w:vAlign w:val="bottom"/>
            <w:tcBorders>
              <w:top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Amount</w:t>
            </w:r>
          </w:p>
        </w:tc>
        <w:tc>
          <w:tcPr>
            <w:tcW w:w="9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Shares</w:t>
            </w:r>
          </w:p>
        </w:tc>
        <w:tc>
          <w:tcPr>
            <w:tcW w:w="6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Amount</w:t>
            </w:r>
          </w:p>
        </w:tc>
        <w:tc>
          <w:tcPr>
            <w:tcW w:w="10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Shares</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Amount</w:t>
            </w:r>
          </w:p>
        </w:tc>
        <w:tc>
          <w:tcPr>
            <w:tcW w:w="12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color w:val="auto"/>
              </w:rPr>
              <w:t>Paid-in Capital</w:t>
            </w:r>
          </w:p>
        </w:tc>
        <w:tc>
          <w:tcPr>
            <w:tcW w:w="860" w:type="dxa"/>
            <w:vAlign w:val="bottom"/>
            <w:gridSpan w:val="2"/>
          </w:tcPr>
          <w:p>
            <w:pPr>
              <w:jc w:val="right"/>
              <w:ind w:right="99"/>
              <w:spacing w:after="0"/>
              <w:rPr>
                <w:sz w:val="20"/>
                <w:szCs w:val="20"/>
                <w:color w:val="auto"/>
              </w:rPr>
            </w:pPr>
            <w:r>
              <w:rPr>
                <w:rFonts w:ascii="Arial" w:cs="Arial" w:eastAsia="Arial" w:hAnsi="Arial"/>
                <w:sz w:val="16"/>
                <w:szCs w:val="16"/>
                <w:color w:val="auto"/>
              </w:rPr>
              <w:t>Earnings</w:t>
            </w:r>
          </w:p>
        </w:tc>
        <w:tc>
          <w:tcPr>
            <w:tcW w:w="280" w:type="dxa"/>
            <w:vAlign w:val="bottom"/>
          </w:tcPr>
          <w:p>
            <w:pPr>
              <w:spacing w:after="0"/>
              <w:rPr>
                <w:sz w:val="17"/>
                <w:szCs w:val="17"/>
                <w:color w:val="auto"/>
              </w:rPr>
            </w:pPr>
          </w:p>
        </w:tc>
        <w:tc>
          <w:tcPr>
            <w:tcW w:w="940" w:type="dxa"/>
            <w:vAlign w:val="bottom"/>
          </w:tcPr>
          <w:p>
            <w:pPr>
              <w:jc w:val="center"/>
              <w:ind w:right="259"/>
              <w:spacing w:after="0"/>
              <w:rPr>
                <w:sz w:val="20"/>
                <w:szCs w:val="20"/>
                <w:color w:val="auto"/>
              </w:rPr>
            </w:pPr>
            <w:r>
              <w:rPr>
                <w:rFonts w:ascii="Arial" w:cs="Arial" w:eastAsia="Arial" w:hAnsi="Arial"/>
                <w:sz w:val="16"/>
                <w:szCs w:val="16"/>
                <w:color w:val="auto"/>
                <w:w w:val="94"/>
              </w:rPr>
              <w:t>Loss</w:t>
            </w:r>
          </w:p>
        </w:tc>
        <w:tc>
          <w:tcPr>
            <w:tcW w:w="22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1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Balance at June 30, 2017</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7,840,460</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7,841</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991,194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77,455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8"/>
              </w:rPr>
              <w:t>38,142</w:t>
            </w:r>
          </w:p>
        </w:tc>
        <w:tc>
          <w:tcPr>
            <w:tcW w:w="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w:t>
            </w: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7,890</w:t>
            </w:r>
          </w:p>
        </w:tc>
        <w:tc>
          <w:tcPr>
            <w:tcW w:w="2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comprehensive</w:t>
            </w:r>
          </w:p>
        </w:tc>
        <w:tc>
          <w:tcPr>
            <w:tcW w:w="5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net of tax</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40" w:type="dxa"/>
            <w:vAlign w:val="bottom"/>
          </w:tcPr>
          <w:p>
            <w:pPr>
              <w:ind w:left="160"/>
              <w:spacing w:after="0"/>
              <w:rPr>
                <w:sz w:val="20"/>
                <w:szCs w:val="20"/>
                <w:color w:val="auto"/>
              </w:rPr>
            </w:pPr>
            <w:r>
              <w:rPr>
                <w:rFonts w:ascii="Arial" w:cs="Arial" w:eastAsia="Arial" w:hAnsi="Arial"/>
                <w:sz w:val="16"/>
                <w:szCs w:val="16"/>
                <w:color w:val="auto"/>
                <w:w w:val="97"/>
              </w:rPr>
              <w:t>Conversions between voting</w:t>
            </w: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tcPr>
          <w:p>
            <w:pPr>
              <w:ind w:left="320"/>
              <w:spacing w:after="0"/>
              <w:rPr>
                <w:sz w:val="20"/>
                <w:szCs w:val="20"/>
                <w:color w:val="auto"/>
              </w:rPr>
            </w:pPr>
            <w:r>
              <w:rPr>
                <w:rFonts w:ascii="Arial" w:cs="Arial" w:eastAsia="Arial" w:hAnsi="Arial"/>
                <w:sz w:val="16"/>
                <w:szCs w:val="16"/>
                <w:color w:val="auto"/>
              </w:rPr>
              <w:t>common stock and non-</w:t>
            </w: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40" w:type="dxa"/>
            <w:vAlign w:val="bottom"/>
          </w:tcPr>
          <w:p>
            <w:pPr>
              <w:ind w:left="320"/>
              <w:spacing w:after="0"/>
              <w:rPr>
                <w:sz w:val="20"/>
                <w:szCs w:val="20"/>
                <w:color w:val="auto"/>
              </w:rPr>
            </w:pPr>
            <w:r>
              <w:rPr>
                <w:rFonts w:ascii="Arial" w:cs="Arial" w:eastAsia="Arial" w:hAnsi="Arial"/>
                <w:sz w:val="16"/>
                <w:szCs w:val="16"/>
                <w:color w:val="auto"/>
                <w:w w:val="99"/>
              </w:rPr>
              <w:t>voting common stock, net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69,255</w:t>
            </w:r>
          </w:p>
        </w:tc>
        <w:tc>
          <w:tcPr>
            <w:tcW w:w="14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000" w:type="dxa"/>
            <w:vAlign w:val="bottom"/>
          </w:tcPr>
          <w:p>
            <w:pPr>
              <w:jc w:val="right"/>
              <w:spacing w:after="0"/>
              <w:rPr>
                <w:sz w:val="20"/>
                <w:szCs w:val="20"/>
                <w:color w:val="auto"/>
              </w:rPr>
            </w:pPr>
            <w:r>
              <w:rPr>
                <w:rFonts w:ascii="Arial" w:cs="Arial" w:eastAsia="Arial" w:hAnsi="Arial"/>
                <w:sz w:val="16"/>
                <w:szCs w:val="16"/>
                <w:color w:val="auto"/>
              </w:rPr>
              <w:t>(69,255)</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(69)</w:t>
            </w:r>
          </w:p>
        </w:tc>
        <w:tc>
          <w:tcPr>
            <w:tcW w:w="1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7"/>
              </w:rPr>
              <w:t>Dividends on common stock</w:t>
            </w: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at $0.02 per share</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tcPr>
          <w:p>
            <w:pPr>
              <w:ind w:left="160"/>
              <w:spacing w:after="0"/>
              <w:rPr>
                <w:sz w:val="20"/>
                <w:szCs w:val="20"/>
                <w:color w:val="auto"/>
              </w:rPr>
            </w:pPr>
            <w:r>
              <w:rPr>
                <w:rFonts w:ascii="Arial" w:cs="Arial" w:eastAsia="Arial" w:hAnsi="Arial"/>
                <w:sz w:val="16"/>
                <w:szCs w:val="16"/>
                <w:color w:val="auto"/>
              </w:rPr>
              <w:t>Stock-based compensation</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485</w:t>
            </w:r>
          </w:p>
        </w:tc>
        <w:tc>
          <w:tcPr>
            <w:tcW w:w="220" w:type="dxa"/>
            <w:vAlign w:val="bottom"/>
          </w:tcPr>
          <w:p>
            <w:pPr>
              <w:spacing w:after="0"/>
              <w:rPr>
                <w:sz w:val="17"/>
                <w:szCs w:val="17"/>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of restricted</w:t>
            </w:r>
          </w:p>
        </w:tc>
        <w:tc>
          <w:tcPr>
            <w:tcW w:w="5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common stock</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12,000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40" w:type="dxa"/>
            <w:vAlign w:val="bottom"/>
          </w:tcPr>
          <w:p>
            <w:pPr>
              <w:ind w:left="160"/>
              <w:spacing w:after="0"/>
              <w:rPr>
                <w:sz w:val="20"/>
                <w:szCs w:val="20"/>
                <w:color w:val="auto"/>
              </w:rPr>
            </w:pPr>
            <w:r>
              <w:rPr>
                <w:rFonts w:ascii="Arial" w:cs="Arial" w:eastAsia="Arial" w:hAnsi="Arial"/>
                <w:sz w:val="16"/>
                <w:szCs w:val="16"/>
                <w:color w:val="auto"/>
              </w:rPr>
              <w:t>Cancellation and forfeiture</w:t>
            </w: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tcPr>
          <w:p>
            <w:pPr>
              <w:ind w:left="320"/>
              <w:spacing w:after="0"/>
              <w:rPr>
                <w:sz w:val="20"/>
                <w:szCs w:val="20"/>
                <w:color w:val="auto"/>
              </w:rPr>
            </w:pPr>
            <w:r>
              <w:rPr>
                <w:rFonts w:ascii="Arial" w:cs="Arial" w:eastAsia="Arial" w:hAnsi="Arial"/>
                <w:sz w:val="16"/>
                <w:szCs w:val="16"/>
                <w:color w:val="auto"/>
              </w:rPr>
              <w:t>of restricted common</w:t>
            </w: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40" w:type="dxa"/>
            <w:vAlign w:val="bottom"/>
          </w:tcPr>
          <w:p>
            <w:pPr>
              <w:ind w:left="320"/>
              <w:spacing w:after="0"/>
              <w:rPr>
                <w:sz w:val="20"/>
                <w:szCs w:val="20"/>
                <w:color w:val="auto"/>
              </w:rPr>
            </w:pPr>
            <w:r>
              <w:rPr>
                <w:rFonts w:ascii="Arial" w:cs="Arial" w:eastAsia="Arial" w:hAnsi="Arial"/>
                <w:sz w:val="16"/>
                <w:szCs w:val="16"/>
                <w:color w:val="auto"/>
              </w:rPr>
              <w:t>stock</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(15,756)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8"/>
                <w:szCs w:val="18"/>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7"/>
              </w:rPr>
              <w:t>Stock options exercised, net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111,375</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gridSpan w:val="2"/>
          </w:tcPr>
          <w:p>
            <w:pPr>
              <w:spacing w:after="0"/>
              <w:rPr>
                <w:sz w:val="20"/>
                <w:szCs w:val="20"/>
                <w:color w:val="auto"/>
              </w:rPr>
            </w:pPr>
            <w:r>
              <w:rPr>
                <w:rFonts w:ascii="Arial" w:cs="Arial" w:eastAsia="Arial" w:hAnsi="Arial"/>
                <w:sz w:val="16"/>
                <w:szCs w:val="16"/>
                <w:color w:val="auto"/>
                <w:w w:val="97"/>
              </w:rPr>
              <w:t>Balance at December 31, 2017</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8,017,334</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8,017</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921,939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76,805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8"/>
              </w:rPr>
              <w:t>45,855</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Balance at June 30, 2018</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8,056,527</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8,057</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882,314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882</w:t>
            </w:r>
          </w:p>
        </w:tc>
        <w:tc>
          <w:tcPr>
            <w:tcW w:w="120" w:type="dxa"/>
            <w:vAlign w:val="bottom"/>
          </w:tcPr>
          <w:p>
            <w:pPr>
              <w:spacing w:after="0"/>
              <w:rPr>
                <w:sz w:val="17"/>
                <w:szCs w:val="17"/>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77,016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w w:val="98"/>
              </w:rPr>
              <w:t>54,236</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(1,761)</w:t>
            </w:r>
          </w:p>
        </w:tc>
        <w:tc>
          <w:tcPr>
            <w:tcW w:w="220" w:type="dxa"/>
            <w:vAlign w:val="bottom"/>
          </w:tcPr>
          <w:p>
            <w:pPr>
              <w:ind w:lef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138,430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9,659</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40" w:type="dxa"/>
            <w:vAlign w:val="bottom"/>
          </w:tcPr>
          <w:p>
            <w:pPr>
              <w:ind w:left="160"/>
              <w:spacing w:after="0"/>
              <w:rPr>
                <w:sz w:val="20"/>
                <w:szCs w:val="20"/>
                <w:color w:val="auto"/>
              </w:rPr>
            </w:pPr>
            <w:r>
              <w:rPr>
                <w:rFonts w:ascii="Arial" w:cs="Arial" w:eastAsia="Arial" w:hAnsi="Arial"/>
                <w:sz w:val="16"/>
                <w:szCs w:val="16"/>
                <w:color w:val="auto"/>
              </w:rPr>
              <w:t>Other comprehensive</w:t>
            </w: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40" w:type="dxa"/>
            <w:vAlign w:val="bottom"/>
          </w:tcPr>
          <w:p>
            <w:pPr>
              <w:ind w:left="320"/>
              <w:spacing w:after="0"/>
              <w:rPr>
                <w:sz w:val="20"/>
                <w:szCs w:val="20"/>
                <w:color w:val="auto"/>
              </w:rPr>
            </w:pPr>
            <w:r>
              <w:rPr>
                <w:rFonts w:ascii="Arial" w:cs="Arial" w:eastAsia="Arial" w:hAnsi="Arial"/>
                <w:sz w:val="16"/>
                <w:szCs w:val="16"/>
                <w:color w:val="auto"/>
              </w:rPr>
              <w:t>income, net of tax</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7"/>
              </w:rPr>
              <w:t>Conversions between voting</w:t>
            </w: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common stock and non-</w:t>
            </w: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9"/>
              </w:rPr>
              <w:t>voting common stock, net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70,368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(70,368)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40" w:type="dxa"/>
            <w:vAlign w:val="bottom"/>
          </w:tcPr>
          <w:p>
            <w:pPr>
              <w:ind w:left="160"/>
              <w:spacing w:after="0"/>
              <w:rPr>
                <w:sz w:val="20"/>
                <w:szCs w:val="20"/>
                <w:color w:val="auto"/>
              </w:rPr>
            </w:pPr>
            <w:r>
              <w:rPr>
                <w:rFonts w:ascii="Arial" w:cs="Arial" w:eastAsia="Arial" w:hAnsi="Arial"/>
                <w:sz w:val="16"/>
                <w:szCs w:val="16"/>
                <w:color w:val="auto"/>
                <w:w w:val="97"/>
              </w:rPr>
              <w:t>Dividends on common stock</w:t>
            </w: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40" w:type="dxa"/>
            <w:vAlign w:val="bottom"/>
          </w:tcPr>
          <w:p>
            <w:pPr>
              <w:ind w:left="320"/>
              <w:spacing w:after="0"/>
              <w:rPr>
                <w:sz w:val="20"/>
                <w:szCs w:val="20"/>
                <w:color w:val="auto"/>
              </w:rPr>
            </w:pPr>
            <w:r>
              <w:rPr>
                <w:rFonts w:ascii="Arial" w:cs="Arial" w:eastAsia="Arial" w:hAnsi="Arial"/>
                <w:sz w:val="16"/>
                <w:szCs w:val="16"/>
                <w:color w:val="auto"/>
              </w:rPr>
              <w:t>at $0.02 per share</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(180)</w:t>
            </w:r>
          </w:p>
        </w:tc>
        <w:tc>
          <w:tcPr>
            <w:tcW w:w="28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Stock-based compensation</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687</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40" w:type="dxa"/>
            <w:vAlign w:val="bottom"/>
          </w:tcPr>
          <w:p>
            <w:pPr>
              <w:ind w:left="160"/>
              <w:spacing w:after="0"/>
              <w:rPr>
                <w:sz w:val="20"/>
                <w:szCs w:val="20"/>
                <w:color w:val="auto"/>
              </w:rPr>
            </w:pPr>
            <w:r>
              <w:rPr>
                <w:rFonts w:ascii="Arial" w:cs="Arial" w:eastAsia="Arial" w:hAnsi="Arial"/>
                <w:sz w:val="16"/>
                <w:szCs w:val="16"/>
                <w:color w:val="auto"/>
              </w:rPr>
              <w:t>Issuance of restricted</w:t>
            </w: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40" w:type="dxa"/>
            <w:vAlign w:val="bottom"/>
          </w:tcPr>
          <w:p>
            <w:pPr>
              <w:ind w:left="320"/>
              <w:spacing w:after="0"/>
              <w:rPr>
                <w:sz w:val="20"/>
                <w:szCs w:val="20"/>
                <w:color w:val="auto"/>
              </w:rPr>
            </w:pPr>
            <w:r>
              <w:rPr>
                <w:rFonts w:ascii="Arial" w:cs="Arial" w:eastAsia="Arial" w:hAnsi="Arial"/>
                <w:sz w:val="16"/>
                <w:szCs w:val="16"/>
                <w:color w:val="auto"/>
              </w:rPr>
              <w:t>common stock</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116,925</w:t>
            </w:r>
          </w:p>
        </w:tc>
        <w:tc>
          <w:tcPr>
            <w:tcW w:w="14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(117)</w:t>
            </w:r>
          </w:p>
        </w:tc>
        <w:tc>
          <w:tcPr>
            <w:tcW w:w="220" w:type="dxa"/>
            <w:vAlign w:val="bottom"/>
          </w:tcPr>
          <w:p>
            <w:pPr>
              <w:spacing w:after="0"/>
              <w:rPr>
                <w:sz w:val="18"/>
                <w:szCs w:val="18"/>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Cancellation and forfeiture</w:t>
            </w: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of restricted common</w:t>
            </w: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(7,877)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tcPr>
          <w:p>
            <w:pPr>
              <w:ind w:left="160"/>
              <w:spacing w:after="0"/>
              <w:rPr>
                <w:sz w:val="20"/>
                <w:szCs w:val="20"/>
                <w:color w:val="auto"/>
              </w:rPr>
            </w:pPr>
            <w:r>
              <w:rPr>
                <w:rFonts w:ascii="Arial" w:cs="Arial" w:eastAsia="Arial" w:hAnsi="Arial"/>
                <w:sz w:val="16"/>
                <w:szCs w:val="16"/>
                <w:color w:val="auto"/>
                <w:w w:val="97"/>
              </w:rPr>
              <w:t>Stock options exercised, net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974</w:t>
            </w:r>
          </w:p>
        </w:tc>
        <w:tc>
          <w:tcPr>
            <w:tcW w:w="140" w:type="dxa"/>
            <w:vAlign w:val="bottom"/>
          </w:tcPr>
          <w:p>
            <w:pPr>
              <w:spacing w:after="0"/>
              <w:rPr>
                <w:sz w:val="17"/>
                <w:szCs w:val="17"/>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7"/>
                <w:szCs w:val="17"/>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Adjustment for adoption of</w:t>
            </w:r>
          </w:p>
        </w:tc>
        <w:tc>
          <w:tcPr>
            <w:tcW w:w="5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2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180</w:t>
            </w:r>
          </w:p>
        </w:tc>
        <w:tc>
          <w:tcPr>
            <w:tcW w:w="2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ASU 2016-01</w:t>
            </w: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gridSpan w:val="2"/>
          </w:tcPr>
          <w:p>
            <w:pPr>
              <w:spacing w:after="0"/>
              <w:rPr>
                <w:sz w:val="20"/>
                <w:szCs w:val="20"/>
                <w:color w:val="auto"/>
              </w:rPr>
            </w:pPr>
            <w:r>
              <w:rPr>
                <w:rFonts w:ascii="Arial" w:cs="Arial" w:eastAsia="Arial" w:hAnsi="Arial"/>
                <w:sz w:val="16"/>
                <w:szCs w:val="16"/>
                <w:color w:val="auto"/>
                <w:w w:val="97"/>
              </w:rPr>
              <w:t>Balance at December 31, 2018</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8,236,917</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8,237</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811,946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77,455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8"/>
              </w:rPr>
              <w:t>63,535</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6"/>
          </w:tcPr>
          <w:p>
            <w:pPr>
              <w:jc w:val="right"/>
              <w:ind w:right="500"/>
              <w:spacing w:after="0"/>
              <w:rPr>
                <w:sz w:val="20"/>
                <w:szCs w:val="20"/>
                <w:color w:val="auto"/>
              </w:rPr>
            </w:pPr>
            <w:r>
              <w:rPr>
                <w:rFonts w:ascii="Arial" w:cs="Arial" w:eastAsia="Arial" w:hAnsi="Arial"/>
                <w:sz w:val="18"/>
                <w:szCs w:val="18"/>
                <w:color w:val="auto"/>
                <w:w w:val="96"/>
              </w:rPr>
              <w:t>Six Months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9,659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Loss (gain) on sale and impairment of real estate owned and other repossessed collateral, net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Net unrealized gain on equity securities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of fair value adjustments on loans, net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Amortization of fair value adjustments on borrowings, net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subordinated debt issuance costs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Originations of loans held for sale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(44,203)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(49,309)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proceeds from sales of loans held for sale</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Gain on sales of residential loans held for sale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sales of SBA and other loans held for sale</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Net decrease (increase) in servicing rights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Bank-owned life insurance income, net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of premises and equipment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expense</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8"/>
                <w:szCs w:val="18"/>
                <w:color w:val="auto"/>
              </w:rPr>
              <w:t>Amortization of available-for-sale debt securities, net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other assets and liabilities: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liabilities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5,766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5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Purchases of available-for-sale debt securities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(21,986)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maturities and principal payments on investment securities, net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Loan purchases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(84,137)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originations, principal collections, and purchased loan paydowns, net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Purchases and disposals of premises and equipment, net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of Federal Home Loan Bank stock</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Proceeds from sales of real estate owned and other repossessed collateral</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provided by investing activities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Financing activities:</w:t>
            </w: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deposits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Federal Home Loan Bank advances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Repayment of capital lease obligation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Repurchases for tax withholdings on restricted common stock</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Stock options exercised, net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 (used in) financing activities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(19,786)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(35,060)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157,402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137,616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128,223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schedule of noncash investing activities:</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Transfers from loans to real estate owned and other repossessed collateral, net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50"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accompanying unaudited interim consolidated financial statements include the accounts of Northeast Bancorp (“Northeast” or the “Company”) and its wholly-owned subsidiary, Northeast Bank (the “Bank”).</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These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notes required by GAAP for complete financial statements. In the opinion of management, the accompanying consolidated financial statements contain all adjustments (consisting principally of normal recurring accruals) considered necessary for a fair presentation of the Company's financial position, results of operations, and cash flows for the interim periods presented. These accompanying unaudited financial statements and notes should be read in conjunction with the audited consolidated financial statements and notes thereto for the fiscal year ended June 30, 2018 (“Fiscal 2018”) included in the Company's Annual Report on Form 10-K filed with the Securities and Exchange Commission (the “SEC”).</w:t>
      </w:r>
    </w:p>
    <w:p>
      <w:pPr>
        <w:spacing w:after="0" w:line="200" w:lineRule="exact"/>
        <w:rPr>
          <w:sz w:val="20"/>
          <w:szCs w:val="20"/>
          <w:color w:val="auto"/>
        </w:rPr>
      </w:pPr>
    </w:p>
    <w:p>
      <w:pPr>
        <w:spacing w:after="0" w:line="206"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w:t>
      </w:r>
      <w:r>
        <w:rPr>
          <w:rFonts w:ascii="Arial" w:cs="Arial" w:eastAsia="Arial" w:hAnsi="Arial"/>
          <w:sz w:val="16"/>
          <w:szCs w:val="16"/>
          <w:color w:val="auto"/>
        </w:rPr>
        <w:t>606</w:t>
      </w:r>
      <w:r>
        <w:rPr>
          <w:rFonts w:ascii="Arial" w:cs="Arial" w:eastAsia="Arial" w:hAnsi="Arial"/>
          <w:sz w:val="16"/>
          <w:szCs w:val="16"/>
          <w:i w:val="1"/>
          <w:iCs w:val="1"/>
          <w:color w:val="auto"/>
        </w:rPr>
        <w:t xml:space="preserve">) </w:t>
      </w:r>
      <w:r>
        <w:rPr>
          <w:rFonts w:ascii="Arial" w:cs="Arial" w:eastAsia="Arial" w:hAnsi="Arial"/>
          <w:sz w:val="16"/>
          <w:szCs w:val="16"/>
          <w:color w:val="auto"/>
        </w:rPr>
        <w:t>(“ASU 2014-09”). ASU 2014-09 implements a common revenue standard that clarifies the principles for recognizing revenue.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core principle of ASU 2014-09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ASU 2015-14, </w:t>
      </w:r>
      <w:r>
        <w:rPr>
          <w:rFonts w:ascii="Arial" w:cs="Arial" w:eastAsia="Arial" w:hAnsi="Arial"/>
          <w:sz w:val="16"/>
          <w:szCs w:val="16"/>
          <w:i w:val="1"/>
          <w:iCs w:val="1"/>
          <w:color w:val="auto"/>
        </w:rPr>
        <w:t>Revenue from Contracts with Customers (Topic</w:t>
      </w:r>
      <w:r>
        <w:rPr>
          <w:rFonts w:ascii="Arial" w:cs="Arial" w:eastAsia="Arial" w:hAnsi="Arial"/>
          <w:sz w:val="16"/>
          <w:szCs w:val="16"/>
          <w:color w:val="auto"/>
        </w:rPr>
        <w:t xml:space="preserve"> 606</w:t>
      </w:r>
      <w:r>
        <w:rPr>
          <w:rFonts w:ascii="Arial" w:cs="Arial" w:eastAsia="Arial" w:hAnsi="Arial"/>
          <w:sz w:val="16"/>
          <w:szCs w:val="16"/>
          <w:i w:val="1"/>
          <w:iCs w:val="1"/>
          <w:color w:val="auto"/>
        </w:rPr>
        <w:t>)</w:t>
      </w:r>
      <w:r>
        <w:rPr>
          <w:rFonts w:ascii="Arial" w:cs="Arial" w:eastAsia="Arial" w:hAnsi="Arial"/>
          <w:sz w:val="16"/>
          <w:szCs w:val="16"/>
          <w:color w:val="auto"/>
        </w:rPr>
        <w:t xml:space="preserve"> (“ASU 2015-14”) was issued in August 2015 which deferred adoption to annual reporting periods beginning after December 15, 2017, which was adopted during the three months ended September 30, 2018. The timing of the Company’s revenue recognition did not change. The Company’s largest portions of revenue, interest and fees on loans, interest and dividend income on securities and short-term investments, bank-owned life insurance income, and gain on sales of loans, are specifically excluded from the scope of the guidance. Additionally, fees for other services to customers includes loan servicing fee income which is accounted for under ASC Topic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(“Topic 860”), and is not subject to Topic 606. The other component of fees for other services to customers is deposit fees. The majority of the Company’s deposit fees are specifically related to a customer accessing its funds, in which case the revenue is currently recognized in a consistent manner with Topic</w:t>
      </w:r>
    </w:p>
    <w:p>
      <w:pPr>
        <w:spacing w:after="0" w:line="3" w:lineRule="exact"/>
        <w:rPr>
          <w:sz w:val="20"/>
          <w:szCs w:val="20"/>
          <w:color w:val="auto"/>
        </w:rPr>
      </w:pPr>
    </w:p>
    <w:p>
      <w:pPr>
        <w:ind w:right="40" w:firstLine="8"/>
        <w:spacing w:after="0" w:line="254"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that is not specifically related to a customer accessing its funds (i.e. account maintenance fees), can be waived; however, the amount of waived fees is not considered material, and thus the revenue is consistently recognized with Topic 606. All other revenue is also recognized in a manner consistent with Topic 606. Because of the above, management believes that revenue recognized under the new guidance approximates revenue recognized under current GAAP.</w:t>
      </w:r>
    </w:p>
    <w:p>
      <w:pPr>
        <w:spacing w:after="0" w:line="19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w:t>
      </w:r>
      <w:r>
        <w:rPr>
          <w:rFonts w:ascii="Arial" w:cs="Arial" w:eastAsia="Arial" w:hAnsi="Arial"/>
          <w:sz w:val="17"/>
          <w:szCs w:val="17"/>
          <w:color w:val="auto"/>
        </w:rPr>
        <w:t xml:space="preserve"> 825</w:t>
      </w:r>
      <w:r>
        <w:rPr>
          <w:rFonts w:ascii="Arial" w:cs="Arial" w:eastAsia="Arial" w:hAnsi="Arial"/>
          <w:sz w:val="17"/>
          <w:szCs w:val="17"/>
          <w:i w:val="1"/>
          <w:iCs w:val="1"/>
          <w:color w:val="auto"/>
        </w:rPr>
        <w:t>-</w:t>
      </w:r>
      <w:r>
        <w:rPr>
          <w:rFonts w:ascii="Arial" w:cs="Arial" w:eastAsia="Arial" w:hAnsi="Arial"/>
          <w:sz w:val="17"/>
          <w:szCs w:val="17"/>
          <w:color w:val="auto"/>
        </w:rPr>
        <w:t>10</w:t>
      </w:r>
      <w:r>
        <w:rPr>
          <w:rFonts w:ascii="Arial" w:cs="Arial" w:eastAsia="Arial" w:hAnsi="Arial"/>
          <w:sz w:val="17"/>
          <w:szCs w:val="17"/>
          <w:i w:val="1"/>
          <w:iCs w:val="1"/>
          <w:color w:val="auto"/>
        </w:rPr>
        <w:t>): Recognition and Measurement of Financial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Liabilities </w:t>
      </w:r>
      <w:r>
        <w:rPr>
          <w:rFonts w:ascii="Arial" w:cs="Arial" w:eastAsia="Arial" w:hAnsi="Arial"/>
          <w:sz w:val="17"/>
          <w:szCs w:val="17"/>
          <w:color w:val="auto"/>
        </w:rPr>
        <w:t>(“ASU 2016-01”). This guidance changes how entities account for equity investments that do not result in consolidation and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the Company to adjust the carrying amount for impairment and observable price changes in orderly transactions for the identical or a similar investment of the same issuer. This guidance also changes certain disclosure requirements and other aspects of current GAAP. The Company adopted this guidance during the three months ended September 30, 2018. This adoption resulted in a reclassification of $180 thousand from accumulated other comprehensive loss to retained earnings in the consolidated financial statements, with no net effect on shareholders' equity. In addition, the disclosure of the fair value of “Loans, net” in “Notes to Unaudited Consolidated Financial Statements – Note 10: Fair Value Measurements” is now calculated based on an exit pricing strategy versus an entry pricing strategy.</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w:t>
      </w:r>
      <w:r>
        <w:rPr>
          <w:rFonts w:ascii="Arial" w:cs="Arial" w:eastAsia="Arial" w:hAnsi="Arial"/>
          <w:sz w:val="16"/>
          <w:szCs w:val="16"/>
          <w:color w:val="auto"/>
        </w:rPr>
        <w:t xml:space="preserve"> 842</w:t>
      </w:r>
      <w:r>
        <w:rPr>
          <w:rFonts w:ascii="Arial" w:cs="Arial" w:eastAsia="Arial" w:hAnsi="Arial"/>
          <w:sz w:val="16"/>
          <w:szCs w:val="16"/>
          <w:i w:val="1"/>
          <w:iCs w:val="1"/>
          <w:color w:val="auto"/>
        </w:rPr>
        <w:t>)</w:t>
      </w:r>
      <w:r>
        <w:rPr>
          <w:rFonts w:ascii="Arial" w:cs="Arial" w:eastAsia="Arial" w:hAnsi="Arial"/>
          <w:sz w:val="16"/>
          <w:szCs w:val="16"/>
          <w:color w:val="auto"/>
        </w:rPr>
        <w:t xml:space="preserve"> (“ASU 2016-02”). The new guidance establishes the principles to report transparent and economically neutral information about the assets and liabilities that arise from leases. Entities will be required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 This guidance is effective for fiscal years beginning after December 15, 2018, including interim periods within the fiscal year. The Company is currently evaluating the impact of the adoption of ASU 2016-02 to determine the potential impact it will have on its consolidated financial statements. The Company’s assets and liabilities will increase based on the present value of the remaining lease payments for leases in place at the adoption date; however, this is not expected to be material to the Company’s results of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w:t>
      </w:r>
      <w:r>
        <w:rPr>
          <w:rFonts w:ascii="Arial" w:cs="Arial" w:eastAsia="Arial" w:hAnsi="Arial"/>
          <w:sz w:val="18"/>
          <w:szCs w:val="18"/>
          <w:color w:val="auto"/>
        </w:rPr>
        <w:t xml:space="preserve"> 326</w:t>
      </w:r>
      <w:r>
        <w:rPr>
          <w:rFonts w:ascii="Arial" w:cs="Arial" w:eastAsia="Arial" w:hAnsi="Arial"/>
          <w:sz w:val="18"/>
          <w:szCs w:val="18"/>
          <w:i w:val="1"/>
          <w:iCs w:val="1"/>
          <w:color w:val="auto"/>
        </w:rPr>
        <w:t>)</w:t>
      </w:r>
      <w:r>
        <w:rPr>
          <w:rFonts w:ascii="Arial" w:cs="Arial" w:eastAsia="Arial" w:hAnsi="Arial"/>
          <w:sz w:val="18"/>
          <w:szCs w:val="18"/>
          <w:color w:val="auto"/>
        </w:rPr>
        <w:t xml:space="preserve"> (“ASU 2016-13”). This guidance is intended to provide financial statement users with more decision-useful information about the expected credit losses on financial instruments and other commitments to extend credit held by a reporting entity at each reporting date. To achieve this objective, the amendments in this guidance replace the incurred loss impairment methodology in current GAAP with a methodology that reflects expected credit losses and requires consideration of a broader range of reasonable and supportable information to inform credit loss estimates. This ASU will be effective for fiscal years beginning after December 15, 2019. Early adoption is available as of the fiscal year beginning after December 15, 2018. The Company is evaluating the provisions of the guidance, and will closely monitor developments and additional guidance to determine the potential impact on the Company’s consolidated financial statements. Management is in the process of identifying the methodologies and the additional data requirements necessary to implement the guidance and has engaged an existing third-party service provider to assist in implementation.</w:t>
      </w:r>
    </w:p>
    <w:p>
      <w:pPr>
        <w:spacing w:after="0" w:line="19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 – Stock Compensation (Topic</w:t>
      </w:r>
      <w:r>
        <w:rPr>
          <w:rFonts w:ascii="Arial" w:cs="Arial" w:eastAsia="Arial" w:hAnsi="Arial"/>
          <w:sz w:val="16"/>
          <w:szCs w:val="16"/>
          <w:color w:val="auto"/>
        </w:rPr>
        <w:t xml:space="preserve"> 718</w:t>
      </w:r>
      <w:r>
        <w:rPr>
          <w:rFonts w:ascii="Arial" w:cs="Arial" w:eastAsia="Arial" w:hAnsi="Arial"/>
          <w:sz w:val="16"/>
          <w:szCs w:val="16"/>
          <w:i w:val="1"/>
          <w:iCs w:val="1"/>
          <w:color w:val="auto"/>
        </w:rPr>
        <w:t>): Scope of Modification Accounting</w:t>
      </w:r>
      <w:r>
        <w:rPr>
          <w:rFonts w:ascii="Arial" w:cs="Arial" w:eastAsia="Arial" w:hAnsi="Arial"/>
          <w:sz w:val="16"/>
          <w:szCs w:val="16"/>
          <w:color w:val="auto"/>
        </w:rPr>
        <w:t xml:space="preserve"> (“ASU 2017-09”) which amends the scope of modification accounting for share-based payment arrangements. This update provides guidance on the types of changes to the terms or conditions of share-based payment awards to which an entity would be required to apply modification accounting. Specifically, an entity would not apply modification accounting if the fair value, vesting conditions, and classification of the awards are the same immediately before and after the modification. This update was adopted during the three months ended September 30, 2018 and did not have an impact on the Company’s consolidated financial statements.</w:t>
      </w:r>
    </w:p>
    <w:p>
      <w:pPr>
        <w:spacing w:after="0" w:line="15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w:t>
      </w:r>
      <w:r>
        <w:rPr>
          <w:rFonts w:ascii="Arial" w:cs="Arial" w:eastAsia="Arial" w:hAnsi="Arial"/>
          <w:sz w:val="16"/>
          <w:szCs w:val="16"/>
          <w:color w:val="auto"/>
        </w:rPr>
        <w:t xml:space="preserve"> 815</w:t>
      </w:r>
      <w:r>
        <w:rPr>
          <w:rFonts w:ascii="Arial" w:cs="Arial" w:eastAsia="Arial" w:hAnsi="Arial"/>
          <w:sz w:val="16"/>
          <w:szCs w:val="16"/>
          <w:i w:val="1"/>
          <w:iCs w:val="1"/>
          <w:color w:val="auto"/>
        </w:rPr>
        <w:t>)</w:t>
      </w:r>
      <w:r>
        <w:rPr>
          <w:rFonts w:ascii="Arial" w:cs="Arial" w:eastAsia="Arial" w:hAnsi="Arial"/>
          <w:sz w:val="16"/>
          <w:szCs w:val="16"/>
          <w:color w:val="auto"/>
        </w:rPr>
        <w:t xml:space="preserve"> (“ASU 2017-12”). This guidance permits hedge accounting for risk components in hedging relationships involving nonfinancial risk and interest rate risk, and improves the financial reporting of hedging relationships to better portray the economic results of an entity’s risk management activities in its financial statements. The amendments in this guidance are effective for public business entities for fiscal years beginning after December 15, 2018, and interim periods within those fiscal years. Early adoption is permitted, including adoption in an interim period. The adoption of this guidance is not expected to have a significant impact on the Company’s consolidated financial statements.</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July 2018, the FASB issued ASU 2018-10, </w:t>
      </w:r>
      <w:r>
        <w:rPr>
          <w:rFonts w:ascii="Arial" w:cs="Arial" w:eastAsia="Arial" w:hAnsi="Arial"/>
          <w:sz w:val="17"/>
          <w:szCs w:val="17"/>
          <w:i w:val="1"/>
          <w:iCs w:val="1"/>
          <w:color w:val="auto"/>
        </w:rPr>
        <w:t>Codification Improvements to Topic</w:t>
      </w:r>
      <w:r>
        <w:rPr>
          <w:rFonts w:ascii="Arial" w:cs="Arial" w:eastAsia="Arial" w:hAnsi="Arial"/>
          <w:sz w:val="17"/>
          <w:szCs w:val="17"/>
          <w:color w:val="auto"/>
        </w:rPr>
        <w:t xml:space="preserve">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2018-10”) and ASU 2018-11, </w:t>
      </w:r>
      <w:r>
        <w:rPr>
          <w:rFonts w:ascii="Arial" w:cs="Arial" w:eastAsia="Arial" w:hAnsi="Arial"/>
          <w:sz w:val="17"/>
          <w:szCs w:val="17"/>
          <w:i w:val="1"/>
          <w:iCs w:val="1"/>
          <w:color w:val="auto"/>
        </w:rPr>
        <w:t>Leases (Topic</w:t>
      </w:r>
      <w:r>
        <w:rPr>
          <w:rFonts w:ascii="Arial" w:cs="Arial" w:eastAsia="Arial" w:hAnsi="Arial"/>
          <w:sz w:val="17"/>
          <w:szCs w:val="17"/>
          <w:color w:val="auto"/>
        </w:rPr>
        <w:t xml:space="preserve"> 842</w:t>
      </w:r>
      <w:r>
        <w:rPr>
          <w:rFonts w:ascii="Arial" w:cs="Arial" w:eastAsia="Arial" w:hAnsi="Arial"/>
          <w:sz w:val="17"/>
          <w:szCs w:val="17"/>
          <w:i w:val="1"/>
          <w:iCs w:val="1"/>
          <w:color w:val="auto"/>
        </w:rPr>
        <w:t>)</w:t>
      </w:r>
      <w:r>
        <w:rPr>
          <w:rFonts w:ascii="Arial" w:cs="Arial" w:eastAsia="Arial" w:hAnsi="Arial"/>
          <w:sz w:val="17"/>
          <w:szCs w:val="17"/>
          <w:color w:val="auto"/>
        </w:rPr>
        <w:t xml:space="preserve"> (“ASU 2018-11”). The guidance provides clarification on the application of ASU 2016-02, specifically on certain narrow aspects of the guidance issued under ASU 2016-02, including comparative reporting requirements for initial adoption and, for lessors only, separating lease and non-lease components in a contract and allocating the consideration in the contract to the separate components. For entities that have not adopted ASU 2016-02 before the issuance of these updates, the amendments in this guidance are the same as the effective date and transition requirements in ASU 2016-02. The adoption of this guidance is not expected to have a significant impact on the Company’s consolidated financial statements.</w:t>
      </w:r>
    </w:p>
    <w:p>
      <w:pPr>
        <w:spacing w:after="0" w:line="17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Measurements (Topic</w:t>
      </w:r>
      <w:r>
        <w:rPr>
          <w:rFonts w:ascii="Arial" w:cs="Arial" w:eastAsia="Arial" w:hAnsi="Arial"/>
          <w:sz w:val="18"/>
          <w:szCs w:val="18"/>
          <w:color w:val="auto"/>
        </w:rPr>
        <w:t xml:space="preserve"> 820</w:t>
      </w:r>
      <w:r>
        <w:rPr>
          <w:rFonts w:ascii="Arial" w:cs="Arial" w:eastAsia="Arial" w:hAnsi="Arial"/>
          <w:sz w:val="18"/>
          <w:szCs w:val="18"/>
          <w:i w:val="1"/>
          <w:iCs w:val="1"/>
          <w:color w:val="auto"/>
        </w:rPr>
        <w:t>)</w:t>
      </w:r>
      <w:r>
        <w:rPr>
          <w:rFonts w:ascii="Arial" w:cs="Arial" w:eastAsia="Arial" w:hAnsi="Arial"/>
          <w:sz w:val="18"/>
          <w:szCs w:val="18"/>
          <w:color w:val="auto"/>
        </w:rPr>
        <w:t xml:space="preserve"> (“ASU 2018-13”). This update modifies disclosure requirements on fair value measurements in Topic 820, Fair Value Measurement. This includes removing requirements related to transfers between Level 1 and Level 2, the policy of timing of transfers between levels, and the valuation process for Level 3 fair value measurements, modifying disclosure requirements related to investments in certain entities that calculate net asset value, and adding disclosure requirements for changes in unrealized gains and losses for recurring Level 3 fair value measurements and the range and weighted average of significant unobservable inputs used to develop Level 3 fair value measurements. The amendments in this guidance are effective for public business entities for fiscal years beginning after December 15, 2019, and interim periods within those fiscal years. Early adoption is permitted. The adoption of this guidance is not expected to have a significant impact on the Company’s consolidated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a summary of the amortized cost, gross unrealized holding gains and losses, and fair value of investment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color w:val="auto"/>
                <w:w w:val="89"/>
              </w:rPr>
              <w:t>December 31, 2018</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left="90"/>
              <w:spacing w:after="0" w:line="195" w:lineRule="exact"/>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93"/>
              </w:rPr>
              <w:t>Amortized</w:t>
            </w:r>
          </w:p>
        </w:tc>
        <w:tc>
          <w:tcPr>
            <w:tcW w:w="220" w:type="dxa"/>
            <w:vAlign w:val="bottom"/>
          </w:tcPr>
          <w:p>
            <w:pPr>
              <w:spacing w:after="0"/>
              <w:rPr>
                <w:sz w:val="18"/>
                <w:szCs w:val="18"/>
                <w:color w:val="auto"/>
              </w:rPr>
            </w:pP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r>
      <w:tr>
        <w:trPr>
          <w:trHeight w:val="230"/>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9"/>
              </w:rPr>
              <w:t>Gains</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6"/>
          </w:tcPr>
          <w:p>
            <w:pPr>
              <w:jc w:val="center"/>
              <w:ind w:right="20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57,056</w:t>
            </w:r>
          </w:p>
        </w:tc>
        <w:tc>
          <w:tcPr>
            <w:tcW w:w="12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57,025</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21,853</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(746)</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21,107</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 measured at net asset value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6,711</w:t>
            </w:r>
          </w:p>
        </w:tc>
      </w:tr>
      <w:tr>
        <w:trPr>
          <w:trHeight w:val="20"/>
        </w:trPr>
        <w:tc>
          <w:tcPr>
            <w:tcW w:w="5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ind w:left="180"/>
              <w:spacing w:after="0"/>
              <w:rPr>
                <w:sz w:val="20"/>
                <w:szCs w:val="20"/>
                <w:color w:val="auto"/>
              </w:rPr>
            </w:pPr>
            <w:r>
              <w:rPr>
                <w:rFonts w:ascii="Arial" w:cs="Arial" w:eastAsia="Arial" w:hAnsi="Arial"/>
                <w:sz w:val="18"/>
                <w:szCs w:val="18"/>
                <w:color w:val="auto"/>
              </w:rPr>
              <w:t>Total investment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85,856</w:t>
            </w:r>
          </w:p>
        </w:tc>
        <w:tc>
          <w:tcPr>
            <w:tcW w:w="12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(1,092)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84,843</w:t>
            </w: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color w:val="auto"/>
                <w:w w:val="89"/>
              </w:rPr>
              <w:t>June 30, 2018</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left="90"/>
              <w:spacing w:after="0" w:line="195" w:lineRule="exact"/>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93"/>
              </w:rPr>
              <w:t>Amortized</w:t>
            </w:r>
          </w:p>
        </w:tc>
        <w:tc>
          <w:tcPr>
            <w:tcW w:w="220" w:type="dxa"/>
            <w:vAlign w:val="bottom"/>
          </w:tcPr>
          <w:p>
            <w:pPr>
              <w:spacing w:after="0"/>
              <w:rPr>
                <w:sz w:val="18"/>
                <w:szCs w:val="18"/>
                <w:color w:val="auto"/>
              </w:rPr>
            </w:pP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r>
      <w:tr>
        <w:trPr>
          <w:trHeight w:val="230"/>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9"/>
              </w:rPr>
              <w:t>Gains</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6"/>
          </w:tcPr>
          <w:p>
            <w:pPr>
              <w:jc w:val="center"/>
              <w:ind w:right="20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57,129</w:t>
            </w:r>
          </w:p>
        </w:tc>
        <w:tc>
          <w:tcPr>
            <w:tcW w:w="12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56,887</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25,276</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(1,095)</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24,181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 measured at net asset value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6,619</w:t>
            </w:r>
          </w:p>
        </w:tc>
      </w:tr>
      <w:tr>
        <w:trPr>
          <w:trHeight w:val="20"/>
        </w:trPr>
        <w:tc>
          <w:tcPr>
            <w:tcW w:w="5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ind w:left="180"/>
              <w:spacing w:after="0"/>
              <w:rPr>
                <w:sz w:val="20"/>
                <w:szCs w:val="20"/>
                <w:color w:val="auto"/>
              </w:rPr>
            </w:pPr>
            <w:r>
              <w:rPr>
                <w:rFonts w:ascii="Arial" w:cs="Arial" w:eastAsia="Arial" w:hAnsi="Arial"/>
                <w:sz w:val="18"/>
                <w:szCs w:val="18"/>
                <w:color w:val="auto"/>
              </w:rPr>
              <w:t>Total investment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89,271</w:t>
            </w:r>
          </w:p>
        </w:tc>
        <w:tc>
          <w:tcPr>
            <w:tcW w:w="12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(1,584)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87,687</w:t>
            </w:r>
          </w:p>
        </w:tc>
      </w:tr>
      <w:tr>
        <w:trPr>
          <w:trHeight w:val="20"/>
        </w:trPr>
        <w:tc>
          <w:tcPr>
            <w:tcW w:w="5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December 31, 2018 and June 30, 2018, the Company held no securities of any single issuer (excluding the U. S. Government and government agencies) with a book value that exceeded 10% of shareholders’ equity.</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When securities are sold, the adjusted cost of the specific security sold is used to compute the gain or loss on sale. There were no securities sold during the three and six months ended December 31, 2018 or 2017. At December 31, 2018, no investment securities were pledged as collateral to secure outstanding borrowings.</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88"/>
              </w:rPr>
              <w:t>December 31, 2018</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6"/>
              </w:rPr>
              <w:t>Fair</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10,914</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28,923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21,107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(746)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21,107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Equity investments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5,147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5,147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 investment securities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10,914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44,263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55,177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87"/>
              </w:rPr>
              <w:t>June 30, 2018</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6"/>
              </w:rPr>
              <w:t>Fair</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30,899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(1,068)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Equity investments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5,076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5,076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 investment securities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27,253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58,891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86,144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impairment losses on securities during the three and six months ended December 31, 2018 or 2017.</w:t>
      </w:r>
    </w:p>
    <w:p>
      <w:pPr>
        <w:spacing w:after="0" w:line="225"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At December 31, 2018, the Company had 33 securities in an unrealized loss position. At December 31, 2018, all of the Company’s available-for-sale securities were issued or guaranteed by either government agencies or government-sponsored enterprises. The decline in fair value of the Company’s investment securities at December 31, 2018 is attributable to changes in interest rates.</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to considering current trends and economic conditions that may affect the quality of individual securities within the Company’s investment portfolio, management of the Company also considers the Company’s ability and intent to hold such securities to maturity or recovery of cost. At December 31, 2018, the Company does not intend to sell and it is not more likely than not that the Company will be required to sell the investment securities before recovery of its amortized cost. As such, management does not believe any of the Company’s investment securities are other-than-temporarily impaired at December 31, 2018.</w:t>
      </w:r>
    </w:p>
    <w:p>
      <w:pPr>
        <w:spacing w:after="0" w:line="18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investments measured at net asset value include a fund that seeks to invest in securities either issued or guaranteed by the U.S. government or its agencies, as well as a fund that primarily invests in the federally guaranteed portion of SBA 7(a) loans that adjust quarterly or monthly and are indexed to the Prime Rate. The underlying composition of these funds is primarily government agencies, other investment-grade investments, or the guaranteed portion of</w:t>
      </w:r>
    </w:p>
    <w:p>
      <w:pPr>
        <w:sectPr>
          <w:pgSz w:w="11900" w:h="16838" w:orient="portrait"/>
          <w:cols w:equalWidth="0" w:num="1">
            <w:col w:w="11420"/>
          </w:cols>
          <w:pgMar w:left="240" w:top="118" w:right="239" w:bottom="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SBA 7(a) loans, as applicable. As of December 31, 2018, the effective duration of the fund that seeks to invest in securities either issued or guaranteed by the U.S. government or its agencies is 4.66 years.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ASU 2016-01, </w:t>
      </w:r>
      <w:r>
        <w:rPr>
          <w:rFonts w:ascii="Arial" w:cs="Arial" w:eastAsia="Arial" w:hAnsi="Arial"/>
          <w:sz w:val="17"/>
          <w:szCs w:val="17"/>
          <w:i w:val="1"/>
          <w:iCs w:val="1"/>
          <w:color w:val="auto"/>
        </w:rPr>
        <w:t>Recognition and Measurements of Financial Assets and Financial Liabilities</w:t>
      </w:r>
      <w:r>
        <w:rPr>
          <w:rFonts w:ascii="Arial" w:cs="Arial" w:eastAsia="Arial" w:hAnsi="Arial"/>
          <w:sz w:val="17"/>
          <w:szCs w:val="17"/>
          <w:color w:val="auto"/>
        </w:rPr>
        <w:t>, was adopted on July 1, 2018, and a cumulative effect adjustment of $180 thousand was recorded to reclassify the amount of accumulated unrealized losses, net, related to equity securities from accumulated other comprehensive loss to retained earnings. For the three and six months ended December 31, 2018, there were $50 thousand and $10 thousand of increases in net unrealized gains on equity securities recognized in the consolidated statements of income, respectively.</w:t>
      </w:r>
    </w:p>
    <w:p>
      <w:pPr>
        <w:spacing w:after="0" w:line="17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amortized cost and fair values of available-for-sale debt securities by contractual maturity are shown below as of December 31, 2018. Actual maturities may differ from contractual maturities because borrowers may have the right to prepay obligations with or without prepayment penalties.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Amortized Cost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Fair Value</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6"/>
          </w:tcPr>
          <w:p>
            <w:pPr>
              <w:ind w:left="70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20,094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20,003</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36,962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37,022</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Due after ten years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U.S. Government agency securities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57,025</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21,853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21,107</w:t>
            </w:r>
          </w:p>
        </w:tc>
      </w:tr>
      <w:tr>
        <w:trPr>
          <w:trHeight w:val="20"/>
        </w:trPr>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available-for-sale debt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78,909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78,132</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Allowance for Loan Losses and Credit Quality</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in full, the unamortized portion is recognized in interest income. Interest income is accrued based upon the daily principal amount outstanding, except for loans on nonaccrual status.</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Loans purchased by the Company are accounted for under ASC 310-30, </w:t>
      </w:r>
      <w:r>
        <w:rPr>
          <w:rFonts w:ascii="Arial" w:cs="Arial" w:eastAsia="Arial" w:hAnsi="Arial"/>
          <w:sz w:val="16"/>
          <w:szCs w:val="16"/>
          <w:i w:val="1"/>
          <w:iCs w:val="1"/>
          <w:color w:val="auto"/>
        </w:rPr>
        <w:t>Receivables—Loans and Debt Securities Acquired with Deteriorated Credit Quality</w:t>
      </w:r>
      <w:r>
        <w:rPr>
          <w:rFonts w:ascii="Arial" w:cs="Arial" w:eastAsia="Arial" w:hAnsi="Arial"/>
          <w:sz w:val="16"/>
          <w:szCs w:val="16"/>
          <w:color w:val="auto"/>
        </w:rPr>
        <w:t xml:space="preserve">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credit-related declines in expected cash flows of purchased loans are recorded through a specific allocation in the allowance for loan losses.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Loans are generally placed on nonaccrual status when they are past due 90 days as to either principal or interest, or when in management's judgment the collectability of interest or principal of the loan has been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and interest is reasonably assured and the loan has performed for a reasonable period of time.</w:t>
      </w:r>
    </w:p>
    <w:p>
      <w:pPr>
        <w:spacing w:after="0" w:line="19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to contractual terms, the loan is classified as a troubled debt restructuring ("TDR"), and therefore by definition is an impaired loan.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modified loan would not qualify as a TDR.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is as follows on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88"/>
              </w:rPr>
              <w:t>December 31, 2018</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Originated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Purchased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57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5"/>
              </w:rPr>
              <w:t>(Dollars in 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259,451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313,261</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572,712</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202,150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202,938</w:t>
            </w:r>
          </w:p>
        </w:tc>
      </w:tr>
      <w:tr>
        <w:trPr>
          <w:trHeight w:val="216"/>
        </w:trPr>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16,594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92,566</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2,788</w:t>
            </w:r>
          </w:p>
        </w:tc>
      </w:tr>
      <w:tr>
        <w:trPr>
          <w:trHeight w:val="216"/>
        </w:trPr>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SBA</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67,282</w:t>
            </w:r>
          </w:p>
        </w:tc>
      </w:tr>
      <w:tr>
        <w:trPr>
          <w:trHeight w:val="20"/>
        </w:trPr>
        <w:tc>
          <w:tcPr>
            <w:tcW w:w="57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607,643</w:t>
            </w:r>
          </w:p>
        </w:tc>
        <w:tc>
          <w:tcPr>
            <w:tcW w:w="2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330,643</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938,286</w:t>
            </w: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7"/>
              </w:rPr>
              <w:t>June 30, 2018</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Originated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Purchased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57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5"/>
              </w:rPr>
              <w:t>(Dollars in 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249,428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276,051</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525,479</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181,800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995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182,795</w:t>
            </w:r>
          </w:p>
        </w:tc>
      </w:tr>
      <w:tr>
        <w:trPr>
          <w:trHeight w:val="216"/>
        </w:trPr>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13,926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100,128</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3,244</w:t>
            </w:r>
          </w:p>
        </w:tc>
      </w:tr>
      <w:tr>
        <w:trPr>
          <w:trHeight w:val="216"/>
        </w:trPr>
        <w:tc>
          <w:tcPr>
            <w:tcW w:w="5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SBA</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60,156</w:t>
            </w:r>
          </w:p>
        </w:tc>
      </w:tr>
      <w:tr>
        <w:trPr>
          <w:trHeight w:val="20"/>
        </w:trPr>
        <w:tc>
          <w:tcPr>
            <w:tcW w:w="57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6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580,830</w:t>
            </w:r>
          </w:p>
        </w:tc>
        <w:tc>
          <w:tcPr>
            <w:tcW w:w="2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290,972</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871,802</w:t>
            </w: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Total loans include deferred loan origination costs, net, of $190 thousand and $223 thousand as of December 31, 2018 and June 30, 2018,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Past Due and 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8"/>
                <w:szCs w:val="18"/>
                <w:color w:val="auto"/>
                <w:w w:val="96"/>
              </w:rPr>
              <w:t>December 31, 2018</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9"/>
              </w:rPr>
              <w:t>Past Due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Past Due</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90 Days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90 Days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1"/>
              </w:rPr>
              <w:t>30-59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1"/>
              </w:rPr>
              <w:t>60-89</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More-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Total 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2"/>
              </w:rPr>
              <w:t>Days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Days</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Current</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(Dollars in</w:t>
            </w:r>
          </w:p>
        </w:tc>
        <w:tc>
          <w:tcPr>
            <w:tcW w:w="22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1,141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247</w:t>
            </w:r>
          </w:p>
        </w:tc>
        <w:tc>
          <w:tcPr>
            <w:tcW w:w="860" w:type="dxa"/>
            <w:vAlign w:val="bottom"/>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1,640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72,944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75,972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256,667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202,110</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202,150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SBA</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2,660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64,622</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67,282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598,881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607,643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Purchased portfolio:</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16,392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1,205</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2,612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9,180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304,081</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313,261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1,205</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9,521</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321,122</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330,643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8,264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920,003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938,286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color w:val="auto"/>
              </w:rPr>
              <w:t>June 30, 2018</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9"/>
              </w:rPr>
              <w:t>Past Due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Past Due</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90 Days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90 Days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1"/>
              </w:rPr>
              <w:t>30-59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1"/>
              </w:rPr>
              <w:t>60-89</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More-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Total 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2"/>
              </w:rPr>
              <w:t>Days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Days</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Current</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(Dollars in</w:t>
            </w:r>
          </w:p>
        </w:tc>
        <w:tc>
          <w:tcPr>
            <w:tcW w:w="22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181</w:t>
            </w:r>
          </w:p>
        </w:tc>
        <w:tc>
          <w:tcPr>
            <w:tcW w:w="860" w:type="dxa"/>
            <w:vAlign w:val="bottom"/>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1,355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84,173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86,202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249,093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181,768</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181,800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SBA</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831</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59,325</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60,156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577,425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580,830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13,724</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13,926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272,032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276,051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887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286,643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290,972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ind w:left="320"/>
              <w:spacing w:after="0"/>
              <w:rPr>
                <w:sz w:val="20"/>
                <w:szCs w:val="20"/>
                <w:color w:val="auto"/>
              </w:rPr>
            </w:pPr>
            <w:r>
              <w:rPr>
                <w:rFonts w:ascii="Arial" w:cs="Arial" w:eastAsia="Arial" w:hAnsi="Arial"/>
                <w:sz w:val="18"/>
                <w:szCs w:val="18"/>
                <w:color w:val="auto"/>
              </w:rPr>
              <w:t>Total 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747</w:t>
            </w:r>
          </w:p>
        </w:tc>
        <w:tc>
          <w:tcPr>
            <w:tcW w:w="240" w:type="dxa"/>
            <w:vAlign w:val="bottom"/>
          </w:tcPr>
          <w:p>
            <w:pPr>
              <w:spacing w:after="0"/>
              <w:rPr>
                <w:sz w:val="18"/>
                <w:szCs w:val="18"/>
                <w:color w:val="auto"/>
              </w:rPr>
            </w:pPr>
          </w:p>
        </w:tc>
        <w:tc>
          <w:tcPr>
            <w:tcW w:w="860" w:type="dxa"/>
            <w:vAlign w:val="bottom"/>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5,714</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7,734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864,068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871,802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 and Impaired Loans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estimated costs to sell. For commercial loans, a charge-off is recorded on a case-by-case basis when all or a portion of the loan is deemed to be uncollectible. Subsequent recoveries, if any, are credited to the allowance.</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appropriateness of the allowance for loan losses on a quarterly basis. The calculation of the allowance for loan losses is segregated by portfolio segments, which include: residential real estate, commercial real estate, commercial and industrial, consumer, purchased loans, and SBA loans. Risk characteristics relevant to each portfolio segment are as follows:</w:t>
      </w:r>
    </w:p>
    <w:p>
      <w:pPr>
        <w:spacing w:after="0" w:line="188" w:lineRule="exact"/>
        <w:rPr>
          <w:sz w:val="20"/>
          <w:szCs w:val="20"/>
          <w:color w:val="auto"/>
        </w:rPr>
      </w:pPr>
    </w:p>
    <w:p>
      <w:pPr>
        <w:ind w:left="480" w:right="6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loan-to-value ratio and income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480" w:right="120"/>
        <w:spacing w:after="0" w:line="255" w:lineRule="auto"/>
        <w:rPr>
          <w:sz w:val="20"/>
          <w:szCs w:val="20"/>
          <w:color w:val="auto"/>
        </w:rPr>
      </w:pPr>
      <w:r>
        <w:rPr>
          <w:rFonts w:ascii="Arial" w:cs="Arial" w:eastAsia="Arial" w:hAnsi="Arial"/>
          <w:sz w:val="18"/>
          <w:szCs w:val="18"/>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and operating statements,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193" w:lineRule="exact"/>
        <w:rPr>
          <w:sz w:val="20"/>
          <w:szCs w:val="20"/>
          <w:color w:val="auto"/>
        </w:rPr>
      </w:pPr>
    </w:p>
    <w:p>
      <w:pPr>
        <w:ind w:left="480" w:right="460"/>
        <w:spacing w:after="0" w:line="302" w:lineRule="auto"/>
        <w:rPr>
          <w:sz w:val="20"/>
          <w:szCs w:val="20"/>
          <w:color w:val="auto"/>
        </w:rPr>
      </w:pPr>
      <w:r>
        <w:rPr>
          <w:rFonts w:ascii="Arial" w:cs="Arial" w:eastAsia="Arial" w:hAnsi="Arial"/>
          <w:sz w:val="16"/>
          <w:szCs w:val="16"/>
          <w:color w:val="auto"/>
        </w:rPr>
        <w:t>Commercial and industrial: Loans in this segment are made to businesses and are generally secured by the assets of the business. Repayment is expected from the cash flows of the business. This segment also includes loans to non-bank lenders, which are generally secured by a collateral assignment of the notes and mortgages on loans originated by the non-bank lenders. Weakness in national or regional economic conditions, and a corresponding weakness in consumer or business spending, will have an adverse effect on the credit quality of this segment.</w:t>
      </w:r>
    </w:p>
    <w:p>
      <w:pPr>
        <w:spacing w:after="0" w:line="154" w:lineRule="exact"/>
        <w:rPr>
          <w:sz w:val="20"/>
          <w:szCs w:val="20"/>
          <w:color w:val="auto"/>
        </w:rPr>
      </w:pPr>
    </w:p>
    <w:p>
      <w:pPr>
        <w:ind w:left="480" w:right="30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ind w:left="480"/>
        <w:spacing w:after="0" w:line="291"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the Bank’s Loan Acquisition and Servicing Group (“LASG”). Loans acquired by the LASG are, with limited exceptions, performing loans at the date of purchase.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67" w:lineRule="exact"/>
        <w:rPr>
          <w:sz w:val="20"/>
          <w:szCs w:val="20"/>
          <w:color w:val="auto"/>
        </w:rPr>
      </w:pPr>
    </w:p>
    <w:p>
      <w:pPr>
        <w:ind w:left="480" w:right="140"/>
        <w:spacing w:after="0" w:line="257" w:lineRule="auto"/>
        <w:rPr>
          <w:sz w:val="20"/>
          <w:szCs w:val="20"/>
          <w:color w:val="auto"/>
        </w:rPr>
      </w:pPr>
      <w:r>
        <w:rPr>
          <w:rFonts w:ascii="Arial" w:cs="Arial" w:eastAsia="Arial" w:hAnsi="Arial"/>
          <w:sz w:val="18"/>
          <w:szCs w:val="18"/>
          <w:color w:val="auto"/>
        </w:rPr>
        <w:t>SBA: Loans in this segment are comprised of both commercial real estate and commercial and industrial loans to small businesses, underwritten and originated by the Bank’s national SBA group (“SBA Division”). Loans are underwritten and originated primarily in accordance with SBA 7(a) guidelines, and are partially guaranteed by the SBA. Loans are primarily secured by income-producing properties and/or assets of the businesses or borrowers. Adverse developments in national or regional economic conditions, and a corresponding weakness in consumer or business spending, will have an adverse effect on the credit quality of this segment.</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general component of the allowance for loan losses for originated loans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Levels and trends in delinquencies;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allocated component of the allowance for loan losses relates to loans that are classified as impaired. Impairment is measured on a loan-by-loan basis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the loan.</w:t>
      </w:r>
    </w:p>
    <w:p>
      <w:pPr>
        <w:spacing w:after="0" w:line="14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expected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collecting the scheduled principal and interest payments when due.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activity in the Company’s allowance for loan losses.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8"/>
                <w:szCs w:val="18"/>
                <w:color w:val="auto"/>
                <w:w w:val="89"/>
              </w:rPr>
              <w:t>Three Months Ended December 31, 2018</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89"/>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200" w:type="dxa"/>
            <w:vAlign w:val="bottom"/>
            <w:gridSpan w:val="3"/>
          </w:tcPr>
          <w:p>
            <w:pPr>
              <w:jc w:val="right"/>
              <w:ind w:right="130"/>
              <w:spacing w:after="0" w:line="195" w:lineRule="exact"/>
              <w:rPr>
                <w:sz w:val="20"/>
                <w:szCs w:val="20"/>
                <w:color w:val="auto"/>
              </w:rPr>
            </w:pPr>
            <w:r>
              <w:rPr>
                <w:rFonts w:ascii="Arial" w:cs="Arial" w:eastAsia="Arial" w:hAnsi="Arial"/>
                <w:sz w:val="18"/>
                <w:szCs w:val="18"/>
                <w:color w:val="auto"/>
                <w:w w:val="99"/>
              </w:rPr>
              <w:t>Commercial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and Industrial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SBA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789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5,288</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Provision (credit)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r>
        <w:trPr>
          <w:trHeight w:val="20"/>
        </w:trPr>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874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5,308</w:t>
            </w:r>
          </w:p>
        </w:tc>
      </w:tr>
      <w:tr>
        <w:trPr>
          <w:trHeight w:val="20"/>
        </w:trPr>
        <w:tc>
          <w:tcPr>
            <w:tcW w:w="2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40"/>
        </w:trPr>
        <w:tc>
          <w:tcPr>
            <w:tcW w:w="2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8"/>
                <w:szCs w:val="18"/>
                <w:color w:val="auto"/>
                <w:w w:val="89"/>
              </w:rPr>
              <w:t>Three Months Ended December 31, 2017</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89"/>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200" w:type="dxa"/>
            <w:vAlign w:val="bottom"/>
            <w:gridSpan w:val="3"/>
          </w:tcPr>
          <w:p>
            <w:pPr>
              <w:jc w:val="right"/>
              <w:ind w:right="130"/>
              <w:spacing w:after="0" w:line="195" w:lineRule="exact"/>
              <w:rPr>
                <w:sz w:val="20"/>
                <w:szCs w:val="20"/>
                <w:color w:val="auto"/>
              </w:rPr>
            </w:pPr>
            <w:r>
              <w:rPr>
                <w:rFonts w:ascii="Arial" w:cs="Arial" w:eastAsia="Arial" w:hAnsi="Arial"/>
                <w:sz w:val="18"/>
                <w:szCs w:val="18"/>
                <w:color w:val="auto"/>
                <w:w w:val="99"/>
              </w:rPr>
              <w:t>Commercial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and Industrial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SBA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596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4,034</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Provision (credit)</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r>
      <w:tr>
        <w:trPr>
          <w:trHeight w:val="20"/>
        </w:trPr>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561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4,355</w:t>
            </w:r>
          </w:p>
        </w:tc>
      </w:tr>
      <w:tr>
        <w:trPr>
          <w:trHeight w:val="20"/>
        </w:trPr>
        <w:tc>
          <w:tcPr>
            <w:tcW w:w="2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2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8"/>
                <w:szCs w:val="18"/>
                <w:color w:val="auto"/>
                <w:w w:val="90"/>
              </w:rPr>
              <w:t>Six Months Ended December 31, 2018</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89"/>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200" w:type="dxa"/>
            <w:vAlign w:val="bottom"/>
            <w:gridSpan w:val="3"/>
          </w:tcPr>
          <w:p>
            <w:pPr>
              <w:jc w:val="right"/>
              <w:ind w:right="130"/>
              <w:spacing w:after="0" w:line="195" w:lineRule="exact"/>
              <w:rPr>
                <w:sz w:val="20"/>
                <w:szCs w:val="20"/>
                <w:color w:val="auto"/>
              </w:rPr>
            </w:pPr>
            <w:r>
              <w:rPr>
                <w:rFonts w:ascii="Arial" w:cs="Arial" w:eastAsia="Arial" w:hAnsi="Arial"/>
                <w:sz w:val="18"/>
                <w:szCs w:val="18"/>
                <w:color w:val="auto"/>
                <w:w w:val="99"/>
              </w:rPr>
              <w:t>Commercial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and Industrial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SBA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620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Provision</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r>
      <w:tr>
        <w:trPr>
          <w:trHeight w:val="20"/>
        </w:trPr>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874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5,308</w:t>
            </w:r>
          </w:p>
        </w:tc>
      </w:tr>
      <w:tr>
        <w:trPr>
          <w:trHeight w:val="20"/>
        </w:trPr>
        <w:tc>
          <w:tcPr>
            <w:tcW w:w="2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40"/>
        </w:trPr>
        <w:tc>
          <w:tcPr>
            <w:tcW w:w="2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8"/>
                <w:szCs w:val="18"/>
                <w:color w:val="auto"/>
                <w:w w:val="90"/>
              </w:rPr>
              <w:t>Six Months Ended December 31, 2017</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89"/>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200" w:type="dxa"/>
            <w:vAlign w:val="bottom"/>
            <w:gridSpan w:val="3"/>
          </w:tcPr>
          <w:p>
            <w:pPr>
              <w:jc w:val="right"/>
              <w:ind w:right="130"/>
              <w:spacing w:after="0" w:line="195" w:lineRule="exact"/>
              <w:rPr>
                <w:sz w:val="20"/>
                <w:szCs w:val="20"/>
                <w:color w:val="auto"/>
              </w:rPr>
            </w:pPr>
            <w:r>
              <w:rPr>
                <w:rFonts w:ascii="Arial" w:cs="Arial" w:eastAsia="Arial" w:hAnsi="Arial"/>
                <w:sz w:val="18"/>
                <w:szCs w:val="18"/>
                <w:color w:val="auto"/>
                <w:w w:val="99"/>
              </w:rPr>
              <w:t>Commercial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and Industrial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SBA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394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3,665</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Provision</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r>
      <w:tr>
        <w:trPr>
          <w:trHeight w:val="20"/>
        </w:trPr>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561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4,355</w:t>
            </w:r>
          </w:p>
        </w:tc>
      </w:tr>
      <w:tr>
        <w:trPr>
          <w:trHeight w:val="20"/>
        </w:trPr>
        <w:tc>
          <w:tcPr>
            <w:tcW w:w="2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865"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865" w:gutter="0" w:footer="0" w:header="0"/>
          <w:type w:val="continuous"/>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December 31, 2018</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89"/>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14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and Industrial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SBA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ASC 310-30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874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4,856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3,434</w:t>
            </w: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3,642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256,017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202,110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ASC 310-30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330,643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330,643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75,972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259,451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202,150</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330,643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67,282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color w:val="auto"/>
                <w:w w:val="92"/>
              </w:rPr>
              <w:t>June 30, 2018</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89"/>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14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and Industrial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SBA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ASC 310-30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5,682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2,687</w:t>
            </w: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3,170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80,520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246,741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ASC 310-30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290,972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290,972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86,202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249,428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181,800</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290,972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60,156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December 31, 2018</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7"/>
              </w:rPr>
              <w:t>June 30, 2018</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1"/>
              </w:rPr>
              <w:t>Unpaid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94"/>
              </w:rPr>
              <w:t>Unpaid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w w:val="99"/>
              </w:rPr>
              <w:t>Recorded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Principal</w:t>
            </w:r>
          </w:p>
        </w:tc>
        <w:tc>
          <w:tcPr>
            <w:tcW w:w="16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Related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Recorded</w:t>
            </w: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w:t>
            </w:r>
          </w:p>
        </w:tc>
        <w:tc>
          <w:tcPr>
            <w:tcW w:w="16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Related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Investment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Balance</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Allowance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Investment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Allowance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8"/>
                <w:szCs w:val="18"/>
                <w:color w:val="auto"/>
              </w:rPr>
              <w:t>(Dollars in thousands)</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1,445</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1,438</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SBA</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Purchased: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6,601</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9,330</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14,386</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17,218</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Impaired loans with a valuation allowance: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Originated:</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2,520</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2,497</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SBA</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573</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573</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4,748</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9,486</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Total impaired loans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22,976</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25,790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23,872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27,346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77"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77"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gridSpan w:val="8"/>
          </w:tcPr>
          <w:p>
            <w:pPr>
              <w:spacing w:after="0"/>
              <w:rPr>
                <w:sz w:val="20"/>
                <w:szCs w:val="20"/>
                <w:color w:val="auto"/>
              </w:rPr>
            </w:pPr>
            <w:r>
              <w:rPr>
                <w:rFonts w:ascii="Arial" w:cs="Arial" w:eastAsia="Arial" w:hAnsi="Arial"/>
                <w:sz w:val="18"/>
                <w:szCs w:val="18"/>
                <w:color w:val="auto"/>
              </w:rPr>
              <w:t>The following tables set forth information regarding interest income recognized on impaired loans.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color w:val="auto"/>
                <w:w w:val="90"/>
              </w:rPr>
              <w:t>Three Months Ended December 31,</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1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spacing w:after="0" w:line="195" w:lineRule="exact"/>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6"/>
                <w:szCs w:val="16"/>
                <w:color w:val="auto"/>
              </w:rPr>
            </w:pPr>
          </w:p>
        </w:tc>
        <w:tc>
          <w:tcPr>
            <w:tcW w:w="106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Recorded</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Recognized</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5"/>
          </w:tcPr>
          <w:p>
            <w:pPr>
              <w:jc w:val="center"/>
              <w:ind w:right="280"/>
              <w:spacing w:after="0"/>
              <w:rPr>
                <w:sz w:val="20"/>
                <w:szCs w:val="20"/>
                <w:color w:val="auto"/>
              </w:rPr>
            </w:pPr>
            <w:r>
              <w:rPr>
                <w:rFonts w:ascii="Arial" w:cs="Arial" w:eastAsia="Arial" w:hAnsi="Arial"/>
                <w:sz w:val="18"/>
                <w:szCs w:val="18"/>
                <w:color w:val="auto"/>
                <w:w w:val="91"/>
              </w:rPr>
              <w:t>(Dollars in thousands)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2,454</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SBA</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Purchased: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9,814</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13,593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18,931</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Impaired loans with a valuation allowance: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Originated:</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1,904</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SBA</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806</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Total impaired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23,034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27,524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color w:val="auto"/>
                <w:w w:val="90"/>
              </w:rPr>
              <w:t>Six Months Ended December 31,</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1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spacing w:after="0" w:line="195" w:lineRule="exact"/>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6"/>
                <w:szCs w:val="16"/>
                <w:color w:val="auto"/>
              </w:rPr>
            </w:pPr>
          </w:p>
        </w:tc>
        <w:tc>
          <w:tcPr>
            <w:tcW w:w="106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Recorded</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Recognized</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5"/>
          </w:tcPr>
          <w:p>
            <w:pPr>
              <w:jc w:val="center"/>
              <w:ind w:right="280"/>
              <w:spacing w:after="0"/>
              <w:rPr>
                <w:sz w:val="20"/>
                <w:szCs w:val="20"/>
                <w:color w:val="auto"/>
              </w:rPr>
            </w:pPr>
            <w:r>
              <w:rPr>
                <w:rFonts w:ascii="Arial" w:cs="Arial" w:eastAsia="Arial" w:hAnsi="Arial"/>
                <w:sz w:val="18"/>
                <w:szCs w:val="18"/>
                <w:color w:val="auto"/>
                <w:w w:val="91"/>
              </w:rPr>
              <w:t>(Dollars in thousands)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1,756</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SBA</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Purchased: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6,479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9,441</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18,058</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Impaired loans with a valuation allowance: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Originated:</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1,811</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SBA</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811</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Arial" w:cs="Arial" w:eastAsia="Arial" w:hAnsi="Arial"/>
                <w:sz w:val="18"/>
                <w:szCs w:val="18"/>
                <w:color w:val="auto"/>
              </w:rPr>
              <w:t>Total impaired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23,310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26,291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240" w:top="118" w:right="819" w:bottom="325" w:gutter="0" w:footer="0" w:header="0"/>
        </w:sectPr>
      </w:pPr>
    </w:p>
    <w:p>
      <w:pPr>
        <w:spacing w:after="0" w:line="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240" w:top="118" w:right="819" w:bottom="325" w:gutter="0" w:footer="0" w:header="0"/>
          <w:type w:val="continuous"/>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utilizes a ten-point internal loan rating system for commercial real estate, construction, commercial and industrial, and certain residential loans as follows: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Loans rated 1 – 6: Loans in these categories are considered “pass” rated loans. Loans in categories 1-5 are considered to have low to average risk. Loans rated 6 are considered marginally acceptable business credits and have more than average risk.</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well-defined weakness or weaknesses that jeopardize the orderly repayment of the debt.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an annual basis, or more often if needed, the Company formally reviews the ratings of all loans subject to risk ratings. 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loans by risk rating.</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color w:val="auto"/>
              </w:rPr>
              <w:t>December 31, 2018</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8"/>
                <w:szCs w:val="18"/>
                <w:color w:val="auto"/>
              </w:rPr>
              <w:t>Originated Portfolio</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Commercial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86"/>
              </w:rPr>
              <w:t>Residential</w:t>
            </w:r>
            <w:r>
              <w:rPr>
                <w:rFonts w:ascii="Arial" w:cs="Arial" w:eastAsia="Arial" w:hAnsi="Arial"/>
                <w:sz w:val="30"/>
                <w:szCs w:val="30"/>
                <w:color w:val="auto"/>
                <w:w w:val="86"/>
                <w:vertAlign w:val="superscript"/>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color w:val="auto"/>
                <w:w w:val="88"/>
              </w:rPr>
              <w:t>Real Estate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and Industrial</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SBA</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Portfolio</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 in</w:t>
            </w:r>
          </w:p>
        </w:tc>
        <w:tc>
          <w:tcPr>
            <w:tcW w:w="220" w:type="dxa"/>
            <w:vAlign w:val="bottom"/>
            <w:gridSpan w:val="2"/>
          </w:tcPr>
          <w:p>
            <w:pPr>
              <w:spacing w:after="0"/>
              <w:rPr>
                <w:sz w:val="18"/>
                <w:szCs w:val="18"/>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201,858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60,248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318,693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850,922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Loans rated 7</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6,467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13,181</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Loans rated 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259,451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202,150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67,282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15,488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330,643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875,014</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8"/>
                <w:szCs w:val="18"/>
                <w:color w:val="auto"/>
              </w:rPr>
              <w:t>June 30, 2018</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8"/>
                <w:szCs w:val="18"/>
                <w:color w:val="auto"/>
              </w:rPr>
              <w:t>Originated Portfolio</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1"/>
              </w:rPr>
              <w:t>Commercial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Commercial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86"/>
              </w:rPr>
              <w:t>Residential</w:t>
            </w:r>
            <w:r>
              <w:rPr>
                <w:rFonts w:ascii="Arial" w:cs="Arial" w:eastAsia="Arial" w:hAnsi="Arial"/>
                <w:sz w:val="30"/>
                <w:szCs w:val="30"/>
                <w:color w:val="auto"/>
                <w:w w:val="86"/>
                <w:vertAlign w:val="superscript"/>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color w:val="auto"/>
                <w:w w:val="88"/>
              </w:rPr>
              <w:t>Real Estate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and Industrial</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SBA</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Portfolio</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 in</w:t>
            </w:r>
          </w:p>
        </w:tc>
        <w:tc>
          <w:tcPr>
            <w:tcW w:w="220" w:type="dxa"/>
            <w:vAlign w:val="bottom"/>
            <w:gridSpan w:val="2"/>
          </w:tcPr>
          <w:p>
            <w:pPr>
              <w:spacing w:after="0"/>
              <w:rPr>
                <w:sz w:val="18"/>
                <w:szCs w:val="18"/>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181,515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54,730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279,111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774,866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Loans rated 7</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3,882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5,899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11,702</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Loans rated 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249,428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181,800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60,156</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14,326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290,972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796,682</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right="24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of the Company’s loans made for commercial purposes, but secured by residential collateral, are rated under the Company’s risk-rating system.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Debt Restructurings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3500" w:type="dxa"/>
            <w:vAlign w:val="bottom"/>
            <w:tcBorders>
              <w:bottom w:val="single" w:sz="8" w:color="auto"/>
            </w:tcBorders>
            <w:gridSpan w:val="8"/>
          </w:tcPr>
          <w:p>
            <w:pPr>
              <w:ind w:left="920"/>
              <w:spacing w:after="0"/>
              <w:rPr>
                <w:sz w:val="20"/>
                <w:szCs w:val="20"/>
                <w:color w:val="auto"/>
              </w:rPr>
            </w:pPr>
            <w:r>
              <w:rPr>
                <w:rFonts w:ascii="Arial" w:cs="Arial" w:eastAsia="Arial" w:hAnsi="Arial"/>
                <w:sz w:val="18"/>
                <w:szCs w:val="18"/>
                <w:color w:val="auto"/>
                <w:w w:val="89"/>
              </w:rPr>
              <w:t>Three Months Ended December 31,</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color w:val="auto"/>
                <w:w w:val="90"/>
              </w:rPr>
              <w:t>Six Months Ended December 31,</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420" w:type="dxa"/>
            <w:vAlign w:val="bottom"/>
          </w:tcPr>
          <w:p>
            <w:pPr>
              <w:spacing w:after="0"/>
              <w:rPr>
                <w:sz w:val="18"/>
                <w:szCs w:val="18"/>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2018</w:t>
            </w: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color w:val="auto"/>
                <w:w w:val="94"/>
              </w:rPr>
              <w:t>2017</w:t>
            </w: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color w:val="auto"/>
                <w:w w:val="89"/>
              </w:rPr>
              <w:t>2017</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2420" w:type="dxa"/>
            <w:vAlign w:val="bottom"/>
          </w:tcPr>
          <w:p>
            <w:pPr>
              <w:spacing w:after="0"/>
              <w:rPr>
                <w:sz w:val="16"/>
                <w:szCs w:val="16"/>
                <w:color w:val="auto"/>
              </w:rPr>
            </w:pPr>
          </w:p>
        </w:tc>
        <w:tc>
          <w:tcPr>
            <w:tcW w:w="106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30"/>
              <w:spacing w:after="0" w:line="195" w:lineRule="exact"/>
              <w:rPr>
                <w:sz w:val="20"/>
                <w:szCs w:val="20"/>
                <w:color w:val="auto"/>
              </w:rPr>
            </w:pPr>
            <w:r>
              <w:rPr>
                <w:rFonts w:ascii="Arial" w:cs="Arial" w:eastAsia="Arial" w:hAnsi="Arial"/>
                <w:sz w:val="18"/>
                <w:szCs w:val="18"/>
                <w:color w:val="auto"/>
                <w:w w:val="89"/>
              </w:rPr>
              <w:t>Recorded</w:t>
            </w:r>
          </w:p>
        </w:tc>
        <w:tc>
          <w:tcPr>
            <w:tcW w:w="240" w:type="dxa"/>
            <w:vAlign w:val="bottom"/>
          </w:tcPr>
          <w:p>
            <w:pPr>
              <w:spacing w:after="0"/>
              <w:rPr>
                <w:sz w:val="16"/>
                <w:szCs w:val="16"/>
                <w:color w:val="auto"/>
              </w:rPr>
            </w:pPr>
          </w:p>
        </w:tc>
        <w:tc>
          <w:tcPr>
            <w:tcW w:w="114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6"/>
                <w:szCs w:val="16"/>
                <w:color w:val="auto"/>
              </w:rPr>
            </w:pP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w w:val="92"/>
              </w:rPr>
              <w:t>Number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6"/>
                <w:szCs w:val="16"/>
                <w:color w:val="auto"/>
              </w:rPr>
            </w:pPr>
          </w:p>
        </w:tc>
        <w:tc>
          <w:tcPr>
            <w:tcW w:w="112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6"/>
                <w:szCs w:val="16"/>
                <w:color w:val="auto"/>
              </w:rPr>
            </w:pPr>
          </w:p>
        </w:tc>
        <w:tc>
          <w:tcPr>
            <w:tcW w:w="8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r>
      <w:tr>
        <w:trPr>
          <w:trHeight w:val="230"/>
        </w:trPr>
        <w:tc>
          <w:tcPr>
            <w:tcW w:w="242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Contracts</w:t>
            </w:r>
          </w:p>
        </w:tc>
        <w:tc>
          <w:tcPr>
            <w:tcW w:w="120" w:type="dxa"/>
            <w:vAlign w:val="bottom"/>
          </w:tcPr>
          <w:p>
            <w:pPr>
              <w:spacing w:after="0"/>
              <w:rPr>
                <w:sz w:val="20"/>
                <w:szCs w:val="20"/>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color w:val="auto"/>
              </w:rPr>
              <w:t>Investment</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Contracts</w:t>
            </w: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Investment</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Contracts</w:t>
            </w:r>
          </w:p>
        </w:tc>
        <w:tc>
          <w:tcPr>
            <w:tcW w:w="22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Arial" w:cs="Arial" w:eastAsia="Arial" w:hAnsi="Arial"/>
                <w:sz w:val="18"/>
                <w:szCs w:val="18"/>
                <w:color w:val="auto"/>
              </w:rPr>
              <w:t>Investment</w:t>
            </w: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Contracts</w:t>
            </w:r>
          </w:p>
        </w:tc>
        <w:tc>
          <w:tcPr>
            <w:tcW w:w="1020" w:type="dxa"/>
            <w:vAlign w:val="bottom"/>
            <w:gridSpan w:val="3"/>
          </w:tcPr>
          <w:p>
            <w:pPr>
              <w:ind w:left="60"/>
              <w:spacing w:after="0"/>
              <w:rPr>
                <w:sz w:val="20"/>
                <w:szCs w:val="20"/>
                <w:color w:val="auto"/>
              </w:rPr>
            </w:pPr>
            <w:r>
              <w:rPr>
                <w:rFonts w:ascii="Arial" w:cs="Arial" w:eastAsia="Arial" w:hAnsi="Arial"/>
                <w:sz w:val="18"/>
                <w:szCs w:val="18"/>
                <w:color w:val="auto"/>
              </w:rPr>
              <w:t>Investment</w:t>
            </w:r>
          </w:p>
        </w:tc>
      </w:tr>
      <w:tr>
        <w:trPr>
          <w:trHeight w:val="210"/>
        </w:trPr>
        <w:tc>
          <w:tcPr>
            <w:tcW w:w="24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(Dollars in</w:t>
            </w: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thousands)</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920" w:type="dxa"/>
            <w:vAlign w:val="bottom"/>
            <w:shd w:val="clear" w:color="auto" w:fill="CCEEFF"/>
          </w:tcPr>
          <w:p>
            <w:pPr>
              <w:ind w:left="86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Adjusted interest rate</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Principal deferment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283</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r>
      <w:tr>
        <w:trPr>
          <w:trHeight w:val="20"/>
        </w:trPr>
        <w:tc>
          <w:tcPr>
            <w:tcW w:w="2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3,234</w:t>
            </w: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loans modified in a TDR and the change in the recorded investment subsequent to the modifications occurring.</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Three Months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9"/>
              </w:rPr>
              <w:t>Recorded</w:t>
            </w:r>
          </w:p>
        </w:tc>
        <w:tc>
          <w:tcPr>
            <w:tcW w:w="140" w:type="dxa"/>
            <w:vAlign w:val="bottom"/>
          </w:tcPr>
          <w:p>
            <w:pPr>
              <w:spacing w:after="0"/>
              <w:rPr>
                <w:sz w:val="16"/>
                <w:szCs w:val="16"/>
                <w:color w:val="auto"/>
              </w:rPr>
            </w:pPr>
          </w:p>
        </w:tc>
        <w:tc>
          <w:tcPr>
            <w:tcW w:w="116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Investment</w:t>
            </w:r>
          </w:p>
        </w:tc>
        <w:tc>
          <w:tcPr>
            <w:tcW w:w="1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Investment</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Pre-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Contracts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97"/>
              </w:rPr>
              <w:t>Modification</w:t>
            </w:r>
          </w:p>
        </w:tc>
        <w:tc>
          <w:tcPr>
            <w:tcW w:w="22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Arial" w:cs="Arial" w:eastAsia="Arial" w:hAnsi="Arial"/>
                <w:sz w:val="18"/>
                <w:szCs w:val="18"/>
                <w:color w:val="auto"/>
              </w:rPr>
              <w:t>Post-Modification</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Contracts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Modification</w:t>
            </w:r>
          </w:p>
        </w:tc>
        <w:tc>
          <w:tcPr>
            <w:tcW w:w="1520" w:type="dxa"/>
            <w:vAlign w:val="bottom"/>
            <w:gridSpan w:val="4"/>
          </w:tcPr>
          <w:p>
            <w:pPr>
              <w:ind w:left="120"/>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10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0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ind w:left="32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color w:val="auto"/>
                <w:w w:val="90"/>
              </w:rPr>
              <w:t>Six Months Ended December 31,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9"/>
              </w:rPr>
              <w:t>Recorded</w:t>
            </w:r>
          </w:p>
        </w:tc>
        <w:tc>
          <w:tcPr>
            <w:tcW w:w="140" w:type="dxa"/>
            <w:vAlign w:val="bottom"/>
          </w:tcPr>
          <w:p>
            <w:pPr>
              <w:spacing w:after="0"/>
              <w:rPr>
                <w:sz w:val="16"/>
                <w:szCs w:val="16"/>
                <w:color w:val="auto"/>
              </w:rPr>
            </w:pPr>
          </w:p>
        </w:tc>
        <w:tc>
          <w:tcPr>
            <w:tcW w:w="116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Investment</w:t>
            </w:r>
          </w:p>
        </w:tc>
        <w:tc>
          <w:tcPr>
            <w:tcW w:w="1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Investment</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Pre-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20" w:type="dxa"/>
            <w:vAlign w:val="bottom"/>
          </w:tcPr>
          <w:p>
            <w:pPr>
              <w:jc w:val="center"/>
              <w:ind w:left="70"/>
              <w:spacing w:after="0"/>
              <w:rPr>
                <w:sz w:val="20"/>
                <w:szCs w:val="20"/>
                <w:color w:val="auto"/>
              </w:rPr>
            </w:pPr>
            <w:r>
              <w:rPr>
                <w:rFonts w:ascii="Arial" w:cs="Arial" w:eastAsia="Arial" w:hAnsi="Arial"/>
                <w:sz w:val="18"/>
                <w:szCs w:val="18"/>
                <w:color w:val="auto"/>
                <w:w w:val="90"/>
              </w:rPr>
              <w:t>Contracts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97"/>
              </w:rPr>
              <w:t>Modification</w:t>
            </w:r>
          </w:p>
        </w:tc>
        <w:tc>
          <w:tcPr>
            <w:tcW w:w="22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Arial" w:cs="Arial" w:eastAsia="Arial" w:hAnsi="Arial"/>
                <w:sz w:val="18"/>
                <w:szCs w:val="18"/>
                <w:color w:val="auto"/>
              </w:rPr>
              <w:t>Post-Modification</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Contracts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Modification</w:t>
            </w:r>
          </w:p>
        </w:tc>
        <w:tc>
          <w:tcPr>
            <w:tcW w:w="1520" w:type="dxa"/>
            <w:vAlign w:val="bottom"/>
            <w:gridSpan w:val="4"/>
          </w:tcPr>
          <w:p>
            <w:pPr>
              <w:ind w:left="120"/>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10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0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ind w:left="32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3,172</w:t>
            </w:r>
          </w:p>
        </w:tc>
        <w:tc>
          <w:tcPr>
            <w:tcW w:w="10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considers TDRs past due 90 days or more to be in payment default. Two loans modified in a TDR in the last twelve months totaling $1.5 million defaulted during both the three and six months ended December 31, 2018. As of December 31, 2018, there were no further commitments to lend to borrowers associated with loans modified in a TDR.</w:t>
      </w:r>
    </w:p>
    <w:p>
      <w:pPr>
        <w:sectPr>
          <w:pgSz w:w="11900" w:h="16838" w:orient="portrait"/>
          <w:cols w:equalWidth="0" w:num="1">
            <w:col w:w="11420"/>
          </w:cols>
          <w:pgMar w:left="240" w:top="118"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 xml:space="preserve">ASC </w:t>
      </w:r>
      <w:r>
        <w:rPr>
          <w:rFonts w:ascii="Arial" w:cs="Arial" w:eastAsia="Arial" w:hAnsi="Arial"/>
          <w:sz w:val="18"/>
          <w:szCs w:val="18"/>
          <w:u w:val="single" w:color="auto"/>
          <w:color w:val="auto"/>
        </w:rPr>
        <w:t>310</w:t>
      </w:r>
      <w:r>
        <w:rPr>
          <w:rFonts w:ascii="Arial" w:cs="Arial" w:eastAsia="Arial" w:hAnsi="Arial"/>
          <w:sz w:val="18"/>
          <w:szCs w:val="18"/>
          <w:i w:val="1"/>
          <w:iCs w:val="1"/>
          <w:u w:val="single" w:color="auto"/>
          <w:color w:val="auto"/>
        </w:rPr>
        <w:t>-</w:t>
      </w:r>
      <w:r>
        <w:rPr>
          <w:rFonts w:ascii="Arial" w:cs="Arial" w:eastAsia="Arial" w:hAnsi="Arial"/>
          <w:sz w:val="18"/>
          <w:szCs w:val="18"/>
          <w:u w:val="single" w:color="auto"/>
          <w:color w:val="auto"/>
        </w:rPr>
        <w:t>30</w:t>
      </w:r>
      <w:r>
        <w:rPr>
          <w:rFonts w:ascii="Arial" w:cs="Arial" w:eastAsia="Arial" w:hAnsi="Arial"/>
          <w:sz w:val="18"/>
          <w:szCs w:val="18"/>
          <w:i w:val="1"/>
          <w:iCs w:val="1"/>
          <w:u w:val="single" w:color="auto"/>
          <w:color w:val="auto"/>
        </w:rPr>
        <w:t xml:space="preserve"> Loans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summary of loans accounted for under ASC 310-30 that were acquired by the Company during the period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720" w:type="dxa"/>
            <w:vAlign w:val="bottom"/>
            <w:gridSpan w:val="3"/>
          </w:tcPr>
          <w:p>
            <w:pPr>
              <w:ind w:left="20"/>
              <w:spacing w:after="0"/>
              <w:rPr>
                <w:sz w:val="20"/>
                <w:szCs w:val="20"/>
                <w:color w:val="auto"/>
              </w:rPr>
            </w:pPr>
            <w:r>
              <w:rPr>
                <w:rFonts w:ascii="Arial" w:cs="Arial" w:eastAsia="Arial" w:hAnsi="Arial"/>
                <w:sz w:val="18"/>
                <w:szCs w:val="18"/>
                <w:color w:val="auto"/>
                <w:w w:val="98"/>
              </w:rPr>
              <w:t>Three Months Ended</w:t>
            </w:r>
          </w:p>
        </w:tc>
        <w:tc>
          <w:tcPr>
            <w:tcW w:w="1640" w:type="dxa"/>
            <w:vAlign w:val="bottom"/>
            <w:gridSpan w:val="3"/>
          </w:tcPr>
          <w:p>
            <w:pPr>
              <w:ind w:left="20"/>
              <w:spacing w:after="0"/>
              <w:rPr>
                <w:sz w:val="20"/>
                <w:szCs w:val="20"/>
                <w:color w:val="auto"/>
              </w:rPr>
            </w:pPr>
            <w:r>
              <w:rPr>
                <w:rFonts w:ascii="Arial" w:cs="Arial" w:eastAsia="Arial" w:hAnsi="Arial"/>
                <w:sz w:val="18"/>
                <w:szCs w:val="18"/>
                <w:color w:val="auto"/>
                <w:w w:val="95"/>
              </w:rPr>
              <w:t>Three Months Ended</w:t>
            </w:r>
          </w:p>
        </w:tc>
      </w:tr>
      <w:tr>
        <w:trPr>
          <w:trHeight w:val="230"/>
        </w:trPr>
        <w:tc>
          <w:tcPr>
            <w:tcW w:w="578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December 31, 2018</w:t>
            </w:r>
          </w:p>
        </w:tc>
        <w:tc>
          <w:tcPr>
            <w:tcW w:w="16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December 31, 2017</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3"/>
          </w:tcPr>
          <w:p>
            <w:pPr>
              <w:ind w:left="740"/>
              <w:spacing w:after="0"/>
              <w:rPr>
                <w:sz w:val="20"/>
                <w:szCs w:val="20"/>
                <w:color w:val="auto"/>
              </w:rPr>
            </w:pPr>
            <w:r>
              <w:rPr>
                <w:rFonts w:ascii="Arial" w:cs="Arial" w:eastAsia="Arial" w:hAnsi="Arial"/>
                <w:sz w:val="18"/>
                <w:szCs w:val="18"/>
                <w:color w:val="auto"/>
                <w:w w:val="98"/>
              </w:rPr>
              <w:t>(Dollars in thousands)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60,028</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49,408</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1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c>
          <w:tcPr>
            <w:tcW w:w="8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(1,667)</w:t>
            </w:r>
          </w:p>
        </w:tc>
      </w:tr>
      <w:tr>
        <w:trPr>
          <w:trHeight w:val="20"/>
        </w:trPr>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10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59,153</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47,741</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Accretable yield</w:t>
            </w:r>
          </w:p>
        </w:tc>
        <w:tc>
          <w:tcPr>
            <w:tcW w:w="1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(9,819)</w:t>
            </w:r>
          </w:p>
        </w:tc>
        <w:tc>
          <w:tcPr>
            <w:tcW w:w="8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(12,939)</w:t>
            </w:r>
          </w:p>
        </w:tc>
      </w:tr>
      <w:tr>
        <w:trPr>
          <w:trHeight w:val="20"/>
        </w:trPr>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49,334</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34,802</w:t>
            </w:r>
          </w:p>
        </w:tc>
      </w:tr>
      <w:tr>
        <w:trPr>
          <w:trHeight w:val="398"/>
        </w:trPr>
        <w:tc>
          <w:tcPr>
            <w:tcW w:w="57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1"/>
              </w:rPr>
              <w:t>Six Months Ended</w:t>
            </w:r>
          </w:p>
        </w:tc>
        <w:tc>
          <w:tcPr>
            <w:tcW w:w="160" w:type="dxa"/>
            <w:vAlign w:val="bottom"/>
            <w:tcBorders>
              <w:top w:val="single" w:sz="8" w:color="CCEEFF"/>
            </w:tcBorders>
          </w:tcPr>
          <w:p>
            <w:pPr>
              <w:spacing w:after="0"/>
              <w:rPr>
                <w:sz w:val="24"/>
                <w:szCs w:val="24"/>
                <w:color w:val="auto"/>
              </w:rPr>
            </w:pPr>
          </w:p>
        </w:tc>
        <w:tc>
          <w:tcPr>
            <w:tcW w:w="15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Six Months Ended</w:t>
            </w:r>
          </w:p>
        </w:tc>
        <w:tc>
          <w:tcPr>
            <w:tcW w:w="80" w:type="dxa"/>
            <w:vAlign w:val="bottom"/>
            <w:tcBorders>
              <w:top w:val="single" w:sz="8" w:color="CCEEFF"/>
            </w:tcBorders>
          </w:tcPr>
          <w:p>
            <w:pPr>
              <w:spacing w:after="0"/>
              <w:rPr>
                <w:sz w:val="24"/>
                <w:szCs w:val="24"/>
                <w:color w:val="auto"/>
              </w:rPr>
            </w:pPr>
          </w:p>
        </w:tc>
      </w:tr>
      <w:tr>
        <w:trPr>
          <w:trHeight w:val="230"/>
        </w:trPr>
        <w:tc>
          <w:tcPr>
            <w:tcW w:w="578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December 31, 2018</w:t>
            </w:r>
          </w:p>
        </w:tc>
        <w:tc>
          <w:tcPr>
            <w:tcW w:w="16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December 31, 2017</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3"/>
          </w:tcPr>
          <w:p>
            <w:pPr>
              <w:ind w:left="740"/>
              <w:spacing w:after="0"/>
              <w:rPr>
                <w:sz w:val="20"/>
                <w:szCs w:val="20"/>
                <w:color w:val="auto"/>
              </w:rPr>
            </w:pPr>
            <w:r>
              <w:rPr>
                <w:rFonts w:ascii="Arial" w:cs="Arial" w:eastAsia="Arial" w:hAnsi="Arial"/>
                <w:sz w:val="18"/>
                <w:szCs w:val="18"/>
                <w:color w:val="auto"/>
                <w:w w:val="98"/>
              </w:rPr>
              <w:t>(Dollars in thousands)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121,568</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55,320</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1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(1,049)</w:t>
            </w:r>
          </w:p>
        </w:tc>
        <w:tc>
          <w:tcPr>
            <w:tcW w:w="8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(1,824)</w:t>
            </w:r>
          </w:p>
        </w:tc>
      </w:tr>
      <w:tr>
        <w:trPr>
          <w:trHeight w:val="20"/>
        </w:trPr>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10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120,519</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53,496</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Accretable yield</w:t>
            </w:r>
          </w:p>
        </w:tc>
        <w:tc>
          <w:tcPr>
            <w:tcW w:w="1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(36,382)</w:t>
            </w:r>
          </w:p>
        </w:tc>
        <w:tc>
          <w:tcPr>
            <w:tcW w:w="8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(15,043)</w:t>
            </w:r>
          </w:p>
        </w:tc>
      </w:tr>
      <w:tr>
        <w:trPr>
          <w:trHeight w:val="20"/>
        </w:trPr>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84,137</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38,453</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Certain loans accounted for under ASC 310-30 that were acquired by the Company are not accounted for using the income recognition model because the Company cannot reasonably estimate cash flows expected to be collected. These loans when acquired are placed on nonaccrual. The carrying amounts of such loans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As of and for the</w:t>
            </w:r>
          </w:p>
        </w:tc>
        <w:tc>
          <w:tcPr>
            <w:tcW w:w="100" w:type="dxa"/>
            <w:vAlign w:val="bottom"/>
          </w:tcPr>
          <w:p>
            <w:pPr>
              <w:spacing w:after="0"/>
              <w:rPr>
                <w:sz w:val="18"/>
                <w:szCs w:val="18"/>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As of and for the Six</w:t>
            </w:r>
          </w:p>
        </w:tc>
      </w:tr>
      <w:tr>
        <w:trPr>
          <w:trHeight w:val="216"/>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Months 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December 31, 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December 31, 2018</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4"/>
          </w:tcPr>
          <w:p>
            <w:pPr>
              <w:jc w:val="right"/>
              <w:ind w:right="690"/>
              <w:spacing w:after="0"/>
              <w:rPr>
                <w:sz w:val="20"/>
                <w:szCs w:val="20"/>
                <w:color w:val="auto"/>
              </w:rPr>
            </w:pPr>
            <w:r>
              <w:rPr>
                <w:rFonts w:ascii="Arial" w:cs="Arial" w:eastAsia="Arial" w:hAnsi="Arial"/>
                <w:sz w:val="18"/>
                <w:szCs w:val="18"/>
                <w:color w:val="auto"/>
              </w:rPr>
              <w:t>(Dollars in thousands)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Loans acquired during the period</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2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Loans at end of period</w:t>
            </w: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4,908</w:t>
            </w:r>
          </w:p>
        </w:tc>
        <w:tc>
          <w:tcPr>
            <w:tcW w:w="1720" w:type="dxa"/>
            <w:vAlign w:val="bottom"/>
            <w:gridSpan w:val="4"/>
          </w:tcPr>
          <w:p>
            <w:pPr>
              <w:jc w:val="right"/>
              <w:ind w:right="80"/>
              <w:spacing w:after="0"/>
              <w:rPr>
                <w:sz w:val="20"/>
                <w:szCs w:val="20"/>
                <w:color w:val="auto"/>
              </w:rPr>
            </w:pPr>
            <w:r>
              <w:rPr>
                <w:rFonts w:ascii="Arial" w:cs="Arial" w:eastAsia="Arial" w:hAnsi="Arial"/>
                <w:sz w:val="18"/>
                <w:szCs w:val="18"/>
                <w:color w:val="auto"/>
              </w:rPr>
              <w:t>4,908</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in the accretable yield for loans accounted for under ASC 310-30.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color w:val="auto"/>
                <w:w w:val="97"/>
              </w:rPr>
              <w:t>Three Months Ended</w:t>
            </w:r>
          </w:p>
        </w:tc>
        <w:tc>
          <w:tcPr>
            <w:tcW w:w="4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color w:val="auto"/>
                <w:w w:val="95"/>
              </w:rPr>
              <w:t>Three Months Ended</w:t>
            </w:r>
          </w:p>
        </w:tc>
      </w:tr>
      <w:tr>
        <w:trPr>
          <w:trHeight w:val="230"/>
        </w:trPr>
        <w:tc>
          <w:tcPr>
            <w:tcW w:w="578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December 31, 2018</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December 31, 2017</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4"/>
          </w:tcPr>
          <w:p>
            <w:pPr>
              <w:ind w:left="740"/>
              <w:spacing w:after="0"/>
              <w:rPr>
                <w:sz w:val="20"/>
                <w:szCs w:val="20"/>
                <w:color w:val="auto"/>
              </w:rPr>
            </w:pPr>
            <w:r>
              <w:rPr>
                <w:rFonts w:ascii="Arial" w:cs="Arial" w:eastAsia="Arial" w:hAnsi="Arial"/>
                <w:sz w:val="18"/>
                <w:szCs w:val="18"/>
                <w:color w:val="auto"/>
                <w:w w:val="97"/>
              </w:rPr>
              <w:t>(Dollars in thousands)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152,794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122,923</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12,939</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(5,648)</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(4,244)</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Reclassifications from non-accretable difference to accretable yield</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1,095</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(4,540)</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(7,810)</w:t>
            </w:r>
          </w:p>
        </w:tc>
      </w:tr>
      <w:tr>
        <w:trPr>
          <w:trHeight w:val="210"/>
        </w:trPr>
        <w:tc>
          <w:tcPr>
            <w:tcW w:w="5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152,835</w:t>
            </w: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124,903</w:t>
            </w:r>
          </w:p>
        </w:tc>
        <w:tc>
          <w:tcPr>
            <w:tcW w:w="80" w:type="dxa"/>
            <w:vAlign w:val="bottom"/>
            <w:tcBorders>
              <w:top w:val="single" w:sz="8" w:color="CCEEFF"/>
            </w:tcBorders>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8"/>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Six Months Ended</w:t>
            </w:r>
          </w:p>
        </w:tc>
        <w:tc>
          <w:tcPr>
            <w:tcW w:w="40" w:type="dxa"/>
            <w:vAlign w:val="bottom"/>
          </w:tcPr>
          <w:p>
            <w:pPr>
              <w:spacing w:after="0"/>
              <w:rPr>
                <w:sz w:val="24"/>
                <w:szCs w:val="24"/>
                <w:color w:val="auto"/>
              </w:rPr>
            </w:pPr>
          </w:p>
        </w:tc>
        <w:tc>
          <w:tcPr>
            <w:tcW w:w="164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Six Months Ended</w:t>
            </w:r>
          </w:p>
        </w:tc>
      </w:tr>
      <w:tr>
        <w:trPr>
          <w:trHeight w:val="230"/>
        </w:trPr>
        <w:tc>
          <w:tcPr>
            <w:tcW w:w="578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December 31, 2018</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December 31, 2017</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4"/>
          </w:tcPr>
          <w:p>
            <w:pPr>
              <w:ind w:left="740"/>
              <w:spacing w:after="0"/>
              <w:rPr>
                <w:sz w:val="20"/>
                <w:szCs w:val="20"/>
                <w:color w:val="auto"/>
              </w:rPr>
            </w:pPr>
            <w:r>
              <w:rPr>
                <w:rFonts w:ascii="Arial" w:cs="Arial" w:eastAsia="Arial" w:hAnsi="Arial"/>
                <w:sz w:val="18"/>
                <w:szCs w:val="18"/>
                <w:color w:val="auto"/>
                <w:w w:val="97"/>
              </w:rPr>
              <w:t>(Dollars in thousands)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138,178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131,197</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36,382</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15,043</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(11,181)</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(8,669)</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Reclassifications from non-accretable difference to accretable yield</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4,523</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(11,532)</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(17,191)</w:t>
            </w:r>
          </w:p>
        </w:tc>
      </w:tr>
      <w:tr>
        <w:trPr>
          <w:trHeight w:val="210"/>
        </w:trPr>
        <w:tc>
          <w:tcPr>
            <w:tcW w:w="5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152,835</w:t>
            </w: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124,903</w:t>
            </w:r>
          </w:p>
        </w:tc>
        <w:tc>
          <w:tcPr>
            <w:tcW w:w="80" w:type="dxa"/>
            <w:vAlign w:val="bottom"/>
            <w:tcBorders>
              <w:top w:val="single" w:sz="8" w:color="CCEEFF"/>
            </w:tcBorders>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ASC 310-30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2"/>
              </w:rPr>
              <w:t>December 31, 2018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2018</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gridSpan w:val="6"/>
          </w:tcPr>
          <w:p>
            <w:pPr>
              <w:ind w:left="38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361,741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318,876</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Carrying amount</w:t>
            </w:r>
          </w:p>
        </w:tc>
        <w:tc>
          <w:tcPr>
            <w:tcW w:w="46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324,890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284,317</w:t>
            </w:r>
          </w:p>
        </w:tc>
      </w:tr>
    </w:tbl>
    <w:p>
      <w:pPr>
        <w:spacing w:after="0" w:line="187" w:lineRule="exact"/>
        <w:rPr>
          <w:sz w:val="20"/>
          <w:szCs w:val="20"/>
          <w:color w:val="auto"/>
        </w:rPr>
      </w:pPr>
    </w:p>
    <w:p>
      <w:pPr>
        <w:sectPr>
          <w:pgSz w:w="11900" w:h="16838" w:orient="portrait"/>
          <w:cols w:equalWidth="0" w:num="1">
            <w:col w:w="11420"/>
          </w:cols>
          <w:pgMar w:left="240" w:top="118" w:right="239" w:bottom="1136" w:gutter="0" w:footer="0" w:header="0"/>
        </w:sect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136" w:gutter="0" w:footer="0" w:header="0"/>
          <w:type w:val="continuous"/>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 and Servicing of Financial Assets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sells loans in the secondary market and for certain loans, retains the servicing responsibility. Consideration for the sale includes the cash received as well as the related servicing rights asset. The Company receives fees for the services provided.</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Capitalized servicing rights as of December 31, 2018 and June 30, 2018 totaled $2.9 million and $3.0 million, respectively, and are classified as servicing rights, net, on the consolidated balance sheets.</w:t>
      </w:r>
    </w:p>
    <w:p>
      <w:pPr>
        <w:spacing w:after="0" w:line="1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Mortgage loans sold during the three months ended December 31, 2018 totaled $7.7 million, compared to $17.6 million during the three months ended December 31, 2017. Mortgage loans sold during the six months ended December 31, 2018 totaled $20.9 million, compared to $36.7 million during the six months ended December 31, 2017. Mortgage loans serviced for others totaled $7.7 million at December 31, 2018 and $8.7 million at June 30, 2018. Additionally, the Company was servicing commercial loans participated out to various other institutions amounting to $23.7 million and $32.2 million at December 31, 2018 and June 30, 2018, respectively.</w:t>
      </w:r>
    </w:p>
    <w:p>
      <w:pPr>
        <w:spacing w:after="0" w:line="18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SBA loans sold during the three months ended December 31, 2018 totaled $12.8 million, compared to $3.4 million during the three months ended December 31, 2017. SBA loans sold during the six months ended December 31, 2018 totaled $25.2 million, compared to $12.5 million during the six months ended December 31, 2017. SBA loans serviced for others totaled $174.7 million at December 31, 2018 and $162.0 million at June 30, 2018.</w:t>
      </w:r>
    </w:p>
    <w:p>
      <w:pPr>
        <w:spacing w:after="0" w:line="16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Mortgage and SBA loans serviced for others are accounted for as sales and therefore are not included on the accompanying consolidated balance sheets. The risks inherent in mortgage servicing assets and SBA servicing assets relate primarily to changes in prepayments that result from shifts in interest rates.</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Contractually specified servicing fees were $101 thousand and $234 thousand for the three months ended December 31, 2018 and 2017, respectively, and were included as a component of loan-related fees within noninterest income. Contractually specified servicing fees were $349 thousand and $497 thousand for the six months ended December 31, 2018 and 2017, respectively.</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significant assumptions used in the valuation of the servicing rights included a range of discount rates from 8.8% to 17.7% and a weighted average prepayment speed assumption of 12.4%.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 (EPS)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(including participating securities). The Company’s only participating securities are unvested restricted stock awards that contain non-forfeitable rights to dividends.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820" w:type="dxa"/>
            <w:vAlign w:val="bottom"/>
            <w:gridSpan w:val="7"/>
          </w:tcPr>
          <w:p>
            <w:pPr>
              <w:ind w:left="20"/>
              <w:spacing w:after="0"/>
              <w:rPr>
                <w:sz w:val="20"/>
                <w:szCs w:val="20"/>
                <w:color w:val="auto"/>
              </w:rPr>
            </w:pPr>
            <w:r>
              <w:rPr>
                <w:rFonts w:ascii="Arial" w:cs="Arial" w:eastAsia="Arial" w:hAnsi="Arial"/>
                <w:sz w:val="18"/>
                <w:szCs w:val="18"/>
                <w:color w:val="auto"/>
                <w:w w:val="97"/>
              </w:rPr>
              <w:t>Three months Ended December 31,</w:t>
            </w:r>
          </w:p>
        </w:tc>
        <w:tc>
          <w:tcPr>
            <w:tcW w:w="100" w:type="dxa"/>
            <w:vAlign w:val="bottom"/>
          </w:tcPr>
          <w:p>
            <w:pPr>
              <w:spacing w:after="0"/>
              <w:rPr>
                <w:sz w:val="20"/>
                <w:szCs w:val="20"/>
                <w:color w:val="auto"/>
              </w:rPr>
            </w:pPr>
          </w:p>
        </w:tc>
        <w:tc>
          <w:tcPr>
            <w:tcW w:w="2600" w:type="dxa"/>
            <w:vAlign w:val="bottom"/>
            <w:gridSpan w:val="5"/>
          </w:tcPr>
          <w:p>
            <w:pPr>
              <w:spacing w:after="0"/>
              <w:rPr>
                <w:sz w:val="20"/>
                <w:szCs w:val="20"/>
                <w:color w:val="auto"/>
              </w:rPr>
            </w:pPr>
            <w:r>
              <w:rPr>
                <w:rFonts w:ascii="Arial" w:cs="Arial" w:eastAsia="Arial" w:hAnsi="Arial"/>
                <w:sz w:val="18"/>
                <w:szCs w:val="18"/>
                <w:color w:val="auto"/>
                <w:w w:val="97"/>
              </w:rPr>
              <w:t>Six months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(In</w:t>
            </w:r>
          </w:p>
        </w:tc>
        <w:tc>
          <w:tcPr>
            <w:tcW w:w="220" w:type="dxa"/>
            <w:vAlign w:val="bottom"/>
            <w:gridSpan w:val="2"/>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w w:val="79"/>
              </w:rPr>
              <w:t>thousands, except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w w:val="84"/>
              </w:rPr>
              <w:t>share and per share</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w w:val="92"/>
              </w:rPr>
              <w:t>data)</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5,125</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9,659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basic EPS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9,048,397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8,924,495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9,022,161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8,883,003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Incremental shares from assumed exercise of dilutive securities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153,160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243,589</w:t>
            </w:r>
          </w:p>
        </w:tc>
        <w:tc>
          <w:tcPr>
            <w:tcW w:w="100" w:type="dxa"/>
            <w:vAlign w:val="bottom"/>
          </w:tcPr>
          <w:p>
            <w:pPr>
              <w:spacing w:after="0"/>
              <w:rPr>
                <w:sz w:val="18"/>
                <w:szCs w:val="18"/>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170,482</w:t>
            </w: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diluted EPS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9,201,557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9,168,084</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9,192,643</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9,129,010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0.36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1.05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December 31, 2018 and 2017, no stock options were excluded from the calculation of diluted EPS.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Derivatives and Hedging Activities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has stand-alone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controls the credit risk of its financial contracts through credit approvals, limits and monitoring procedures, and does not expect any counterparties to fail to meet their obligations.</w:t>
      </w:r>
    </w:p>
    <w:p>
      <w:pPr>
        <w:sectPr>
          <w:pgSz w:w="11900" w:h="16838" w:orient="portrait"/>
          <w:cols w:equalWidth="0" w:num="1">
            <w:col w:w="11380"/>
          </w:cols>
          <w:pgMar w:left="240" w:top="118" w:right="279" w:bottom="1081" w:gutter="0" w:footer="0" w:header="0"/>
        </w:sectPr>
      </w:pP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081" w:gutter="0" w:footer="0" w:header="0"/>
          <w:type w:val="continuous"/>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Company currently holds derivative instruments that contain credit-risk related features that are in a net liability position, which may require that collateral be assigned to dealer banks. At December 31, 2018, the Company had posted cash collateral totaling $1.0 million with dealer banks related to derivative instruments in a net liability position.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Policies—Derivative Instruments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Management—Cash Flow Hedging Instruments</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Company uses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Notional</w:t>
            </w:r>
          </w:p>
        </w:tc>
        <w:tc>
          <w:tcPr>
            <w:tcW w:w="1240" w:type="dxa"/>
            <w:vAlign w:val="bottom"/>
            <w:tcBorders>
              <w:top w:val="single" w:sz="8" w:color="auto"/>
            </w:tcBorders>
            <w:gridSpan w:val="2"/>
          </w:tcPr>
          <w:p>
            <w:pPr>
              <w:jc w:val="center"/>
              <w:ind w:right="80"/>
              <w:spacing w:after="0" w:line="195" w:lineRule="exact"/>
              <w:rPr>
                <w:sz w:val="20"/>
                <w:szCs w:val="20"/>
                <w:color w:val="auto"/>
              </w:rPr>
            </w:pPr>
            <w:r>
              <w:rPr>
                <w:rFonts w:ascii="Arial" w:cs="Arial" w:eastAsia="Arial" w:hAnsi="Arial"/>
                <w:sz w:val="18"/>
                <w:szCs w:val="18"/>
                <w:color w:val="auto"/>
                <w:w w:val="93"/>
              </w:rPr>
              <w:t>Inception</w:t>
            </w:r>
          </w:p>
        </w:tc>
        <w:tc>
          <w:tcPr>
            <w:tcW w:w="1260" w:type="dxa"/>
            <w:vAlign w:val="bottom"/>
            <w:tcBorders>
              <w:top w:val="single" w:sz="8" w:color="auto"/>
            </w:tcBorders>
            <w:gridSpan w:val="2"/>
          </w:tcPr>
          <w:p>
            <w:pPr>
              <w:jc w:val="center"/>
              <w:ind w:right="100"/>
              <w:spacing w:after="0" w:line="195" w:lineRule="exact"/>
              <w:rPr>
                <w:sz w:val="20"/>
                <w:szCs w:val="20"/>
                <w:color w:val="auto"/>
              </w:rPr>
            </w:pPr>
            <w:r>
              <w:rPr>
                <w:rFonts w:ascii="Arial" w:cs="Arial" w:eastAsia="Arial" w:hAnsi="Arial"/>
                <w:sz w:val="18"/>
                <w:szCs w:val="18"/>
                <w:color w:val="auto"/>
                <w:w w:val="92"/>
              </w:rPr>
              <w:t>Termination</w:t>
            </w: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160"/>
              <w:spacing w:after="0" w:line="195" w:lineRule="exact"/>
              <w:rPr>
                <w:sz w:val="20"/>
                <w:szCs w:val="20"/>
                <w:color w:val="auto"/>
              </w:rPr>
            </w:pPr>
            <w:r>
              <w:rPr>
                <w:rFonts w:ascii="Arial" w:cs="Arial" w:eastAsia="Arial" w:hAnsi="Arial"/>
                <w:sz w:val="18"/>
                <w:szCs w:val="18"/>
                <w:color w:val="auto"/>
              </w:rPr>
              <w:t>Receive</w:t>
            </w:r>
          </w:p>
        </w:tc>
        <w:tc>
          <w:tcPr>
            <w:tcW w:w="1180" w:type="dxa"/>
            <w:vAlign w:val="bottom"/>
            <w:tcBorders>
              <w:top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color w:val="auto"/>
                <w:w w:val="83"/>
              </w:rPr>
              <w:t>Pay</w:t>
            </w:r>
          </w:p>
        </w:tc>
        <w:tc>
          <w:tcPr>
            <w:tcW w:w="1180" w:type="dxa"/>
            <w:vAlign w:val="bottom"/>
            <w:tcBorders>
              <w:top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color w:val="auto"/>
                <w:w w:val="91"/>
              </w:rPr>
              <w:t>Strike</w:t>
            </w:r>
          </w:p>
        </w:tc>
        <w:tc>
          <w:tcPr>
            <w:tcW w:w="1040" w:type="dxa"/>
            <w:vAlign w:val="bottom"/>
            <w:tcBorders>
              <w:top w:val="single" w:sz="8" w:color="auto"/>
            </w:tcBorders>
            <w:gridSpan w:val="3"/>
          </w:tcPr>
          <w:p>
            <w:pPr>
              <w:jc w:val="center"/>
              <w:ind w:right="160"/>
              <w:spacing w:after="0" w:line="195" w:lineRule="exact"/>
              <w:rPr>
                <w:sz w:val="20"/>
                <w:szCs w:val="20"/>
                <w:color w:val="auto"/>
              </w:rPr>
            </w:pPr>
            <w:r>
              <w:rPr>
                <w:rFonts w:ascii="Arial" w:cs="Arial" w:eastAsia="Arial" w:hAnsi="Arial"/>
                <w:sz w:val="18"/>
                <w:szCs w:val="18"/>
                <w:color w:val="auto"/>
                <w:w w:val="92"/>
              </w:rPr>
              <w:t>Unrealized</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ind w:right="260"/>
              <w:spacing w:after="0" w:line="195" w:lineRule="exact"/>
              <w:rPr>
                <w:sz w:val="20"/>
                <w:szCs w:val="20"/>
                <w:color w:val="auto"/>
              </w:rPr>
            </w:pPr>
            <w:r>
              <w:rPr>
                <w:rFonts w:ascii="Arial" w:cs="Arial" w:eastAsia="Arial" w:hAnsi="Arial"/>
                <w:sz w:val="18"/>
                <w:szCs w:val="18"/>
                <w:color w:val="auto"/>
                <w:w w:val="96"/>
              </w:rPr>
              <w:t>Fair</w:t>
            </w: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Balance Sheet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Amount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Date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Index</w:t>
            </w: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Rate</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Rate</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Rate</w:t>
            </w:r>
          </w:p>
        </w:tc>
        <w:tc>
          <w:tcPr>
            <w:tcW w:w="180" w:type="dxa"/>
            <w:vAlign w:val="bottom"/>
          </w:tcPr>
          <w:p>
            <w:pPr>
              <w:spacing w:after="0"/>
              <w:rPr>
                <w:sz w:val="20"/>
                <w:szCs w:val="20"/>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Loss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Value</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Location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96"/>
              </w:rPr>
              <w:t>(Dollars</w:t>
            </w:r>
          </w:p>
        </w:tc>
        <w:tc>
          <w:tcPr>
            <w:tcW w:w="260" w:type="dxa"/>
            <w:vAlign w:val="bottom"/>
          </w:tcPr>
          <w:p>
            <w:pPr>
              <w:spacing w:after="0"/>
              <w:rPr>
                <w:sz w:val="20"/>
                <w:szCs w:val="20"/>
                <w:color w:val="auto"/>
              </w:rPr>
            </w:pPr>
            <w:r>
              <w:rPr>
                <w:rFonts w:ascii="Arial" w:cs="Arial" w:eastAsia="Arial" w:hAnsi="Arial"/>
                <w:sz w:val="18"/>
                <w:szCs w:val="18"/>
                <w:color w:val="auto"/>
              </w:rPr>
              <w:t>in</w:t>
            </w: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thousands)</w:t>
            </w: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swaps: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30"/>
        </w:trPr>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July 2013</w:t>
            </w:r>
          </w:p>
        </w:tc>
        <w:tc>
          <w:tcPr>
            <w:tcW w:w="2380" w:type="dxa"/>
            <w:vAlign w:val="bottom"/>
            <w:gridSpan w:val="4"/>
          </w:tcPr>
          <w:p>
            <w:pPr>
              <w:jc w:val="right"/>
              <w:ind w:right="100"/>
              <w:spacing w:after="0"/>
              <w:rPr>
                <w:sz w:val="20"/>
                <w:szCs w:val="20"/>
                <w:color w:val="auto"/>
              </w:rPr>
            </w:pPr>
            <w:r>
              <w:rPr>
                <w:rFonts w:ascii="Arial" w:cs="Arial" w:eastAsia="Arial" w:hAnsi="Arial"/>
                <w:sz w:val="18"/>
                <w:szCs w:val="18"/>
                <w:color w:val="auto"/>
              </w:rPr>
              <w:t>July 2033  3 Mo. LIBOR</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rPr>
              <w:t>2.80%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(393)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(393)</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July 2013</w:t>
            </w:r>
          </w:p>
        </w:tc>
        <w:tc>
          <w:tcPr>
            <w:tcW w:w="2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July 2028  3 Mo. LIBOR</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2.80%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180" w:type="dxa"/>
            <w:vAlign w:val="bottom"/>
            <w:tcBorders>
              <w:right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July 2013</w:t>
            </w:r>
          </w:p>
        </w:tc>
        <w:tc>
          <w:tcPr>
            <w:tcW w:w="2380" w:type="dxa"/>
            <w:vAlign w:val="bottom"/>
            <w:gridSpan w:val="4"/>
          </w:tcPr>
          <w:p>
            <w:pPr>
              <w:jc w:val="right"/>
              <w:ind w:right="100"/>
              <w:spacing w:after="0"/>
              <w:rPr>
                <w:sz w:val="20"/>
                <w:szCs w:val="20"/>
                <w:color w:val="auto"/>
              </w:rPr>
            </w:pPr>
            <w:r>
              <w:rPr>
                <w:rFonts w:ascii="Arial" w:cs="Arial" w:eastAsia="Arial" w:hAnsi="Arial"/>
                <w:sz w:val="18"/>
                <w:szCs w:val="18"/>
                <w:color w:val="auto"/>
              </w:rPr>
              <w:t>July 2023  3 Mo. LIBOR</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rPr>
              <w:t>2.80%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7"/>
            <w:shd w:val="clear" w:color="auto" w:fill="CCEEFF"/>
          </w:tcPr>
          <w:p>
            <w:pPr>
              <w:spacing w:after="0"/>
              <w:rPr>
                <w:sz w:val="20"/>
                <w:szCs w:val="20"/>
                <w:color w:val="auto"/>
              </w:rPr>
            </w:pPr>
            <w:r>
              <w:rPr>
                <w:rFonts w:ascii="Arial" w:cs="Arial" w:eastAsia="Arial" w:hAnsi="Arial"/>
                <w:sz w:val="18"/>
                <w:szCs w:val="18"/>
                <w:i w:val="1"/>
                <w:iCs w:val="1"/>
                <w:color w:val="auto"/>
              </w:rPr>
              <w:t>Forward-starting interest rate swaps: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September</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February 2018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2029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3 Mo. LIBOR</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rPr>
              <w:t>5.60%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5.88%</w:t>
            </w: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February 2018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February 2030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3 Mo. LIBOR</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4.69%</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w:t>
            </w:r>
          </w:p>
        </w:tc>
        <w:tc>
          <w:tcPr>
            <w:tcW w:w="1180" w:type="dxa"/>
            <w:vAlign w:val="bottom"/>
            <w:tcBorders>
              <w:right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5"/>
          </w:tcPr>
          <w:p>
            <w:pPr>
              <w:spacing w:after="0"/>
              <w:rPr>
                <w:sz w:val="20"/>
                <w:szCs w:val="20"/>
                <w:color w:val="auto"/>
              </w:rPr>
            </w:pPr>
            <w:r>
              <w:rPr>
                <w:rFonts w:ascii="Arial" w:cs="Arial" w:eastAsia="Arial" w:hAnsi="Arial"/>
                <w:sz w:val="18"/>
                <w:szCs w:val="18"/>
                <w:i w:val="1"/>
                <w:iCs w:val="1"/>
                <w:color w:val="auto"/>
              </w:rPr>
              <w:t>Interest rate caps: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September</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October 2014</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3 Mo. LIBOR</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18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March 2015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February 2020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3 Mo. LIBOR</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(1,210)</w:t>
            </w: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360" w:type="dxa"/>
            <w:vAlign w:val="bottom"/>
            <w:tcBorders>
              <w:top w:val="single" w:sz="8" w:color="CCEEFF"/>
              <w:bottom w:val="single" w:sz="8" w:color="auto"/>
            </w:tcBorders>
            <w:gridSpan w:val="4"/>
          </w:tcPr>
          <w:p>
            <w:pPr>
              <w:ind w:left="600"/>
              <w:spacing w:after="0"/>
              <w:rPr>
                <w:sz w:val="20"/>
                <w:szCs w:val="20"/>
                <w:color w:val="auto"/>
              </w:rPr>
            </w:pPr>
            <w:r>
              <w:rPr>
                <w:rFonts w:ascii="Arial" w:cs="Arial" w:eastAsia="Arial" w:hAnsi="Arial"/>
                <w:sz w:val="18"/>
                <w:szCs w:val="18"/>
                <w:color w:val="auto"/>
              </w:rPr>
              <w:t>June 30, 2018</w:t>
            </w:r>
          </w:p>
        </w:tc>
        <w:tc>
          <w:tcPr>
            <w:tcW w:w="90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Notional</w:t>
            </w:r>
          </w:p>
        </w:tc>
        <w:tc>
          <w:tcPr>
            <w:tcW w:w="1240" w:type="dxa"/>
            <w:vAlign w:val="bottom"/>
            <w:gridSpan w:val="2"/>
          </w:tcPr>
          <w:p>
            <w:pPr>
              <w:jc w:val="center"/>
              <w:ind w:right="80"/>
              <w:spacing w:after="0" w:line="195" w:lineRule="exact"/>
              <w:rPr>
                <w:sz w:val="20"/>
                <w:szCs w:val="20"/>
                <w:color w:val="auto"/>
              </w:rPr>
            </w:pPr>
            <w:r>
              <w:rPr>
                <w:rFonts w:ascii="Arial" w:cs="Arial" w:eastAsia="Arial" w:hAnsi="Arial"/>
                <w:sz w:val="18"/>
                <w:szCs w:val="18"/>
                <w:color w:val="auto"/>
                <w:w w:val="93"/>
              </w:rPr>
              <w:t>Inception</w:t>
            </w:r>
          </w:p>
        </w:tc>
        <w:tc>
          <w:tcPr>
            <w:tcW w:w="126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2"/>
              </w:rPr>
              <w:t>Termination</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160"/>
              <w:spacing w:after="0" w:line="195" w:lineRule="exact"/>
              <w:rPr>
                <w:sz w:val="20"/>
                <w:szCs w:val="20"/>
                <w:color w:val="auto"/>
              </w:rPr>
            </w:pPr>
            <w:r>
              <w:rPr>
                <w:rFonts w:ascii="Arial" w:cs="Arial" w:eastAsia="Arial" w:hAnsi="Arial"/>
                <w:sz w:val="18"/>
                <w:szCs w:val="18"/>
                <w:color w:val="auto"/>
              </w:rPr>
              <w:t>Receive</w:t>
            </w:r>
          </w:p>
        </w:tc>
        <w:tc>
          <w:tcPr>
            <w:tcW w:w="118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3"/>
              </w:rPr>
              <w:t>Pay</w:t>
            </w:r>
          </w:p>
        </w:tc>
        <w:tc>
          <w:tcPr>
            <w:tcW w:w="118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1"/>
              </w:rPr>
              <w:t>Strike</w:t>
            </w:r>
          </w:p>
        </w:tc>
        <w:tc>
          <w:tcPr>
            <w:tcW w:w="1040" w:type="dxa"/>
            <w:vAlign w:val="bottom"/>
            <w:gridSpan w:val="3"/>
          </w:tcPr>
          <w:p>
            <w:pPr>
              <w:jc w:val="center"/>
              <w:ind w:right="160"/>
              <w:spacing w:after="0" w:line="195" w:lineRule="exact"/>
              <w:rPr>
                <w:sz w:val="20"/>
                <w:szCs w:val="20"/>
                <w:color w:val="auto"/>
              </w:rPr>
            </w:pPr>
            <w:r>
              <w:rPr>
                <w:rFonts w:ascii="Arial" w:cs="Arial" w:eastAsia="Arial" w:hAnsi="Arial"/>
                <w:sz w:val="18"/>
                <w:szCs w:val="18"/>
                <w:color w:val="auto"/>
                <w:w w:val="92"/>
              </w:rPr>
              <w:t>Unrealized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96"/>
              </w:rPr>
              <w:t>Fair</w:t>
            </w: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87"/>
              </w:rPr>
              <w:t>Balance Sheet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Amount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Date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Index</w:t>
            </w: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Rate</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Rate</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Rate</w:t>
            </w:r>
          </w:p>
        </w:tc>
        <w:tc>
          <w:tcPr>
            <w:tcW w:w="180" w:type="dxa"/>
            <w:vAlign w:val="bottom"/>
          </w:tcPr>
          <w:p>
            <w:pPr>
              <w:spacing w:after="0"/>
              <w:rPr>
                <w:sz w:val="20"/>
                <w:szCs w:val="20"/>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Loss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Value</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Location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96"/>
              </w:rPr>
              <w:t>(Dollars</w:t>
            </w:r>
          </w:p>
        </w:tc>
        <w:tc>
          <w:tcPr>
            <w:tcW w:w="260" w:type="dxa"/>
            <w:vAlign w:val="bottom"/>
          </w:tcPr>
          <w:p>
            <w:pPr>
              <w:spacing w:after="0"/>
              <w:rPr>
                <w:sz w:val="20"/>
                <w:szCs w:val="20"/>
                <w:color w:val="auto"/>
              </w:rPr>
            </w:pPr>
            <w:r>
              <w:rPr>
                <w:rFonts w:ascii="Arial" w:cs="Arial" w:eastAsia="Arial" w:hAnsi="Arial"/>
                <w:sz w:val="18"/>
                <w:szCs w:val="18"/>
                <w:color w:val="auto"/>
              </w:rPr>
              <w:t>in</w:t>
            </w: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thousands)</w:t>
            </w: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swaps: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30"/>
        </w:trPr>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July 2013</w:t>
            </w:r>
          </w:p>
        </w:tc>
        <w:tc>
          <w:tcPr>
            <w:tcW w:w="2380" w:type="dxa"/>
            <w:vAlign w:val="bottom"/>
            <w:gridSpan w:val="4"/>
          </w:tcPr>
          <w:p>
            <w:pPr>
              <w:jc w:val="right"/>
              <w:ind w:right="100"/>
              <w:spacing w:after="0"/>
              <w:rPr>
                <w:sz w:val="20"/>
                <w:szCs w:val="20"/>
                <w:color w:val="auto"/>
              </w:rPr>
            </w:pPr>
            <w:r>
              <w:rPr>
                <w:rFonts w:ascii="Arial" w:cs="Arial" w:eastAsia="Arial" w:hAnsi="Arial"/>
                <w:sz w:val="18"/>
                <w:szCs w:val="18"/>
                <w:color w:val="auto"/>
              </w:rPr>
              <w:t>July 2033  3 Mo. LIBOR</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rPr>
              <w:t>2.05%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July 2013</w:t>
            </w:r>
          </w:p>
        </w:tc>
        <w:tc>
          <w:tcPr>
            <w:tcW w:w="2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July 2028  3 Mo. LIBOR</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2.05%</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180" w:type="dxa"/>
            <w:vAlign w:val="bottom"/>
            <w:tcBorders>
              <w:right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July 2013</w:t>
            </w:r>
          </w:p>
        </w:tc>
        <w:tc>
          <w:tcPr>
            <w:tcW w:w="2380" w:type="dxa"/>
            <w:vAlign w:val="bottom"/>
            <w:gridSpan w:val="4"/>
          </w:tcPr>
          <w:p>
            <w:pPr>
              <w:jc w:val="right"/>
              <w:ind w:right="100"/>
              <w:spacing w:after="0"/>
              <w:rPr>
                <w:sz w:val="20"/>
                <w:szCs w:val="20"/>
                <w:color w:val="auto"/>
              </w:rPr>
            </w:pPr>
            <w:r>
              <w:rPr>
                <w:rFonts w:ascii="Arial" w:cs="Arial" w:eastAsia="Arial" w:hAnsi="Arial"/>
                <w:sz w:val="18"/>
                <w:szCs w:val="18"/>
                <w:color w:val="auto"/>
              </w:rPr>
              <w:t>July 2023  3 Mo. LIBOR</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rPr>
              <w:t>2.05%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7"/>
            <w:shd w:val="clear" w:color="auto" w:fill="CCEEFF"/>
          </w:tcPr>
          <w:p>
            <w:pPr>
              <w:spacing w:after="0"/>
              <w:rPr>
                <w:sz w:val="20"/>
                <w:szCs w:val="20"/>
                <w:color w:val="auto"/>
              </w:rPr>
            </w:pPr>
            <w:r>
              <w:rPr>
                <w:rFonts w:ascii="Arial" w:cs="Arial" w:eastAsia="Arial" w:hAnsi="Arial"/>
                <w:sz w:val="18"/>
                <w:szCs w:val="18"/>
                <w:i w:val="1"/>
                <w:iCs w:val="1"/>
                <w:color w:val="auto"/>
              </w:rPr>
              <w:t>Forward-starting interest rate swaps: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September</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February 2018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2029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3 Mo. LIBOR</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rPr>
              <w:t>5.14%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5.88%</w:t>
            </w: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February 2018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February 2030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3 Mo. LIBOR</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4.23%</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w:t>
            </w:r>
          </w:p>
        </w:tc>
        <w:tc>
          <w:tcPr>
            <w:tcW w:w="1180" w:type="dxa"/>
            <w:vAlign w:val="bottom"/>
            <w:tcBorders>
              <w:right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5"/>
          </w:tcPr>
          <w:p>
            <w:pPr>
              <w:spacing w:after="0"/>
              <w:rPr>
                <w:sz w:val="20"/>
                <w:szCs w:val="20"/>
                <w:color w:val="auto"/>
              </w:rPr>
            </w:pPr>
            <w:r>
              <w:rPr>
                <w:rFonts w:ascii="Arial" w:cs="Arial" w:eastAsia="Arial" w:hAnsi="Arial"/>
                <w:sz w:val="18"/>
                <w:szCs w:val="18"/>
                <w:i w:val="1"/>
                <w:iCs w:val="1"/>
                <w:color w:val="auto"/>
              </w:rPr>
              <w:t>Interest rate caps: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September</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October 2014</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3 Mo. LIBOR</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18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March 2015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February 2020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3 Mo. LIBOR</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w:t>
            </w: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During the three and six months ended December 31, 2018 and 2017, no interest rate cap or swap agreements were terminated prior to maturity. Changes in the fair value of interest rate caps and swaps designated as hedging instruments of the variability of cash flows associated with variable rate debt are reported in other comprehensive income. These amounts subsequently are reclassified into interest expense as a yield adjustment in the same period in which the related interest on the debt affects earnings. Risk management results for the three and six months ended December 31, 2018 and 2017 related to the balance sheet hedging of variable rate debt indicates that the hedges were effective.</w:t>
      </w:r>
    </w:p>
    <w:p>
      <w:pPr>
        <w:sectPr>
          <w:pgSz w:w="11900" w:h="16838" w:orient="portrait"/>
          <w:cols w:equalWidth="0" w:num="1">
            <w:col w:w="11420"/>
          </w:cols>
          <w:pgMar w:left="240" w:top="118" w:right="239" w:bottom="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4"/>
          </w:tcPr>
          <w:p>
            <w:pPr>
              <w:spacing w:after="0"/>
              <w:rPr>
                <w:sz w:val="20"/>
                <w:szCs w:val="20"/>
                <w:color w:val="auto"/>
              </w:rPr>
            </w:pPr>
            <w:r>
              <w:rPr>
                <w:rFonts w:ascii="Arial" w:cs="Arial" w:eastAsia="Arial" w:hAnsi="Arial"/>
                <w:sz w:val="18"/>
                <w:szCs w:val="18"/>
                <w:b w:val="1"/>
                <w:bCs w:val="1"/>
                <w:color w:val="auto"/>
              </w:rPr>
              <w:t>8. Other Comprehensive Income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20" w:type="dxa"/>
            <w:vAlign w:val="bottom"/>
            <w:gridSpan w:val="4"/>
          </w:tcPr>
          <w:p>
            <w:pPr>
              <w:spacing w:after="0"/>
              <w:rPr>
                <w:sz w:val="20"/>
                <w:szCs w:val="20"/>
                <w:color w:val="auto"/>
              </w:rPr>
            </w:pPr>
            <w:r>
              <w:rPr>
                <w:rFonts w:ascii="Arial" w:cs="Arial" w:eastAsia="Arial" w:hAnsi="Arial"/>
                <w:sz w:val="18"/>
                <w:szCs w:val="18"/>
                <w:color w:val="auto"/>
                <w:w w:val="91"/>
              </w:rPr>
              <w:t>The components of other comprehensive income are as follows: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1"/>
          </w:tcPr>
          <w:p>
            <w:pPr>
              <w:jc w:val="right"/>
              <w:ind w:right="100"/>
              <w:spacing w:after="0"/>
              <w:rPr>
                <w:sz w:val="20"/>
                <w:szCs w:val="20"/>
                <w:color w:val="auto"/>
              </w:rPr>
            </w:pPr>
            <w:r>
              <w:rPr>
                <w:rFonts w:ascii="Arial" w:cs="Arial" w:eastAsia="Arial" w:hAnsi="Arial"/>
                <w:sz w:val="18"/>
                <w:szCs w:val="18"/>
                <w:color w:val="auto"/>
              </w:rPr>
              <w:t>Three Months Ended December 31,</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color w:val="auto"/>
                <w:w w:val="89"/>
              </w:rPr>
              <w:t>2018</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center"/>
              <w:ind w:right="240"/>
              <w:spacing w:after="0" w:line="195" w:lineRule="exact"/>
              <w:rPr>
                <w:sz w:val="20"/>
                <w:szCs w:val="20"/>
                <w:color w:val="auto"/>
              </w:rPr>
            </w:pPr>
            <w:r>
              <w:rPr>
                <w:rFonts w:ascii="Arial" w:cs="Arial" w:eastAsia="Arial" w:hAnsi="Arial"/>
                <w:sz w:val="18"/>
                <w:szCs w:val="18"/>
                <w:color w:val="auto"/>
                <w:w w:val="93"/>
              </w:rPr>
              <w:t>Tax</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Pre-tax</w:t>
            </w:r>
          </w:p>
        </w:tc>
        <w:tc>
          <w:tcPr>
            <w:tcW w:w="80" w:type="dxa"/>
            <w:vAlign w:val="bottom"/>
          </w:tcPr>
          <w:p>
            <w:pPr>
              <w:spacing w:after="0"/>
              <w:rPr>
                <w:sz w:val="18"/>
                <w:szCs w:val="18"/>
                <w:color w:val="auto"/>
              </w:rPr>
            </w:pPr>
          </w:p>
        </w:tc>
        <w:tc>
          <w:tcPr>
            <w:tcW w:w="1080" w:type="dxa"/>
            <w:vAlign w:val="bottom"/>
            <w:gridSpan w:val="4"/>
          </w:tcPr>
          <w:p>
            <w:pPr>
              <w:spacing w:after="0"/>
              <w:rPr>
                <w:sz w:val="20"/>
                <w:szCs w:val="20"/>
                <w:color w:val="auto"/>
              </w:rPr>
            </w:pPr>
            <w:r>
              <w:rPr>
                <w:rFonts w:ascii="Arial" w:cs="Arial" w:eastAsia="Arial" w:hAnsi="Arial"/>
                <w:sz w:val="18"/>
                <w:szCs w:val="18"/>
                <w:color w:val="auto"/>
              </w:rPr>
              <w:t>Tax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After-tax</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89"/>
              </w:rPr>
              <w:t>Pre-tax</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center"/>
              <w:ind w:right="240"/>
              <w:spacing w:after="0"/>
              <w:rPr>
                <w:sz w:val="20"/>
                <w:szCs w:val="20"/>
                <w:color w:val="auto"/>
              </w:rPr>
            </w:pPr>
            <w:r>
              <w:rPr>
                <w:rFonts w:ascii="Arial" w:cs="Arial" w:eastAsia="Arial" w:hAnsi="Arial"/>
                <w:sz w:val="18"/>
                <w:szCs w:val="18"/>
                <w:color w:val="auto"/>
                <w:w w:val="85"/>
              </w:rPr>
              <w:t>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After-tax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Amount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96"/>
              </w:rPr>
              <w:t>(Benefit)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4"/>
              </w:rPr>
              <w:t>(Benefit)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ind w:left="60"/>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Borders>
              <w:right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rPr>
              <w:t>Change in net unrealized loss on available-for-sale debt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9"/>
              </w:rPr>
              <w:t>Change in accumulated loss on effective cash flow hedges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w w:val="92"/>
              </w:rPr>
              <w:t>Reclassification adjustment for losses included in net income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derivatives and hedging activities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4"/>
          </w:tcPr>
          <w:p>
            <w:pPr>
              <w:spacing w:after="0"/>
              <w:rPr>
                <w:sz w:val="20"/>
                <w:szCs w:val="20"/>
                <w:color w:val="auto"/>
              </w:rPr>
            </w:pPr>
            <w:r>
              <w:rPr>
                <w:rFonts w:ascii="Arial" w:cs="Arial" w:eastAsia="Arial" w:hAnsi="Arial"/>
                <w:sz w:val="18"/>
                <w:szCs w:val="18"/>
                <w:color w:val="auto"/>
              </w:rPr>
              <w:t>Total other comprehensive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(117)</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(43)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1"/>
          </w:tcPr>
          <w:p>
            <w:pPr>
              <w:jc w:val="right"/>
              <w:ind w:right="200"/>
              <w:spacing w:after="0"/>
              <w:rPr>
                <w:sz w:val="20"/>
                <w:szCs w:val="20"/>
                <w:color w:val="auto"/>
              </w:rPr>
            </w:pPr>
            <w:r>
              <w:rPr>
                <w:rFonts w:ascii="Arial" w:cs="Arial" w:eastAsia="Arial" w:hAnsi="Arial"/>
                <w:sz w:val="18"/>
                <w:szCs w:val="18"/>
                <w:color w:val="auto"/>
              </w:rPr>
              <w:t>Six Months Ended December 31,</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color w:val="auto"/>
                <w:w w:val="89"/>
              </w:rPr>
              <w:t>2018</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center"/>
              <w:ind w:right="240"/>
              <w:spacing w:after="0" w:line="195" w:lineRule="exact"/>
              <w:rPr>
                <w:sz w:val="20"/>
                <w:szCs w:val="20"/>
                <w:color w:val="auto"/>
              </w:rPr>
            </w:pPr>
            <w:r>
              <w:rPr>
                <w:rFonts w:ascii="Arial" w:cs="Arial" w:eastAsia="Arial" w:hAnsi="Arial"/>
                <w:sz w:val="18"/>
                <w:szCs w:val="18"/>
                <w:color w:val="auto"/>
                <w:w w:val="93"/>
              </w:rPr>
              <w:t>Tax</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Pre-tax</w:t>
            </w:r>
          </w:p>
        </w:tc>
        <w:tc>
          <w:tcPr>
            <w:tcW w:w="80" w:type="dxa"/>
            <w:vAlign w:val="bottom"/>
          </w:tcPr>
          <w:p>
            <w:pPr>
              <w:spacing w:after="0"/>
              <w:rPr>
                <w:sz w:val="18"/>
                <w:szCs w:val="18"/>
                <w:color w:val="auto"/>
              </w:rPr>
            </w:pPr>
          </w:p>
        </w:tc>
        <w:tc>
          <w:tcPr>
            <w:tcW w:w="1080" w:type="dxa"/>
            <w:vAlign w:val="bottom"/>
            <w:gridSpan w:val="4"/>
          </w:tcPr>
          <w:p>
            <w:pPr>
              <w:spacing w:after="0"/>
              <w:rPr>
                <w:sz w:val="20"/>
                <w:szCs w:val="20"/>
                <w:color w:val="auto"/>
              </w:rPr>
            </w:pPr>
            <w:r>
              <w:rPr>
                <w:rFonts w:ascii="Arial" w:cs="Arial" w:eastAsia="Arial" w:hAnsi="Arial"/>
                <w:sz w:val="18"/>
                <w:szCs w:val="18"/>
                <w:color w:val="auto"/>
              </w:rPr>
              <w:t>Tax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After-tax</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89"/>
              </w:rPr>
              <w:t>Pre-tax</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center"/>
              <w:ind w:right="240"/>
              <w:spacing w:after="0"/>
              <w:rPr>
                <w:sz w:val="20"/>
                <w:szCs w:val="20"/>
                <w:color w:val="auto"/>
              </w:rPr>
            </w:pPr>
            <w:r>
              <w:rPr>
                <w:rFonts w:ascii="Arial" w:cs="Arial" w:eastAsia="Arial" w:hAnsi="Arial"/>
                <w:sz w:val="18"/>
                <w:szCs w:val="18"/>
                <w:color w:val="auto"/>
                <w:w w:val="85"/>
              </w:rPr>
              <w:t>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After-tax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Amount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96"/>
              </w:rPr>
              <w:t>(Benefit)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4"/>
              </w:rPr>
              <w:t>(Benefit)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ind w:left="60"/>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Borders>
              <w:right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rPr>
              <w:t>Change in net unrealized gain or loss on available-for-sale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9"/>
              </w:rPr>
              <w:t>Change in accumulated loss on effective cash flow hedges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w w:val="92"/>
              </w:rPr>
              <w:t>Reclassification adjustment for losses included in net income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derivatives and hedging activities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4"/>
          </w:tcPr>
          <w:p>
            <w:pPr>
              <w:spacing w:after="0"/>
              <w:rPr>
                <w:sz w:val="20"/>
                <w:szCs w:val="20"/>
                <w:color w:val="auto"/>
              </w:rPr>
            </w:pPr>
            <w:r>
              <w:rPr>
                <w:rFonts w:ascii="Arial" w:cs="Arial" w:eastAsia="Arial" w:hAnsi="Arial"/>
                <w:sz w:val="18"/>
                <w:szCs w:val="18"/>
                <w:color w:val="auto"/>
              </w:rPr>
              <w:t>Total other comprehensive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19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0" w:type="dxa"/>
            <w:vAlign w:val="bottom"/>
            <w:gridSpan w:val="7"/>
          </w:tcPr>
          <w:p>
            <w:pPr>
              <w:spacing w:after="0"/>
              <w:rPr>
                <w:sz w:val="20"/>
                <w:szCs w:val="20"/>
                <w:color w:val="auto"/>
              </w:rPr>
            </w:pPr>
            <w:r>
              <w:rPr>
                <w:rFonts w:ascii="Arial" w:cs="Arial" w:eastAsia="Arial" w:hAnsi="Arial"/>
                <w:sz w:val="18"/>
                <w:szCs w:val="18"/>
                <w:color w:val="auto"/>
              </w:rPr>
              <w:t>Accumulated other comprehensive loss is comprised of the following:</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9"/>
              </w:rPr>
              <w:t>December 31, 2018</w:t>
            </w: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91"/>
              </w:rPr>
              <w:t>June 30, 2018</w:t>
            </w:r>
          </w:p>
        </w:tc>
        <w:tc>
          <w:tcPr>
            <w:tcW w:w="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Unrealized loss on investment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tcBorders>
              <w:lef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(1,584)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Tax effect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4"/>
          </w:tcPr>
          <w:p>
            <w:pPr>
              <w:jc w:val="right"/>
              <w:ind w:right="80"/>
              <w:spacing w:after="0"/>
              <w:rPr>
                <w:sz w:val="20"/>
                <w:szCs w:val="20"/>
                <w:color w:val="auto"/>
              </w:rPr>
            </w:pPr>
            <w:r>
              <w:rPr>
                <w:rFonts w:ascii="Arial" w:cs="Arial" w:eastAsia="Arial" w:hAnsi="Arial"/>
                <w:sz w:val="18"/>
                <w:szCs w:val="18"/>
                <w:color w:val="auto"/>
              </w:rPr>
              <w:t>428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5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After tax amount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tcBorders>
              <w:lef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(1,156)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Unrealized loss on cash flow hedges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(827)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Tax effect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tcBorders>
              <w:lef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222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After tax amount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(605)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20" w:type="dxa"/>
            <w:vAlign w:val="bottom"/>
            <w:tcBorders>
              <w:lef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(1,761)</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standby letters of credit, and commitments to fund investments. Those instruments involve, to varying degrees, elements of credit and interest rate risk in excess of the amount recognized on the consolidated balance sheets. The contract amounts of those instruments reflect the extent of involvement the Company has in particular classes of financial instruments.</w:t>
      </w:r>
    </w:p>
    <w:p>
      <w:pPr>
        <w:spacing w:after="0" w:line="18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with contract amounts which represent credit risk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2"/>
              </w:rPr>
              <w:t>December 31, 2018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2018</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gridSpan w:val="6"/>
          </w:tcPr>
          <w:p>
            <w:pPr>
              <w:ind w:left="38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20,431</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Unfunded commitments under lines of credit</w:t>
            </w:r>
          </w:p>
        </w:tc>
        <w:tc>
          <w:tcPr>
            <w:tcW w:w="4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23,829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29,478</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3,183</w:t>
            </w:r>
          </w:p>
        </w:tc>
      </w:tr>
    </w:tbl>
    <w:p>
      <w:pPr>
        <w:spacing w:after="0" w:line="20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w:t>
      </w:r>
    </w:p>
    <w:p>
      <w:pPr>
        <w:sectPr>
          <w:pgSz w:w="11900" w:h="16838" w:orient="portrait"/>
          <w:cols w:equalWidth="0" w:num="1">
            <w:col w:w="11420"/>
          </w:cols>
          <w:pgMar w:left="240" w:top="118" w:right="239" w:bottom="0" w:gutter="0" w:footer="0" w:header="0"/>
        </w:sectPr>
      </w:pPr>
    </w:p>
    <w:bookmarkStart w:id="24" w:name="page25"/>
    <w:bookmarkEnd w:id="24"/>
    <w:p>
      <w:pPr>
        <w:spacing w:after="0" w:line="259" w:lineRule="auto"/>
        <w:rPr>
          <w:sz w:val="20"/>
          <w:szCs w:val="20"/>
          <w:color w:val="auto"/>
        </w:rPr>
      </w:pPr>
      <w:r>
        <w:rPr>
          <w:rFonts w:ascii="Arial" w:cs="Arial" w:eastAsia="Arial" w:hAnsi="Arial"/>
          <w:sz w:val="18"/>
          <w:szCs w:val="18"/>
          <w:color w:val="auto"/>
        </w:rPr>
        <w:t>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 The Company has recorded an allowance for possible losses on commitments and unfunded loans totaling $52 thousand recorded in other liabilities at both December 31, 2018 and June 30, 2018.</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w:t>
      </w:r>
    </w:p>
    <w:p>
      <w:pPr>
        <w:spacing w:after="0" w:line="18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6"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Level 1 — Inputs are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ind w:left="500" w:right="380"/>
        <w:spacing w:after="0" w:line="308" w:lineRule="auto"/>
        <w:rPr>
          <w:sz w:val="20"/>
          <w:szCs w:val="20"/>
          <w:color w:val="auto"/>
        </w:rPr>
      </w:pPr>
      <w:r>
        <w:rPr>
          <w:rFonts w:ascii="Arial" w:cs="Arial" w:eastAsia="Arial" w:hAnsi="Arial"/>
          <w:sz w:val="17"/>
          <w:szCs w:val="17"/>
          <w:color w:val="auto"/>
        </w:rPr>
        <w:t>Level 2 — Valuations based on significant observable inputs other than Level 1 prices such as quoted prices for similar assets or liabilities; quoted prices in markets that are not active; or other inputs that are observable or can be corroborated by observable market data.</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 - There have been no changes in the valuation techniques used during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Transfers </w:t>
      </w:r>
      <w:r>
        <w:rPr>
          <w:rFonts w:ascii="Arial" w:cs="Arial" w:eastAsia="Arial" w:hAnsi="Arial"/>
          <w:sz w:val="17"/>
          <w:szCs w:val="17"/>
          <w:color w:val="auto"/>
        </w:rPr>
        <w:t>- There were no transfers of assets and liabilities measured at fair value on a recurring or nonrecurring basis during the current period</w:t>
      </w:r>
      <w:r>
        <w:rPr>
          <w:rFonts w:ascii="Arial" w:cs="Arial" w:eastAsia="Arial" w:hAnsi="Arial"/>
          <w:sz w:val="17"/>
          <w:szCs w:val="17"/>
          <w:i w:val="1"/>
          <w:i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i w:val="1"/>
          <w:iCs w:val="1"/>
          <w:color w:val="auto"/>
        </w:rPr>
        <w:t xml:space="preserve">Investment securities </w:t>
      </w:r>
      <w:r>
        <w:rPr>
          <w:rFonts w:ascii="Arial" w:cs="Arial" w:eastAsia="Arial" w:hAnsi="Arial"/>
          <w:sz w:val="18"/>
          <w:szCs w:val="18"/>
          <w:color w:val="auto"/>
        </w:rPr>
        <w:t>- Where quoted prices are available in an active market, securities are classified within Level 1 of the valuation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Examples of such instruments include publicly-traded common and preferred stocks. If quoted prices are not available, then fair values are estimated by using pricing models (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enterprise mortgage-backed securities, as well as certain preferred and trust preferred stocks. Level 3 securities are securities for which significant unobservable inputs are utilized.</w:t>
      </w:r>
    </w:p>
    <w:p>
      <w:pPr>
        <w:spacing w:after="0" w:line="193" w:lineRule="exact"/>
        <w:rPr>
          <w:sz w:val="20"/>
          <w:szCs w:val="20"/>
          <w:color w:val="auto"/>
        </w:rPr>
      </w:pPr>
    </w:p>
    <w:p>
      <w:pPr>
        <w:ind w:left="500" w:right="100"/>
        <w:spacing w:after="0" w:line="297" w:lineRule="auto"/>
        <w:rPr>
          <w:sz w:val="20"/>
          <w:szCs w:val="20"/>
          <w:color w:val="auto"/>
        </w:rPr>
      </w:pPr>
      <w:r>
        <w:rPr>
          <w:rFonts w:ascii="Arial" w:cs="Arial" w:eastAsia="Arial" w:hAnsi="Arial"/>
          <w:sz w:val="16"/>
          <w:szCs w:val="16"/>
          <w:color w:val="auto"/>
        </w:rPr>
        <w:t>Certain investments are measured at fair value using the net asset value per share as a practical expedient. These investments include a fund that seeks to invest in securities either issued or guaranteed by the U.S. government or its agencies, as well as a fund that primarily invests in the federally guaranteed portion of SBA 7(a) loans. The Company’s investment in securities either issued or guaranteed by the U.S. government or its agencies can be redeemed daily at the closing net asset value per share. The Company’s investment in SBA 7(a) loans can be redeemed quarterly with sixty days’ notice. In accordance with ASU 2015-07, these investments have not been included in the fair value hierarchy.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500" w:right="120"/>
        <w:spacing w:after="0" w:line="276"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 The valuation of the Company’s interest rate swaps and caps are determined using widely accepted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techniques including discounted cash flow analyses on the expected cash flows of derivatives. These analyses reflect the contractual terms of the derivatives, including the period to maturity, and use observable market-based inputs, including forward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73" w:lineRule="exact"/>
        <w:rPr>
          <w:sz w:val="20"/>
          <w:szCs w:val="20"/>
          <w:color w:val="auto"/>
        </w:rPr>
      </w:pPr>
    </w:p>
    <w:p>
      <w:pPr>
        <w:jc w:val="both"/>
        <w:ind w:left="500" w:right="340"/>
        <w:spacing w:after="0" w:line="264"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left="660" w:right="40"/>
        <w:spacing w:after="0" w:line="342" w:lineRule="auto"/>
        <w:rPr>
          <w:sz w:val="20"/>
          <w:szCs w:val="20"/>
          <w:color w:val="auto"/>
        </w:rPr>
      </w:pPr>
      <w:r>
        <w:rPr>
          <w:rFonts w:ascii="Arial" w:cs="Arial" w:eastAsia="Arial" w:hAnsi="Arial"/>
          <w:sz w:val="16"/>
          <w:szCs w:val="16"/>
          <w:i w:val="1"/>
          <w:iCs w:val="1"/>
          <w:color w:val="auto"/>
        </w:rPr>
        <w:t xml:space="preserve">Collateral dependent impaired loans </w:t>
      </w:r>
      <w:r>
        <w:rPr>
          <w:rFonts w:ascii="Arial" w:cs="Arial" w:eastAsia="Arial" w:hAnsi="Arial"/>
          <w:sz w:val="16"/>
          <w:szCs w:val="16"/>
          <w:color w:val="auto"/>
        </w:rPr>
        <w:t>- Valuations of impaired loans measured at fair value are determined by a review of collateral values.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inputs used in appraisals are not always observable, and therefore impaired loans are generally categorized as Level 3 within the fair value hierarchy.</w:t>
      </w:r>
    </w:p>
    <w:p>
      <w:pPr>
        <w:spacing w:after="0" w:line="124" w:lineRule="exact"/>
        <w:rPr>
          <w:sz w:val="20"/>
          <w:szCs w:val="20"/>
          <w:color w:val="auto"/>
        </w:rPr>
      </w:pPr>
    </w:p>
    <w:p>
      <w:pPr>
        <w:ind w:left="660" w:right="20"/>
        <w:spacing w:after="0" w:line="286" w:lineRule="auto"/>
        <w:rPr>
          <w:sz w:val="20"/>
          <w:szCs w:val="20"/>
          <w:color w:val="auto"/>
        </w:rPr>
      </w:pPr>
      <w:r>
        <w:rPr>
          <w:rFonts w:ascii="Arial" w:cs="Arial" w:eastAsia="Arial" w:hAnsi="Arial"/>
          <w:sz w:val="17"/>
          <w:szCs w:val="17"/>
          <w:i w:val="1"/>
          <w:iCs w:val="1"/>
          <w:color w:val="auto"/>
        </w:rPr>
        <w:t xml:space="preserve">Real estate owned and other repossessed collateral </w:t>
      </w:r>
      <w:r>
        <w:rPr>
          <w:rFonts w:ascii="Arial" w:cs="Arial" w:eastAsia="Arial" w:hAnsi="Arial"/>
          <w:sz w:val="17"/>
          <w:szCs w:val="17"/>
          <w:color w:val="auto"/>
        </w:rPr>
        <w:t>- The fair values of real estate owned and other repossessed collateral are estimated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66" w:lineRule="exact"/>
        <w:rPr>
          <w:sz w:val="20"/>
          <w:szCs w:val="20"/>
          <w:color w:val="auto"/>
        </w:rPr>
      </w:pPr>
    </w:p>
    <w:p>
      <w:pPr>
        <w:ind w:left="660" w:right="80"/>
        <w:spacing w:after="0" w:line="312" w:lineRule="auto"/>
        <w:rPr>
          <w:sz w:val="20"/>
          <w:szCs w:val="20"/>
          <w:color w:val="auto"/>
        </w:rPr>
      </w:pPr>
      <w:r>
        <w:rPr>
          <w:rFonts w:ascii="Arial" w:cs="Arial" w:eastAsia="Arial" w:hAnsi="Arial"/>
          <w:sz w:val="16"/>
          <w:szCs w:val="16"/>
          <w:i w:val="1"/>
          <w:iCs w:val="1"/>
          <w:color w:val="auto"/>
        </w:rPr>
        <w:t xml:space="preserve">Servicing rights, net </w:t>
      </w:r>
      <w:r>
        <w:rPr>
          <w:rFonts w:ascii="Arial" w:cs="Arial" w:eastAsia="Arial" w:hAnsi="Arial"/>
          <w:sz w:val="16"/>
          <w:szCs w:val="16"/>
          <w:color w:val="auto"/>
        </w:rPr>
        <w:t>- The fair value of the servicing rights is based on a valuation model that calculates the present value of estimated future net</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income. Adjustments are only recorded when the discounted cash flows derived from the valuation model are less than the carrying value of the asset. Certain inputs are not observable, and therefore servicing rights, net are generally categorized as Level 3 within the fair value hierarchy.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left="500" w:right="36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fair value of cash, due from banks, interest bearing deposits and Federal Home Loan Bank of Boston (“FHLBB”)</w:t>
      </w:r>
      <w:r>
        <w:rPr>
          <w:rFonts w:ascii="Arial" w:cs="Arial" w:eastAsia="Arial" w:hAnsi="Arial"/>
          <w:sz w:val="18"/>
          <w:szCs w:val="18"/>
          <w:i w:val="1"/>
          <w:iCs w:val="1"/>
          <w:color w:val="auto"/>
        </w:rPr>
        <w:t xml:space="preserve"> </w:t>
      </w:r>
      <w:r>
        <w:rPr>
          <w:rFonts w:ascii="Arial" w:cs="Arial" w:eastAsia="Arial" w:hAnsi="Arial"/>
          <w:sz w:val="18"/>
          <w:szCs w:val="18"/>
          <w:color w:val="auto"/>
        </w:rPr>
        <w:t>overnight deposits approximates their relative book values, as these financial instruments have short maturities.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FHLBB stock </w:t>
      </w:r>
      <w:r>
        <w:rPr>
          <w:rFonts w:ascii="Arial" w:cs="Arial" w:eastAsia="Arial" w:hAnsi="Arial"/>
          <w:sz w:val="18"/>
          <w:szCs w:val="18"/>
          <w:color w:val="auto"/>
        </w:rPr>
        <w:t>- The carrying value of FHLBB stock approximates fair value based on redemption provisions of the FHLBB.</w:t>
      </w:r>
    </w:p>
    <w:p>
      <w:pPr>
        <w:spacing w:after="0" w:line="225" w:lineRule="exact"/>
        <w:rPr>
          <w:sz w:val="20"/>
          <w:szCs w:val="20"/>
          <w:color w:val="auto"/>
        </w:rPr>
      </w:pPr>
    </w:p>
    <w:p>
      <w:pPr>
        <w:ind w:left="500" w:right="440"/>
        <w:spacing w:after="0" w:line="302"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 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held-for-sale is estimated based on bid quotations received from loan dealers.</w:t>
      </w:r>
    </w:p>
    <w:p>
      <w:pPr>
        <w:spacing w:after="0" w:line="225" w:lineRule="exact"/>
        <w:rPr>
          <w:sz w:val="20"/>
          <w:szCs w:val="20"/>
          <w:color w:val="auto"/>
        </w:rPr>
      </w:pPr>
    </w:p>
    <w:p>
      <w:pPr>
        <w:ind w:left="500"/>
        <w:spacing w:after="0" w:line="264"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 The fair value of this financial instrument approximates the book value as this financial instrument has a short maturity. It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policy to stop accruing interest on loans past due by more than 90 days. Therefore, this financial instrument has been adjusted for estimated credit losses.</w:t>
      </w:r>
    </w:p>
    <w:p>
      <w:pPr>
        <w:spacing w:after="0" w:line="181" w:lineRule="exact"/>
        <w:rPr>
          <w:sz w:val="20"/>
          <w:szCs w:val="20"/>
          <w:color w:val="auto"/>
        </w:rPr>
      </w:pPr>
    </w:p>
    <w:p>
      <w:pPr>
        <w:ind w:left="500" w:right="80"/>
        <w:spacing w:after="0" w:line="257" w:lineRule="auto"/>
        <w:rPr>
          <w:sz w:val="20"/>
          <w:szCs w:val="20"/>
          <w:color w:val="auto"/>
        </w:rPr>
      </w:pPr>
      <w:r>
        <w:rPr>
          <w:rFonts w:ascii="Arial" w:cs="Arial" w:eastAsia="Arial" w:hAnsi="Arial"/>
          <w:sz w:val="18"/>
          <w:szCs w:val="18"/>
          <w:i w:val="1"/>
          <w:iCs w:val="1"/>
          <w:color w:val="auto"/>
        </w:rPr>
        <w:t xml:space="preserve">Deposits </w:t>
      </w:r>
      <w:r>
        <w:rPr>
          <w:rFonts w:ascii="Arial" w:cs="Arial" w:eastAsia="Arial" w:hAnsi="Arial"/>
          <w:sz w:val="18"/>
          <w:szCs w:val="18"/>
          <w:color w:val="auto"/>
        </w:rPr>
        <w:t>- The fair value of deposits with no stated maturity, such as noninterest-bearing demand deposits, savings, NOW accounts and money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88" w:lineRule="exact"/>
        <w:rPr>
          <w:sz w:val="20"/>
          <w:szCs w:val="20"/>
          <w:color w:val="auto"/>
        </w:rPr>
      </w:pPr>
    </w:p>
    <w:p>
      <w:pPr>
        <w:jc w:val="both"/>
        <w:ind w:left="500" w:right="60"/>
        <w:spacing w:after="0" w:line="279" w:lineRule="auto"/>
        <w:rPr>
          <w:sz w:val="20"/>
          <w:szCs w:val="20"/>
          <w:color w:val="auto"/>
        </w:rPr>
      </w:pPr>
      <w:r>
        <w:rPr>
          <w:rFonts w:ascii="Arial" w:cs="Arial" w:eastAsia="Arial" w:hAnsi="Arial"/>
          <w:sz w:val="17"/>
          <w:szCs w:val="17"/>
          <w:i w:val="1"/>
          <w:iCs w:val="1"/>
          <w:color w:val="auto"/>
        </w:rPr>
        <w:t xml:space="preserve">FHLBB advances, capital lease obligations and subordinated debentures </w:t>
      </w:r>
      <w:r>
        <w:rPr>
          <w:rFonts w:ascii="Arial" w:cs="Arial" w:eastAsia="Arial" w:hAnsi="Arial"/>
          <w:sz w:val="17"/>
          <w:szCs w:val="17"/>
          <w:color w:val="auto"/>
        </w:rPr>
        <w:t>- The fair value of the Company’s borrowings with the FHLBB is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by discounting the cash flows through maturity or the next re-pricing date based on current rates available to the Company for borrowings with similar maturities. The fair value of the Company’s capital lease obligations and subordinated debentures are estimated by discounting the cash flows through maturity based on current rates available to the Company for borrowings with similar maturities.</w:t>
      </w:r>
    </w:p>
    <w:p>
      <w:pPr>
        <w:spacing w:after="0" w:line="171" w:lineRule="exact"/>
        <w:rPr>
          <w:sz w:val="20"/>
          <w:szCs w:val="20"/>
          <w:color w:val="auto"/>
        </w:rPr>
      </w:pPr>
    </w:p>
    <w:p>
      <w:pPr>
        <w:ind w:left="500" w:right="280"/>
        <w:spacing w:after="0" w:line="264" w:lineRule="auto"/>
        <w:rPr>
          <w:sz w:val="20"/>
          <w:szCs w:val="20"/>
          <w:color w:val="auto"/>
        </w:rPr>
      </w:pPr>
      <w:r>
        <w:rPr>
          <w:rFonts w:ascii="Arial" w:cs="Arial" w:eastAsia="Arial" w:hAnsi="Arial"/>
          <w:sz w:val="18"/>
          <w:szCs w:val="18"/>
          <w:i w:val="1"/>
          <w:iCs w:val="1"/>
          <w:color w:val="auto"/>
        </w:rPr>
        <w:t xml:space="preserve">Off-Balance Sheet Credit-Related Instruments </w:t>
      </w:r>
      <w:r>
        <w:rPr>
          <w:rFonts w:ascii="Arial" w:cs="Arial" w:eastAsia="Arial" w:hAnsi="Arial"/>
          <w:sz w:val="18"/>
          <w:szCs w:val="18"/>
          <w:color w:val="auto"/>
        </w:rPr>
        <w:t>- Fair values for off-balance-sheet, credit-related financial instruments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89"/>
              </w:rPr>
              <w:t>December 31, 2018</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484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Available-for-sale debt securities: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57,025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21,107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21,107</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Equity investments measured at net asset value</w:t>
            </w:r>
            <w:r>
              <w:rPr>
                <w:rFonts w:ascii="Arial" w:cs="Arial" w:eastAsia="Arial" w:hAnsi="Arial"/>
                <w:sz w:val="29"/>
                <w:szCs w:val="29"/>
                <w:color w:val="auto"/>
                <w:vertAlign w:val="superscript"/>
              </w:rPr>
              <w:t>(1)</w:t>
            </w:r>
          </w:p>
        </w:tc>
        <w:tc>
          <w:tcPr>
            <w:tcW w:w="2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assets – interest rate caps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Liabilities</w:t>
            </w:r>
          </w:p>
        </w:tc>
        <w:tc>
          <w:tcPr>
            <w:tcW w:w="4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liabilities – interest rate swaps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1,249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89"/>
              </w:rPr>
              <w:t>June 30, 2018</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484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Available-for-sale debt securities: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56,887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24,181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24,181</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Equity investments measured at net asset value</w:t>
            </w:r>
            <w:r>
              <w:rPr>
                <w:rFonts w:ascii="Arial" w:cs="Arial" w:eastAsia="Arial" w:hAnsi="Arial"/>
                <w:sz w:val="29"/>
                <w:szCs w:val="29"/>
                <w:color w:val="auto"/>
                <w:vertAlign w:val="superscript"/>
              </w:rPr>
              <w:t>(1)</w:t>
            </w:r>
          </w:p>
        </w:tc>
        <w:tc>
          <w:tcPr>
            <w:tcW w:w="2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Other assets – interest rate caps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swaps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 – interest rate swap</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600" w:hanging="328"/>
        <w:spacing w:after="0" w:line="209" w:lineRule="auto"/>
        <w:tabs>
          <w:tab w:leader="none" w:pos="66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are intended to permit reconciliation of the fair value amount to the consolidated financial statements.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color w:val="auto"/>
                <w:w w:val="89"/>
              </w:rPr>
              <w:t>December 31, 2018</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jc w:val="center"/>
              <w:ind w:left="3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2,408</w:t>
            </w:r>
          </w:p>
        </w:tc>
        <w:tc>
          <w:tcPr>
            <w:tcW w:w="12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2,408</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1,463</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1,463</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Servicing rights, net</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2,934</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w:t>
            </w:r>
          </w:p>
        </w:tc>
      </w:tr>
      <w:tr>
        <w:trPr>
          <w:trHeight w:val="459"/>
        </w:trPr>
        <w:tc>
          <w:tcPr>
            <w:tcW w:w="46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color w:val="auto"/>
                <w:w w:val="89"/>
              </w:rPr>
              <w:t>June 30, 2018</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6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jc w:val="center"/>
              <w:ind w:left="3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1,917</w:t>
            </w:r>
          </w:p>
        </w:tc>
        <w:tc>
          <w:tcPr>
            <w:tcW w:w="12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2,233</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2,233</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Servicing rights, net</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2,970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w:t>
            </w:r>
          </w:p>
        </w:tc>
      </w:tr>
    </w:tbl>
    <w:p>
      <w:pPr>
        <w:spacing w:after="0" w:line="200" w:lineRule="exact"/>
        <w:rPr>
          <w:sz w:val="20"/>
          <w:szCs w:val="20"/>
          <w:color w:val="auto"/>
        </w:rPr>
      </w:pPr>
    </w:p>
    <w:p>
      <w:pPr>
        <w:spacing w:after="0" w:line="2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presents quantitative information about significant unobservable inputs (Level 3) for assets measured at fair value on a nonrecurring basis at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Fair Value</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195"/>
        </w:trPr>
        <w:tc>
          <w:tcPr>
            <w:tcW w:w="4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8"/>
              </w:rPr>
              <w:t>December 31,</w:t>
            </w:r>
          </w:p>
        </w:tc>
        <w:tc>
          <w:tcPr>
            <w:tcW w:w="340" w:type="dxa"/>
            <w:vAlign w:val="bottom"/>
          </w:tcPr>
          <w:p>
            <w:pPr>
              <w:spacing w:after="0"/>
              <w:rPr>
                <w:sz w:val="16"/>
                <w:szCs w:val="16"/>
                <w:color w:val="auto"/>
              </w:rPr>
            </w:pPr>
          </w:p>
        </w:tc>
        <w:tc>
          <w:tcPr>
            <w:tcW w:w="1120" w:type="dxa"/>
            <w:vAlign w:val="bottom"/>
          </w:tcPr>
          <w:p>
            <w:pPr>
              <w:jc w:val="right"/>
              <w:ind w:right="330"/>
              <w:spacing w:after="0" w:line="195" w:lineRule="exact"/>
              <w:rPr>
                <w:sz w:val="20"/>
                <w:szCs w:val="20"/>
                <w:color w:val="auto"/>
              </w:rPr>
            </w:pPr>
            <w:r>
              <w:rPr>
                <w:rFonts w:ascii="Arial" w:cs="Arial" w:eastAsia="Arial" w:hAnsi="Arial"/>
                <w:sz w:val="18"/>
                <w:szCs w:val="18"/>
                <w:color w:val="auto"/>
                <w:w w:val="98"/>
              </w:rPr>
              <w:t>June 30,</w:t>
            </w:r>
          </w:p>
        </w:tc>
        <w:tc>
          <w:tcPr>
            <w:tcW w:w="12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230"/>
        </w:trPr>
        <w:tc>
          <w:tcPr>
            <w:tcW w:w="4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Valuation Technique</w:t>
            </w:r>
          </w:p>
        </w:tc>
      </w:tr>
      <w:tr>
        <w:trPr>
          <w:trHeight w:val="210"/>
        </w:trPr>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5"/>
          </w:tcPr>
          <w:p>
            <w:pPr>
              <w:jc w:val="right"/>
              <w:ind w:right="920"/>
              <w:spacing w:after="0"/>
              <w:rPr>
                <w:sz w:val="20"/>
                <w:szCs w:val="20"/>
                <w:color w:val="auto"/>
              </w:rPr>
            </w:pPr>
            <w:r>
              <w:rPr>
                <w:rFonts w:ascii="Arial" w:cs="Arial" w:eastAsia="Arial" w:hAnsi="Arial"/>
                <w:sz w:val="18"/>
                <w:szCs w:val="18"/>
                <w:color w:val="auto"/>
              </w:rPr>
              <w:t>(Dollars in thousands)</w:t>
            </w:r>
          </w:p>
        </w:tc>
        <w:tc>
          <w:tcPr>
            <w:tcW w:w="3400" w:type="dxa"/>
            <w:vAlign w:val="bottom"/>
          </w:tcPr>
          <w:p>
            <w:pPr>
              <w:spacing w:after="0"/>
              <w:rPr>
                <w:sz w:val="18"/>
                <w:szCs w:val="18"/>
                <w:color w:val="auto"/>
              </w:rPr>
            </w:pPr>
          </w:p>
        </w:tc>
      </w:tr>
      <w:tr>
        <w:trPr>
          <w:trHeight w:val="25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1,917</w:t>
            </w:r>
          </w:p>
        </w:tc>
        <w:tc>
          <w:tcPr>
            <w:tcW w:w="340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91"/>
              </w:rPr>
              <w:t>Appraisal of collateral</w:t>
            </w:r>
            <w:r>
              <w:rPr>
                <w:rFonts w:ascii="Arial" w:cs="Arial" w:eastAsia="Arial" w:hAnsi="Arial"/>
                <w:sz w:val="29"/>
                <w:szCs w:val="29"/>
                <w:color w:val="auto"/>
                <w:w w:val="91"/>
                <w:vertAlign w:val="superscript"/>
              </w:rPr>
              <w:t>(1)</w:t>
            </w: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1,463</w:t>
            </w:r>
          </w:p>
        </w:tc>
        <w:tc>
          <w:tcPr>
            <w:tcW w:w="34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2,223</w:t>
            </w:r>
          </w:p>
        </w:tc>
        <w:tc>
          <w:tcPr>
            <w:tcW w:w="3400" w:type="dxa"/>
            <w:vAlign w:val="bottom"/>
          </w:tcPr>
          <w:p>
            <w:pPr>
              <w:jc w:val="center"/>
              <w:spacing w:after="0" w:line="256" w:lineRule="exact"/>
              <w:rPr>
                <w:sz w:val="20"/>
                <w:szCs w:val="20"/>
                <w:color w:val="auto"/>
              </w:rPr>
            </w:pPr>
            <w:r>
              <w:rPr>
                <w:rFonts w:ascii="Arial" w:cs="Arial" w:eastAsia="Arial" w:hAnsi="Arial"/>
                <w:sz w:val="18"/>
                <w:szCs w:val="18"/>
                <w:color w:val="auto"/>
                <w:w w:val="91"/>
              </w:rPr>
              <w:t>Appraisal of collateral</w:t>
            </w:r>
            <w:r>
              <w:rPr>
                <w:rFonts w:ascii="Arial" w:cs="Arial" w:eastAsia="Arial" w:hAnsi="Arial"/>
                <w:sz w:val="29"/>
                <w:szCs w:val="29"/>
                <w:color w:val="auto"/>
                <w:w w:val="91"/>
                <w:vertAlign w:val="superscript"/>
              </w:rPr>
              <w:t>(1)</w:t>
            </w:r>
          </w:p>
        </w:tc>
      </w:tr>
      <w:tr>
        <w:trPr>
          <w:trHeight w:val="25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Servicing rights, net</w:t>
            </w:r>
          </w:p>
        </w:tc>
        <w:tc>
          <w:tcPr>
            <w:tcW w:w="5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2,934</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2,970</w:t>
            </w:r>
          </w:p>
        </w:tc>
        <w:tc>
          <w:tcPr>
            <w:tcW w:w="340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8"/>
              </w:rPr>
              <w:t>Discounted cash flow</w:t>
            </w:r>
            <w:r>
              <w:rPr>
                <w:rFonts w:ascii="Arial" w:cs="Arial" w:eastAsia="Arial" w:hAnsi="Arial"/>
                <w:sz w:val="29"/>
                <w:szCs w:val="29"/>
                <w:color w:val="auto"/>
                <w:w w:val="88"/>
                <w:vertAlign w:val="superscript"/>
              </w:rPr>
              <w:t>(2)</w:t>
            </w:r>
          </w:p>
        </w:tc>
      </w:tr>
    </w:tbl>
    <w:p>
      <w:pPr>
        <w:spacing w:after="0" w:line="202" w:lineRule="exact"/>
        <w:rPr>
          <w:sz w:val="20"/>
          <w:szCs w:val="20"/>
          <w:color w:val="auto"/>
        </w:rPr>
      </w:pPr>
    </w:p>
    <w:p>
      <w:pPr>
        <w:ind w:right="140" w:firstLine="8"/>
        <w:spacing w:after="0" w:line="271"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Fair value is generally determined through independent appraisals of the underlying collateral. The Company may also use another available source of collateral assessment to determine a reasonable estimate of the fair value of the collateral. Appraisals may be adjusted by management for qualitative factors such as economic factors and estimated liquidation expenses. The range of these possible adjustments was 0% to 100%.</w:t>
      </w:r>
    </w:p>
    <w:p>
      <w:pPr>
        <w:ind w:right="300" w:firstLine="8"/>
        <w:spacing w:after="0" w:line="261"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Fair value is determined using a discounted cash flow model. The unobservable inputs include anticipated rate of loan prepayments and discount rates. The range of prepayment assumptions used was 10.6% to 12.4%. For discount rates, the range was 8.8% to 17.7%.</w:t>
      </w:r>
    </w:p>
    <w:p>
      <w:pPr>
        <w:sectPr>
          <w:pgSz w:w="11900" w:h="16838" w:orient="portrait"/>
          <w:cols w:equalWidth="0" w:num="1">
            <w:col w:w="11420"/>
          </w:cols>
          <w:pgMar w:left="240" w:top="118" w:right="239" w:bottom="852"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852" w:gutter="0" w:footer="0" w:header="0"/>
          <w:type w:val="continuous"/>
        </w:sectPr>
      </w:pPr>
    </w:p>
    <w:bookmarkStart w:id="28" w:name="page29"/>
    <w:bookmarkEnd w:id="28"/>
    <w:p>
      <w:pPr>
        <w:spacing w:after="0" w:line="20"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table below summarizes the total gains (losses) on assets measured at fair value on a non-recurring basis for the three and six months ended December 31, 2018 and 2017.</w:t>
      </w:r>
    </w:p>
    <w:p>
      <w:pPr>
        <w:sectPr>
          <w:pgSz w:w="11900" w:h="16858" w:orient="portrait"/>
          <w:cols w:equalWidth="0" w:num="1">
            <w:col w:w="11360"/>
          </w:cols>
          <w:pgMar w:left="240" w:top="118"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Collateral dependent impaired loans</w:t>
      </w:r>
    </w:p>
    <w:p>
      <w:pPr>
        <w:spacing w:after="0" w:line="225" w:lineRule="exact"/>
        <w:rPr>
          <w:sz w:val="20"/>
          <w:szCs w:val="20"/>
          <w:color w:val="auto"/>
        </w:rPr>
      </w:pPr>
    </w:p>
    <w:p>
      <w:pPr>
        <w:ind w:right="280"/>
        <w:spacing w:after="0" w:line="281" w:lineRule="auto"/>
        <w:rPr>
          <w:sz w:val="20"/>
          <w:szCs w:val="20"/>
          <w:color w:val="auto"/>
        </w:rPr>
      </w:pPr>
      <w:r>
        <w:rPr>
          <w:rFonts w:ascii="Arial" w:cs="Arial" w:eastAsia="Arial" w:hAnsi="Arial"/>
          <w:sz w:val="18"/>
          <w:szCs w:val="18"/>
          <w:color w:val="auto"/>
        </w:rPr>
        <w:t>Real estate owned and other repossessed collateral Loan servicing rights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40" w:type="dxa"/>
            <w:vAlign w:val="bottom"/>
            <w:gridSpan w:val="7"/>
          </w:tcPr>
          <w:p>
            <w:pPr>
              <w:jc w:val="right"/>
              <w:ind w:right="120"/>
              <w:spacing w:after="0"/>
              <w:rPr>
                <w:sz w:val="20"/>
                <w:szCs w:val="20"/>
                <w:color w:val="auto"/>
              </w:rPr>
            </w:pPr>
            <w:r>
              <w:rPr>
                <w:rFonts w:ascii="Arial" w:cs="Arial" w:eastAsia="Arial" w:hAnsi="Arial"/>
                <w:sz w:val="18"/>
                <w:szCs w:val="18"/>
                <w:color w:val="auto"/>
                <w:w w:val="91"/>
              </w:rPr>
              <w:t>Three Months Ended December 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gridSpan w:val="6"/>
          </w:tcPr>
          <w:p>
            <w:pPr>
              <w:jc w:val="right"/>
              <w:ind w:right="180"/>
              <w:spacing w:after="0"/>
              <w:rPr>
                <w:sz w:val="20"/>
                <w:szCs w:val="20"/>
                <w:color w:val="auto"/>
              </w:rPr>
            </w:pPr>
            <w:r>
              <w:rPr>
                <w:rFonts w:ascii="Arial" w:cs="Arial" w:eastAsia="Arial" w:hAnsi="Arial"/>
                <w:sz w:val="18"/>
                <w:szCs w:val="18"/>
                <w:color w:val="auto"/>
                <w:w w:val="90"/>
              </w:rPr>
              <w:t>Six Months Ended December 31,</w:t>
            </w:r>
          </w:p>
        </w:tc>
      </w:tr>
      <w:tr>
        <w:trPr>
          <w:trHeight w:val="210"/>
        </w:trPr>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18"/>
                <w:szCs w:val="18"/>
                <w:color w:val="auto"/>
              </w:rPr>
            </w:pPr>
          </w:p>
        </w:tc>
      </w:tr>
      <w:tr>
        <w:trPr>
          <w:trHeight w:val="195"/>
        </w:trPr>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(In</w:t>
            </w:r>
          </w:p>
        </w:tc>
        <w:tc>
          <w:tcPr>
            <w:tcW w:w="1440" w:type="dxa"/>
            <w:vAlign w:val="bottom"/>
            <w:gridSpan w:val="4"/>
          </w:tcPr>
          <w:p>
            <w:pPr>
              <w:jc w:val="right"/>
              <w:ind w:right="770"/>
              <w:spacing w:after="0"/>
              <w:rPr>
                <w:sz w:val="20"/>
                <w:szCs w:val="20"/>
                <w:color w:val="auto"/>
              </w:rPr>
            </w:pPr>
            <w:r>
              <w:rPr>
                <w:rFonts w:ascii="Arial" w:cs="Arial" w:eastAsia="Arial" w:hAnsi="Arial"/>
                <w:sz w:val="16"/>
                <w:szCs w:val="16"/>
                <w:color w:val="auto"/>
                <w:w w:val="70"/>
              </w:rPr>
              <w:t>thousands)</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(22)</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(351)</w:t>
            </w:r>
          </w:p>
        </w:tc>
      </w:tr>
      <w:tr>
        <w:trPr>
          <w:trHeight w:val="418"/>
        </w:trPr>
        <w:tc>
          <w:tcPr>
            <w:tcW w:w="260" w:type="dxa"/>
            <w:vAlign w:val="bottom"/>
          </w:tcPr>
          <w:p>
            <w:pPr>
              <w:spacing w:after="0"/>
              <w:rPr>
                <w:sz w:val="24"/>
                <w:szCs w:val="24"/>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4"/>
                <w:szCs w:val="24"/>
                <w:color w:val="auto"/>
              </w:rPr>
            </w:pPr>
          </w:p>
        </w:tc>
      </w:tr>
      <w:tr>
        <w:trPr>
          <w:trHeight w:val="230"/>
        </w:trPr>
        <w:tc>
          <w:tcPr>
            <w:tcW w:w="260" w:type="dxa"/>
            <w:vAlign w:val="bottom"/>
          </w:tcPr>
          <w:p>
            <w:pPr>
              <w:spacing w:after="0"/>
              <w:rPr>
                <w:sz w:val="20"/>
                <w:szCs w:val="20"/>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r>
      <w:tr>
        <w:trPr>
          <w:trHeight w:val="210"/>
        </w:trPr>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7"/>
                <w:szCs w:val="17"/>
                <w:color w:val="auto"/>
                <w:w w:val="72"/>
              </w:rPr>
              <w:t>(78)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-719455</wp:posOffset>
            </wp:positionV>
            <wp:extent cx="651764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-445135</wp:posOffset>
            </wp:positionV>
            <wp:extent cx="651764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-162560</wp:posOffset>
            </wp:positionV>
            <wp:extent cx="651764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0" w:lineRule="exact"/>
        <w:rPr>
          <w:sz w:val="20"/>
          <w:szCs w:val="20"/>
          <w:color w:val="auto"/>
        </w:rPr>
      </w:pPr>
    </w:p>
    <w:p>
      <w:pPr>
        <w:sectPr>
          <w:pgSz w:w="11900" w:h="16858" w:orient="portrait"/>
          <w:cols w:equalWidth="0" w:num="2">
            <w:col w:w="3920" w:space="720"/>
            <w:col w:w="6720"/>
          </w:cols>
          <w:pgMar w:left="240" w:top="118" w:right="299"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fair value of the Company's financial instruments.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2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color w:val="auto"/>
              </w:rPr>
              <w:t>Fair Value Measurements at December 31, 2018</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6"/>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137,616</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137,616</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137,616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78,132</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78,132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3"/>
          </w:tcPr>
          <w:p>
            <w:pPr>
              <w:spacing w:after="0" w:line="256" w:lineRule="exact"/>
              <w:rPr>
                <w:sz w:val="20"/>
                <w:szCs w:val="20"/>
                <w:color w:val="auto"/>
              </w:rPr>
            </w:pPr>
            <w:r>
              <w:rPr>
                <w:rFonts w:ascii="Arial" w:cs="Arial" w:eastAsia="Arial" w:hAnsi="Arial"/>
                <w:sz w:val="18"/>
                <w:szCs w:val="18"/>
                <w:color w:val="auto"/>
                <w:w w:val="95"/>
              </w:rPr>
              <w:t>Equity investments measured at net asset value</w:t>
            </w:r>
            <w:r>
              <w:rPr>
                <w:rFonts w:ascii="Arial" w:cs="Arial" w:eastAsia="Arial" w:hAnsi="Arial"/>
                <w:sz w:val="29"/>
                <w:szCs w:val="29"/>
                <w:color w:val="auto"/>
                <w:w w:val="95"/>
                <w:vertAlign w:val="superscript"/>
              </w:rPr>
              <w:t>(1)</w:t>
            </w:r>
          </w:p>
        </w:tc>
        <w:tc>
          <w:tcPr>
            <w:tcW w:w="18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6,711</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6,711</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1,799</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932,978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930,578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2,987</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2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985,591</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984,047</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984,047</w:t>
            </w:r>
          </w:p>
        </w:tc>
        <w:tc>
          <w:tcPr>
            <w:tcW w:w="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466</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473</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24,128</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1,249</w:t>
            </w:r>
          </w:p>
        </w:tc>
        <w:tc>
          <w:tcPr>
            <w:tcW w:w="2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2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9"/>
          </w:tcPr>
          <w:p>
            <w:pPr>
              <w:jc w:val="right"/>
              <w:ind w:right="170"/>
              <w:spacing w:after="0"/>
              <w:rPr>
                <w:sz w:val="20"/>
                <w:szCs w:val="20"/>
                <w:color w:val="auto"/>
              </w:rPr>
            </w:pPr>
            <w:r>
              <w:rPr>
                <w:rFonts w:ascii="Arial" w:cs="Arial" w:eastAsia="Arial" w:hAnsi="Arial"/>
                <w:sz w:val="18"/>
                <w:szCs w:val="18"/>
                <w:color w:val="auto"/>
              </w:rPr>
              <w:t>Fair Value Measurements at June 30, 2018</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Level 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6"/>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157,402</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157,402</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157,402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81,068</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81,068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gridSpan w:val="3"/>
          </w:tcPr>
          <w:p>
            <w:pPr>
              <w:spacing w:after="0" w:line="256" w:lineRule="exact"/>
              <w:rPr>
                <w:sz w:val="20"/>
                <w:szCs w:val="20"/>
                <w:color w:val="auto"/>
              </w:rPr>
            </w:pPr>
            <w:r>
              <w:rPr>
                <w:rFonts w:ascii="Arial" w:cs="Arial" w:eastAsia="Arial" w:hAnsi="Arial"/>
                <w:sz w:val="18"/>
                <w:szCs w:val="18"/>
                <w:color w:val="auto"/>
                <w:w w:val="95"/>
              </w:rPr>
              <w:t>Equity investments measured at net asset value</w:t>
            </w:r>
            <w:r>
              <w:rPr>
                <w:rFonts w:ascii="Arial" w:cs="Arial" w:eastAsia="Arial" w:hAnsi="Arial"/>
                <w:sz w:val="29"/>
                <w:szCs w:val="29"/>
                <w:color w:val="auto"/>
                <w:w w:val="95"/>
                <w:vertAlign w:val="superscript"/>
              </w:rPr>
              <w:t>(1)</w:t>
            </w: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6,619</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6,619</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7,155</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866,995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2,528</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00" w:type="dxa"/>
            <w:vAlign w:val="bottom"/>
            <w:gridSpan w:val="3"/>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954,940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953,216</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Federal Home Loan Bank advances</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Subordinated debt</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23,958</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668</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540" w:hanging="328"/>
        <w:spacing w:after="0" w:line="209" w:lineRule="auto"/>
        <w:tabs>
          <w:tab w:leader="none" w:pos="660" w:val="left"/>
        </w:tabs>
        <w:numPr>
          <w:ilvl w:val="1"/>
          <w:numId w:val="15"/>
        </w:numPr>
        <w:rPr>
          <w:rFonts w:ascii="Arial" w:cs="Arial" w:eastAsia="Arial" w:hAnsi="Arial"/>
          <w:sz w:val="30"/>
          <w:szCs w:val="30"/>
          <w:color w:val="auto"/>
          <w:vertAlign w:val="superscript"/>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are intended to permit reconciliation of the fair value amount to the consolidated financial statements.</w:t>
      </w:r>
    </w:p>
    <w:p>
      <w:pPr>
        <w:spacing w:after="0" w:line="200" w:lineRule="exact"/>
        <w:rPr>
          <w:rFonts w:ascii="Arial" w:cs="Arial" w:eastAsia="Arial" w:hAnsi="Arial"/>
          <w:sz w:val="30"/>
          <w:szCs w:val="30"/>
          <w:color w:val="auto"/>
          <w:vertAlign w:val="superscript"/>
        </w:rPr>
      </w:pPr>
    </w:p>
    <w:p>
      <w:pPr>
        <w:spacing w:after="0" w:line="200" w:lineRule="exact"/>
        <w:rPr>
          <w:rFonts w:ascii="Arial" w:cs="Arial" w:eastAsia="Arial" w:hAnsi="Arial"/>
          <w:sz w:val="30"/>
          <w:szCs w:val="30"/>
          <w:color w:val="auto"/>
          <w:vertAlign w:val="superscript"/>
        </w:rPr>
      </w:pPr>
    </w:p>
    <w:p>
      <w:pPr>
        <w:spacing w:after="0" w:line="258" w:lineRule="exact"/>
        <w:rPr>
          <w:rFonts w:ascii="Arial" w:cs="Arial" w:eastAsia="Arial" w:hAnsi="Arial"/>
          <w:sz w:val="30"/>
          <w:szCs w:val="30"/>
          <w:color w:val="auto"/>
          <w:vertAlign w:val="superscript"/>
        </w:rPr>
      </w:pPr>
    </w:p>
    <w:p>
      <w:pPr>
        <w:ind w:left="280" w:hanging="272"/>
        <w:spacing w:after="0"/>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7, 2019 the Company entered into an Agreement and Plan of Merger (the “Plan of Merger”) with its wholly-owned bank subsidiary, Northeast Bank (the “Bank”). Under the terms of the Plan of Merger, the Company will merge with and into the Bank (the “Reorganization”), with the Bank continuing as the surviving entity. If the proposed Reorganization is approved and effected, the bank holding company structure will be eliminated and the Bank will become the top-level company.</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effective time of the Reorganization, each outstanding share of voting and non-voting common stock of the Company, par value $1.00 per share, respectively, will be canceled and converted into the right to receive one share of voting and non-voting common stock, respectively, of the Bank. As a result, the shares of the Bank’s common stock are expected to be owned directly by the Company’s shareholders in the same proportion as their ownership of the Company’s common stock immediately prior to the Reorganization.</w:t>
      </w:r>
    </w:p>
    <w:p>
      <w:pPr>
        <w:sectPr>
          <w:pgSz w:w="11900" w:h="16858" w:orient="portrait"/>
          <w:cols w:equalWidth="0" w:num="1">
            <w:col w:w="11360"/>
          </w:cols>
          <w:pgMar w:left="240" w:top="118" w:right="299" w:bottom="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Following the Reorganization, it is expected that the surviving entity, the Bank, will be a publicly-traded company listed on the NASDAQ Global Market under the same ticker symbol currently used by the Company, “NBN.” It is also expected that the Bank’s common stock will be registered under the Securities Exchange Act of 1934 (the “Exchange Act”), which vests the Federal Deposit Insurance Corporation (the “FDIC”) with the power to administer and enforce certain sections of the Exchange Act applicable to banks. Following the Reorganization, the Bank will file periodic and current reports and other materials required by the Exchange Act with the FDIC, and the Company will no longer file these reports and materials with the SEC.</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Bank will have the same board of directors following the Reorganization as the Company had immediately prior to the Reorganization, and the executive officers of the Company will hold the same positions and titles.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Reorganization has been approved by the boards of directors of the Company and the Bank. The Company will initiate the filings and other actions required in connection with the Reorganization, including filing a proxy statement and other proxy materials with the SEC and convening a special meeting of its shareholders to consider and vote upon the Plan of Merger. In addition to shareholder approval, the Reorganization will be subject to various closing conditions, including, among others, the receipt of all required regulatory approvals, including the approval of the Maine Bureau of Financial Institutions and the FDIC.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notes and tables included in Northeast Bancorp’s Annual Report on Form 10-K for the fiscal year ended June 30, 2018,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 Looking Statements</w:t>
      </w: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This report contains certain “forward-looking statements” within the meaning of Section 27A of the Securities Act of 1933, as amended and Section 21E of the Securities Exchange Act of 1934, as amended, such as statements relating to Northeast Bancorp’s financial condition, prospective results of operations, future performance or expectations, plans, objectives, prospects, loan loss allowance adequacy, simulation of changes in interest rates, capital spending and finance sources and revenue sources. These statements relate to expectations concerning matters that are not historical facts. Accordingly, statements that are based on management’s projections, estimates, assumptions, and judgments constitute forward-looking statements. These forward-looking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changes in interest rates and real estate values; competitive pressures from other financial institutions; weakness in general economic conditions on a national basis or in the local markets in which the Company operates, including changes which adversely affect borrowers’ ability to service and repay the Company’s loans; changes in loan defaults and charge-off rates; changes in the value of securities and other assets, adequacy of loan loss reserves, or deposit levels necessitating increased borrowing to fund loans and investments; changes in government regulation; operational risks including, but not limited to, cybersecurity breaches, fraud and natural disasters; the risk that the Company may not be successful in the execution of its business strategy; the risk that intangibles recorded in the Company’s financial statements will become impaired; the ability of the Company and the Bank to satisfy the conditions to the completion of the Reorganization; the ability of the Company and the Bank to meet expectations regarding the timing, completion and accounting and tax treatments of the Reorganization; the possibility that any of the anticipated benefits of the Reorganization will not be realized or will not be realized as expected; the failure of the Reorganization to close for any reason; the possibility that the Reorganization may be more expensive to complete than anticipated, including as a result of unexpected factors or events; changes in assumptions used in making such forward-looking statements; and the other risks and uncertainties detailed in the Company’s Annual Report on Form 10-K for the fiscal year ended June 30, 2018 as updated in the Company’s Quarterly Reports on Form 10-Q and other filings submitted to the SEC. These forward-looking statements speak only as of the date of this report and the Company does not undertake any obligation to update or revise any of these forward-looking statements to reflect events or circumstances occurring after the date of this report or to reflect the occurrence of unanticipated events.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Overview</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Northeast Bancorp (“we,” “our,” “us,” “Northeast” or the “Company”), incorporated under Maine law in 1987, is a bank holding company registered with the Board of Governors of the Federal Reserve System (the “Federal Reserve”). As a bank holding company registered under the Bank Holding Company Act of 1956, as amended, the Company is subject to regulation and supervision by the Federal Reserve. The Company’s primary subsidiary and principal asset is its wholly-owned banking subsidiary, Northeast Bank (the “Bank” or “Northeast Bank”), a Maine state-chartered bank originally organized in 1872. As a Federal Deposit Insurance Corporation (“FDIC”) insured Maine-chartered bank, the Bank is subject to regulation and supervision by the Maine Bureau of Financial Institutions and the FDIC.</w:t>
      </w:r>
    </w:p>
    <w:p>
      <w:pPr>
        <w:spacing w:after="0" w:line="19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to the merger, which represents an acquisition by FHB of Northeast, with Northeast as the surviving company.</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connection with the transaction,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On June 28, 2013, the Federal Reserve approved the amendment to exclude owner-occupied commercial real estate loans from the commitment to hold commercial real estate loans to within 300% of total risk-based capital. The Company and the Bank are currently in compliance with all commitments to the Federal Reserve. The Company’s compliance ratios at December 31, 2018 follow:</w:t>
      </w:r>
    </w:p>
    <w:p>
      <w:pPr>
        <w:sectPr>
          <w:pgSz w:w="11900" w:h="16838" w:orient="portrait"/>
          <w:cols w:equalWidth="0" w:num="1">
            <w:col w:w="11420"/>
          </w:cols>
          <w:pgMar w:left="240" w:top="118" w:right="2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Condition</w:t>
            </w:r>
          </w:p>
        </w:tc>
        <w:tc>
          <w:tcPr>
            <w:tcW w:w="100" w:type="dxa"/>
            <w:vAlign w:val="bottom"/>
          </w:tcPr>
          <w:p>
            <w:pPr>
              <w:spacing w:after="0"/>
              <w:rPr>
                <w:sz w:val="20"/>
                <w:szCs w:val="20"/>
                <w:color w:val="auto"/>
              </w:rPr>
            </w:pPr>
          </w:p>
        </w:tc>
        <w:tc>
          <w:tcPr>
            <w:tcW w:w="266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Ratios as of December 31, 2018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 Tier 1 leverage capital ratio</w:t>
            </w:r>
          </w:p>
        </w:tc>
        <w:tc>
          <w:tcPr>
            <w:tcW w:w="10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(ii) Total capital ratio</w:t>
            </w:r>
          </w:p>
        </w:tc>
        <w:tc>
          <w:tcPr>
            <w:tcW w:w="2760" w:type="dxa"/>
            <w:vAlign w:val="bottom"/>
            <w:gridSpan w:val="3"/>
          </w:tcPr>
          <w:p>
            <w:pPr>
              <w:jc w:val="right"/>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(iii) Ratio of purchased loans to total loans, including loans held for sale</w:t>
            </w:r>
          </w:p>
        </w:tc>
        <w:tc>
          <w:tcPr>
            <w:tcW w:w="2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(iv) Ratio of loans to core deposits (1)</w:t>
            </w:r>
          </w:p>
        </w:tc>
        <w:tc>
          <w:tcPr>
            <w:tcW w:w="2760" w:type="dxa"/>
            <w:vAlign w:val="bottom"/>
            <w:gridSpan w:val="3"/>
          </w:tcPr>
          <w:p>
            <w:pPr>
              <w:jc w:val="right"/>
              <w:spacing w:after="0"/>
              <w:rPr>
                <w:sz w:val="20"/>
                <w:szCs w:val="20"/>
                <w:color w:val="auto"/>
              </w:rPr>
            </w:pPr>
            <w:r>
              <w:rPr>
                <w:rFonts w:ascii="Arial" w:cs="Arial" w:eastAsia="Arial" w:hAnsi="Arial"/>
                <w:sz w:val="18"/>
                <w:szCs w:val="18"/>
                <w:color w:val="auto"/>
              </w:rPr>
              <w:t>94.84%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(v) Ratio of non-owner occupied commercial real estate loans to total capital (2)</w:t>
            </w:r>
          </w:p>
        </w:tc>
        <w:tc>
          <w:tcPr>
            <w:tcW w:w="2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242.38%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Core deposits include all non-maturity deposits and non-brokered insured time deposits.</w:t>
      </w:r>
    </w:p>
    <w:p>
      <w:pPr>
        <w:spacing w:after="0" w:line="23" w:lineRule="exact"/>
        <w:rPr>
          <w:rFonts w:ascii="Arial" w:cs="Arial" w:eastAsia="Arial" w:hAnsi="Arial"/>
          <w:sz w:val="18"/>
          <w:szCs w:val="18"/>
          <w:color w:val="auto"/>
        </w:rPr>
      </w:pPr>
    </w:p>
    <w:p>
      <w:pPr>
        <w:ind w:right="160" w:firstLine="8"/>
        <w:spacing w:after="0" w:line="261"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purposes of calculating this ratio, commercial real estate includes all non-owner occupied commercial real estate loans defined as such by regulatory guidance, including all land development and construction loans.</w:t>
      </w:r>
    </w:p>
    <w:p>
      <w:pPr>
        <w:spacing w:after="0" w:line="18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January 7, 2019, the Company announced the Reorganization, pursuant to which its bank holding company structure would be eliminated and the Bank would become the top-level company. If the Reorganization is completed, these commitments to the Federal Reserve will no longer be applicable. The Bank intends to replace these commitments with standards relating to its capital levels and asset portfolio composition, which will be incorporated into its policies and procedures. These newly established standards are designed to help ensure the Bank will continue to operate in a safe and sound manner, but may permit more growth in the Bank’s loan portfolio as compared to operating under the existing commitments.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Reorganization, the Bank intends to incorporate the following standards into its policies and procedures:</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a Tier 1 leverage ratio of at least 10%, which is unchanged from the requirement in the commitments to the FRB;</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a Total capital ratio of at least 13.5% (as opposed to 15%);</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purchased loans to 60% of total loans (as opposed to 40%);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a ratio of the Bank’s loans to core deposits of not more than 125% (as opposed to 100%).</w:t>
      </w:r>
    </w:p>
    <w:p>
      <w:pPr>
        <w:spacing w:after="0" w:line="25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 requirement to hold non-owner occupied commercial real estate loans to within 300% of total capital will not formally be incorporated into the Bank’s risk management policies. The Bank nonetheless would continue to be evaluated by the FDIC through the supervisory process under the 300% “screen” used by the federal banking agencies to identify institutions that are potentially exposed to commercial real estate concentration risk.</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of December 31, 2018, the Company, on a consolidated basis, had total assets of $1.2 billion, total deposits of $985.6 million, and shareholders’ equity of $148.5 million. The Company gathers retail deposits through its banking offices in Maine and the Bank's online affinity deposit program, ableBanking; originates loans through the Bank’s Community Banking Division; originates SBA and United States Department of Agriculture loans through the Bank’s SBA Division; and purchases and originates commercial loans through the Bank’s LASG. The Community Banking Division, with ten full-service branches, operates from the Bank’s headquarters in Lewiston, Maine. LASG, ableBanking, and the SBA Division operate from the Company's offices in Boston, Massachusetts.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references herein to the Company include the Company and its subsidiary on a consolidated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goal is to prudently grow its franchise, while maintaining sound operations and risk management, by means of the following strategies:</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Continuing to grow the LASG’s national originated and purchased loan business. </w:t>
      </w:r>
      <w:r>
        <w:rPr>
          <w:rFonts w:ascii="Arial" w:cs="Arial" w:eastAsia="Arial" w:hAnsi="Arial"/>
          <w:sz w:val="18"/>
          <w:szCs w:val="18"/>
          <w:color w:val="auto"/>
        </w:rPr>
        <w:t>We purchase commercial real estate loans nationally, at prices that on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have produced yields significantly higher than those available on our originated loan portfolio. We also originate loans nationally, taking advantage of our core expertise in underwriting and servicing national credits.</w:t>
      </w:r>
    </w:p>
    <w:p>
      <w:pPr>
        <w:spacing w:after="0" w:line="181"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i w:val="1"/>
          <w:iCs w:val="1"/>
          <w:color w:val="auto"/>
        </w:rPr>
        <w:t xml:space="preserve">Growing our national SBA origination business. </w:t>
      </w:r>
      <w:r>
        <w:rPr>
          <w:rFonts w:ascii="Arial" w:cs="Arial" w:eastAsia="Arial" w:hAnsi="Arial"/>
          <w:sz w:val="18"/>
          <w:szCs w:val="18"/>
          <w:color w:val="auto"/>
        </w:rPr>
        <w:t>We originate loans on a national basis to small businesses, primarily through the Small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(“SBA”) 7(a) program, which provides the partial guarantee of the SBA.</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 xml:space="preserve">Continuing our community banking tradition. </w:t>
      </w:r>
      <w:r>
        <w:rPr>
          <w:rFonts w:ascii="Arial" w:cs="Arial" w:eastAsia="Arial" w:hAnsi="Arial"/>
          <w:sz w:val="17"/>
          <w:szCs w:val="17"/>
          <w:color w:val="auto"/>
        </w:rPr>
        <w:t>With a history that dates to 1872, our Community Banking Division maintains its focus on sales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goal of attracting and retaining deposits, and serving the lending needs of retail and commercial customers within our core markets.</w:t>
      </w:r>
    </w:p>
    <w:p>
      <w:pPr>
        <w:spacing w:after="0" w:line="14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i w:val="1"/>
          <w:iCs w:val="1"/>
          <w:color w:val="auto"/>
        </w:rPr>
        <w:t xml:space="preserve">Generating deposits to fund our business. </w:t>
      </w:r>
      <w:r>
        <w:rPr>
          <w:rFonts w:ascii="Arial" w:cs="Arial" w:eastAsia="Arial" w:hAnsi="Arial"/>
          <w:sz w:val="16"/>
          <w:szCs w:val="16"/>
          <w:color w:val="auto"/>
        </w:rPr>
        <w:t>We offer a full line of deposit products through our ten-branch network located in the Community Banking</w:t>
      </w:r>
      <w:r>
        <w:rPr>
          <w:rFonts w:ascii="Arial" w:cs="Arial" w:eastAsia="Arial" w:hAnsi="Arial"/>
          <w:sz w:val="16"/>
          <w:szCs w:val="16"/>
          <w:i w:val="1"/>
          <w:iCs w:val="1"/>
          <w:color w:val="auto"/>
        </w:rPr>
        <w:t xml:space="preserve"> </w:t>
      </w:r>
      <w:r>
        <w:rPr>
          <w:rFonts w:ascii="Arial" w:cs="Arial" w:eastAsia="Arial" w:hAnsi="Arial"/>
          <w:sz w:val="16"/>
          <w:szCs w:val="16"/>
          <w:color w:val="auto"/>
        </w:rPr>
        <w:t>Division’s market. ableBanking is a direct savings platform providing an additional channel to raise core deposits to fund our asset strategy.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Critical accounting policies are those that involve significant judgments and assessments by management, and which could potentially result in materially different results under different assumptions and conditions. The reader is encouraged to review each of the policies included in Form 10-K for the year ended June 30, 2018 to gain a better understanding of how Northeast’s financial performance is measured and reported. There has been no material change in critical accounting policies during the three and six months ended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income increased by $1.8 million to $5.1 million for the quarter ended December 31, 2018, compared to net income of $3.3 million for the quarter ended December 31, 2017.</w:t>
      </w:r>
    </w:p>
    <w:p>
      <w:pPr>
        <w:spacing w:after="0" w:line="170"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Net interest and dividend income before provision for loan losses increased by $3.2 million to $15.6 million for the quarter ended December 31, 2018, compared to $12.4 million the quarter ended December 31, 2017. The increase was primarily due to higher average balances in the loan portfolio. These increases were partially offset by higher funding costs and higher average deposit balances.</w:t>
      </w:r>
    </w:p>
    <w:p>
      <w:pPr>
        <w:jc w:val="both"/>
        <w:ind w:right="20"/>
        <w:spacing w:after="0" w:line="277" w:lineRule="auto"/>
        <w:rPr>
          <w:sz w:val="20"/>
          <w:szCs w:val="20"/>
          <w:color w:val="auto"/>
        </w:rPr>
      </w:pPr>
      <w:r>
        <w:rPr>
          <w:rFonts w:ascii="Arial" w:cs="Arial" w:eastAsia="Arial" w:hAnsi="Arial"/>
          <w:sz w:val="17"/>
          <w:szCs w:val="17"/>
          <w:color w:val="auto"/>
        </w:rPr>
        <w:t>Noninterest income increased by $317 thousand for the quarter ended December 31, 2018, compared to the quarter ended December 31, 2017, principally due to an increase in gain on sale of SBA loans of $601 thousand, due to larger guarantee balances sold in the quarter; partially offset by a decrease in gain on sale of residential loans of $151 thousand and a decrease in fees for other services to customers of $135 thousand.</w:t>
      </w:r>
    </w:p>
    <w:p>
      <w:pPr>
        <w:spacing w:after="0" w:line="17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Noninterest expense increased by $1.3 million for the quarter ended December 31, 2018 compared to the quarter ended December 31, 2017, primarily due to the following:</w:t>
      </w:r>
    </w:p>
    <w:p>
      <w:pPr>
        <w:spacing w:after="0" w:line="1" w:lineRule="exact"/>
        <w:rPr>
          <w:sz w:val="20"/>
          <w:szCs w:val="20"/>
          <w:color w:val="auto"/>
        </w:rPr>
      </w:pPr>
    </w:p>
    <w:p>
      <w:pPr>
        <w:ind w:left="980" w:right="2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salaries and employee benefits expense of $526 thousand, primarily due to increases in base salary, stock-based compensation expense, incentive compensation, and a decrease in deferred salaries expense;</w:t>
      </w:r>
    </w:p>
    <w:p>
      <w:pPr>
        <w:ind w:left="980" w:right="62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other noninterest expense of $292 thousand, primarily due to a $141 thousand increase in expense related to the quarterly valuation of SBA servicing rights, and increases in travel expense and employee recruitment expense;</w:t>
      </w:r>
    </w:p>
    <w:p>
      <w:pPr>
        <w:ind w:left="980" w:right="22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professional fees of $231 thousand, primarily due to increased legal expense related to the Reorganization and other consulting costs; and</w:t>
      </w:r>
    </w:p>
    <w:p>
      <w:pPr>
        <w:ind w:left="980" w:right="380" w:hanging="324"/>
        <w:spacing w:after="0" w:line="261"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loan acquisition and collection expense of $217 thousand, largely driven by increased loan expenses and collection expenses incurred on the increased SBA and purchased loan activity during the quarter.</w:t>
      </w:r>
    </w:p>
    <w:p>
      <w:pPr>
        <w:spacing w:after="0" w:line="1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Income tax expense increased by $678 thousand to $2.1 million, or an effective tax rate of 28.7%, for the quarter ended December 31, 2018, compared to $1.4 million, or an effective tax rate of 29.5%, for the quarter ended December 31, 2017. The increase in expense was primarily due to the increase in earnings. The decrease in effective tax rate was primarily due to the following:</w:t>
      </w:r>
    </w:p>
    <w:p>
      <w:pPr>
        <w:ind w:left="980" w:right="34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new federal corporate income tax rate of 21.0% for the quarter ended December 31, 2018, as compared to the blended federal corporate income tax rate of 28.0% for the quarter ended December 31, 2017; and</w:t>
      </w:r>
    </w:p>
    <w:p>
      <w:pPr>
        <w:ind w:left="980" w:right="34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$498 thousand revaluation of the deferred tax asset as a result of the Tax Cuts and Jobs Act recorded in the quarter ended December 31, 2017; partially offset by,</w:t>
      </w:r>
    </w:p>
    <w:p>
      <w:pPr>
        <w:ind w:left="980" w:right="40" w:hanging="324"/>
        <w:spacing w:after="0" w:line="277"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A decrease in the income tax benefit recognized of $275 thousand arising from the treatment of vested restricted stock awards under ASU 2016-09, </w:t>
      </w:r>
      <w:r>
        <w:rPr>
          <w:rFonts w:ascii="Arial" w:cs="Arial" w:eastAsia="Arial" w:hAnsi="Arial"/>
          <w:sz w:val="17"/>
          <w:szCs w:val="17"/>
          <w:i w:val="1"/>
          <w:iCs w:val="1"/>
          <w:color w:val="auto"/>
        </w:rPr>
        <w:t>Compensation–Stock Compensation (Topic 718): Improvements to Employee Share-Based Payment Accounting</w:t>
      </w:r>
      <w:r>
        <w:rPr>
          <w:rFonts w:ascii="Arial" w:cs="Arial" w:eastAsia="Arial" w:hAnsi="Arial"/>
          <w:sz w:val="17"/>
          <w:szCs w:val="17"/>
          <w:color w:val="auto"/>
        </w:rPr>
        <w:t>, whereby the tax effects of vested awards or exercised options are treated as a discrete item in the reporting period in which they occur.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December 31, 2018, total assets were $1.2 billion, an increase of $36.4 million, or 3.1%, from total assets of $1.2 billion as of June 30, 2018. The principal components of the changes in the balance sheet follow:</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table highlights the changes in the loan portfolio for the three and six months ended December 31,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8"/>
                <w:szCs w:val="18"/>
                <w:color w:val="auto"/>
                <w:w w:val="91"/>
              </w:rPr>
              <w:t>Loan Portfolio Changes</w:t>
            </w:r>
          </w:p>
        </w:tc>
        <w:tc>
          <w:tcPr>
            <w:tcW w:w="1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3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8"/>
                <w:szCs w:val="18"/>
                <w:color w:val="auto"/>
                <w:w w:val="89"/>
              </w:rPr>
              <w:t>Three Months Ended December 31, 2018</w:t>
            </w: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5"/>
        </w:trPr>
        <w:tc>
          <w:tcPr>
            <w:tcW w:w="3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0"/>
              </w:rPr>
              <w:t>December 31,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50"/>
              <w:spacing w:after="0" w:line="195" w:lineRule="exact"/>
              <w:rPr>
                <w:sz w:val="20"/>
                <w:szCs w:val="20"/>
                <w:color w:val="auto"/>
              </w:rPr>
            </w:pPr>
            <w:r>
              <w:rPr>
                <w:rFonts w:ascii="Arial" w:cs="Arial" w:eastAsia="Arial" w:hAnsi="Arial"/>
                <w:sz w:val="18"/>
                <w:szCs w:val="18"/>
                <w:color w:val="auto"/>
                <w:w w:val="88"/>
              </w:rPr>
              <w:t>September 30,</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3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Balance</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1"/>
              </w:rPr>
              <w:t>Change ($)</w:t>
            </w:r>
          </w:p>
        </w:tc>
        <w:tc>
          <w:tcPr>
            <w:tcW w:w="220" w:type="dxa"/>
            <w:vAlign w:val="bottom"/>
          </w:tcPr>
          <w:p>
            <w:pPr>
              <w:spacing w:after="0"/>
              <w:rPr>
                <w:sz w:val="20"/>
                <w:szCs w:val="20"/>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Change (%)</w:t>
            </w:r>
          </w:p>
        </w:tc>
        <w:tc>
          <w:tcPr>
            <w:tcW w:w="220" w:type="dxa"/>
            <w:vAlign w:val="bottom"/>
          </w:tcPr>
          <w:p>
            <w:pPr>
              <w:spacing w:after="0"/>
              <w:rPr>
                <w:sz w:val="20"/>
                <w:szCs w:val="20"/>
                <w:color w:val="auto"/>
              </w:rPr>
            </w:pPr>
          </w:p>
        </w:tc>
      </w:tr>
      <w:tr>
        <w:trPr>
          <w:trHeight w:val="210"/>
        </w:trPr>
        <w:tc>
          <w:tcPr>
            <w:tcW w:w="3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(Dollars in</w:t>
            </w:r>
          </w:p>
        </w:tc>
        <w:tc>
          <w:tcPr>
            <w:tcW w:w="1400" w:type="dxa"/>
            <w:vAlign w:val="bottom"/>
            <w:gridSpan w:val="3"/>
          </w:tcPr>
          <w:p>
            <w:pPr>
              <w:jc w:val="right"/>
              <w:ind w:right="630"/>
              <w:spacing w:after="0"/>
              <w:rPr>
                <w:sz w:val="20"/>
                <w:szCs w:val="20"/>
                <w:color w:val="auto"/>
              </w:rPr>
            </w:pPr>
            <w:r>
              <w:rPr>
                <w:rFonts w:ascii="Arial" w:cs="Arial" w:eastAsia="Arial" w:hAnsi="Arial"/>
                <w:sz w:val="18"/>
                <w:szCs w:val="18"/>
                <w:color w:val="auto"/>
                <w:w w:val="74"/>
              </w:rPr>
              <w:t>thousands)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LASG Purchased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330,643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300,548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30,095</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10.01%</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LASG Originated</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435,817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407,822</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27,995</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6.86%</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67,212</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Community Banking</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104,544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111,614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(7,070)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(6.33%)</w:t>
            </w:r>
          </w:p>
        </w:tc>
      </w:tr>
      <w:tr>
        <w:trPr>
          <w:trHeight w:val="20"/>
        </w:trPr>
        <w:tc>
          <w:tcPr>
            <w:tcW w:w="3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938,286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887,196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51,090</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5.76%</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440"/>
        </w:trPr>
        <w:tc>
          <w:tcPr>
            <w:tcW w:w="3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8"/>
                <w:szCs w:val="18"/>
                <w:color w:val="auto"/>
                <w:w w:val="90"/>
              </w:rPr>
              <w:t>Six Months Ended December 31, 2018</w:t>
            </w:r>
          </w:p>
        </w:tc>
        <w:tc>
          <w:tcPr>
            <w:tcW w:w="1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5"/>
        </w:trPr>
        <w:tc>
          <w:tcPr>
            <w:tcW w:w="3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0"/>
              </w:rPr>
              <w:t>December 31,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70"/>
              <w:spacing w:after="0"/>
              <w:rPr>
                <w:sz w:val="20"/>
                <w:szCs w:val="20"/>
                <w:color w:val="auto"/>
              </w:rPr>
            </w:pPr>
            <w:r>
              <w:rPr>
                <w:rFonts w:ascii="Arial" w:cs="Arial" w:eastAsia="Arial" w:hAnsi="Arial"/>
                <w:sz w:val="18"/>
                <w:szCs w:val="18"/>
                <w:color w:val="auto"/>
                <w:w w:val="89"/>
              </w:rPr>
              <w:t>June 30, 2018</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3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Balance</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1"/>
              </w:rPr>
              <w:t>Change ($)</w:t>
            </w:r>
          </w:p>
        </w:tc>
        <w:tc>
          <w:tcPr>
            <w:tcW w:w="220" w:type="dxa"/>
            <w:vAlign w:val="bottom"/>
          </w:tcPr>
          <w:p>
            <w:pPr>
              <w:spacing w:after="0"/>
              <w:rPr>
                <w:sz w:val="20"/>
                <w:szCs w:val="20"/>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Change (%)</w:t>
            </w:r>
          </w:p>
        </w:tc>
        <w:tc>
          <w:tcPr>
            <w:tcW w:w="220" w:type="dxa"/>
            <w:vAlign w:val="bottom"/>
          </w:tcPr>
          <w:p>
            <w:pPr>
              <w:spacing w:after="0"/>
              <w:rPr>
                <w:sz w:val="20"/>
                <w:szCs w:val="20"/>
                <w:color w:val="auto"/>
              </w:rPr>
            </w:pPr>
          </w:p>
        </w:tc>
      </w:tr>
      <w:tr>
        <w:trPr>
          <w:trHeight w:val="210"/>
        </w:trPr>
        <w:tc>
          <w:tcPr>
            <w:tcW w:w="3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(Dollars in</w:t>
            </w:r>
          </w:p>
        </w:tc>
        <w:tc>
          <w:tcPr>
            <w:tcW w:w="1400" w:type="dxa"/>
            <w:vAlign w:val="bottom"/>
            <w:gridSpan w:val="3"/>
          </w:tcPr>
          <w:p>
            <w:pPr>
              <w:jc w:val="right"/>
              <w:ind w:right="630"/>
              <w:spacing w:after="0"/>
              <w:rPr>
                <w:sz w:val="20"/>
                <w:szCs w:val="20"/>
                <w:color w:val="auto"/>
              </w:rPr>
            </w:pPr>
            <w:r>
              <w:rPr>
                <w:rFonts w:ascii="Arial" w:cs="Arial" w:eastAsia="Arial" w:hAnsi="Arial"/>
                <w:sz w:val="18"/>
                <w:szCs w:val="18"/>
                <w:color w:val="auto"/>
                <w:w w:val="74"/>
              </w:rPr>
              <w:t>thousands)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LASG Purchased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330,643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290,972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39,671</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13.63%</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LASG Originated</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435,817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397,363</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38,454</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9.68%</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60,156</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11.85%</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Community Banking</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104,544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123,311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(18,767)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(15.22%)</w:t>
            </w:r>
          </w:p>
        </w:tc>
      </w:tr>
      <w:tr>
        <w:trPr>
          <w:trHeight w:val="20"/>
        </w:trPr>
        <w:tc>
          <w:tcPr>
            <w:tcW w:w="3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938,286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871,802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66,484</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7.63%</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Loans generated by the Bank's LASG for the quarter ended December 31, 2018 totaled $113.5 million, which consisted of $49.4 million of purchased loans,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at an average price of 93.7% of unpaid principal balance, and $64.1 million of originated loans. The Bank's SBA Division closed $13.8 million and funded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$13.1 million of new loans during the quarter ended December 31, 2018. In addition, the Company sold $12.8 million of the guaranteed portion of SBA loans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secondary market, of which $7.6 million were originated in the current quarter and $5.2 million were originated in prior quarters. Residential loan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production sold in the secondary market totaled $7.7 million for the quarter ended December 31, 2018.</w:t>
      </w:r>
    </w:p>
    <w:p>
      <w:pPr>
        <w:spacing w:after="0" w:line="21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As noted above in the “</w:t>
      </w:r>
      <w:r>
        <w:rPr>
          <w:rFonts w:ascii="Arial" w:cs="Arial" w:eastAsia="Arial" w:hAnsi="Arial"/>
          <w:sz w:val="16"/>
          <w:szCs w:val="16"/>
          <w:i w:val="1"/>
          <w:iCs w:val="1"/>
          <w:color w:val="auto"/>
        </w:rPr>
        <w:t>Business Overview</w:t>
      </w:r>
      <w:r>
        <w:rPr>
          <w:rFonts w:ascii="Arial" w:cs="Arial" w:eastAsia="Arial" w:hAnsi="Arial"/>
          <w:sz w:val="16"/>
          <w:szCs w:val="16"/>
          <w:color w:val="auto"/>
        </w:rPr>
        <w:t>” section, the Company made certain commitments to the Federal Reserve in connection with the merger of FHB with and into the Company in December 2010. The Company’s loan purchase and commercial real estate loan availability under these conditions follow: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Basis for Regulatory Condition</w:t>
            </w:r>
          </w:p>
        </w:tc>
        <w:tc>
          <w:tcPr>
            <w:tcW w:w="2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Condition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2"/>
          </w:tcPr>
          <w:p>
            <w:pPr>
              <w:ind w:left="80"/>
              <w:spacing w:after="0"/>
              <w:rPr>
                <w:sz w:val="20"/>
                <w:szCs w:val="20"/>
                <w:color w:val="auto"/>
              </w:rPr>
            </w:pPr>
            <w:r>
              <w:rPr>
                <w:rFonts w:ascii="Arial" w:cs="Arial" w:eastAsia="Arial" w:hAnsi="Arial"/>
                <w:sz w:val="18"/>
                <w:szCs w:val="18"/>
                <w:color w:val="auto"/>
              </w:rPr>
              <w:t>Availability at December 31, 2018</w:t>
            </w:r>
          </w:p>
        </w:tc>
      </w:tr>
      <w:tr>
        <w:trPr>
          <w:trHeight w:val="210"/>
        </w:trPr>
        <w:tc>
          <w:tcPr>
            <w:tcW w:w="2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(Dollars in millions)</w:t>
            </w:r>
          </w:p>
        </w:tc>
        <w:tc>
          <w:tcPr>
            <w:tcW w:w="10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22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 may not exceed 40% of total loans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r>
      <w:tr>
        <w:trPr>
          <w:trHeight w:val="202"/>
        </w:trPr>
        <w:tc>
          <w:tcPr>
            <w:tcW w:w="2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w w:val="96"/>
              </w:rPr>
              <w:t>Non-owner occupied commercial real estate loans may not exceed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Regulatory Capital</w:t>
            </w:r>
          </w:p>
        </w:tc>
        <w:tc>
          <w:tcPr>
            <w:tcW w:w="2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300% of total capital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2"/>
          </w:tcPr>
          <w:p>
            <w:pPr>
              <w:jc w:val="right"/>
              <w:ind w:right="100"/>
              <w:spacing w:after="0"/>
              <w:rPr>
                <w:sz w:val="20"/>
                <w:szCs w:val="20"/>
                <w:color w:val="auto"/>
              </w:rPr>
            </w:pPr>
            <w:r>
              <w:rPr>
                <w:rFonts w:ascii="Arial" w:cs="Arial" w:eastAsia="Arial" w:hAnsi="Arial"/>
                <w:sz w:val="18"/>
                <w:szCs w:val="18"/>
                <w:color w:val="auto"/>
              </w:rPr>
              <w:t>102.8</w:t>
            </w: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January 7, 2019, the Company announced a corporate reorganization pursuant to which its bank holding company structure would be eliminated and the Bank would become the top-level company. If the Reorganization is completed, these commitments to the FRB will no longer be applicable. The Bank intends to replace these commitments with standards relating to its capital levels and asset portfolio composition, which will be incorporated into its policies and procedures, and compliance with FDIC policy on commercial real estate concentration risk. These newly established standards are designed to help ensure the Bank will continue to operate in a safe and sound manner, but may permit more growth in the Bank’s loan portfolio as compared to operating under the existing commitments.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An overview of the Bank’s LASG portfolio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color w:val="auto"/>
                <w:w w:val="97"/>
              </w:rPr>
              <w:t>LASG Portfolio</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8"/>
                <w:szCs w:val="18"/>
                <w:color w:val="auto"/>
                <w:w w:val="89"/>
              </w:rPr>
              <w:t>Three Months Ended December 31,</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2018</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Purchased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Originated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Total LASG</w:t>
            </w:r>
          </w:p>
        </w:tc>
        <w:tc>
          <w:tcPr>
            <w:tcW w:w="280" w:type="dxa"/>
            <w:vAlign w:val="bottom"/>
            <w:gridSpan w:val="2"/>
            <w:vMerge w:val="restart"/>
          </w:tcPr>
          <w:p>
            <w:pPr>
              <w:spacing w:after="0"/>
              <w:rPr>
                <w:sz w:val="20"/>
                <w:szCs w:val="20"/>
                <w:color w:val="auto"/>
              </w:rPr>
            </w:pPr>
            <w:r>
              <w:rPr>
                <w:rFonts w:ascii="Arial" w:cs="Arial" w:eastAsia="Arial" w:hAnsi="Arial"/>
                <w:sz w:val="18"/>
                <w:szCs w:val="18"/>
                <w:color w:val="auto"/>
              </w:rPr>
              <w:t>in</w:t>
            </w: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Purchased</w:t>
            </w: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Originated</w:t>
            </w: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4"/>
              </w:rPr>
              <w:t>Total LASG</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(Dollars</w:t>
            </w:r>
          </w:p>
        </w:tc>
        <w:tc>
          <w:tcPr>
            <w:tcW w:w="280" w:type="dxa"/>
            <w:vAlign w:val="bottom"/>
            <w:gridSpan w:val="2"/>
            <w:vMerge w:val="continue"/>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Loans purchased or originated during the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52,672</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64,117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116,789</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38,205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44,285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82,490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64,117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113,451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34,802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44,285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Loan returns during the period: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Yield</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11.00%</w:t>
            </w: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Return on Purchased Loans (1)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8"/>
                <w:szCs w:val="18"/>
                <w:color w:val="auto"/>
                <w:w w:val="90"/>
              </w:rPr>
              <w:t>Six Months Ended December 31,</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2018</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Purchased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Originated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Total LASG</w:t>
            </w:r>
          </w:p>
        </w:tc>
        <w:tc>
          <w:tcPr>
            <w:tcW w:w="280" w:type="dxa"/>
            <w:vAlign w:val="bottom"/>
            <w:gridSpan w:val="2"/>
            <w:vMerge w:val="restart"/>
          </w:tcPr>
          <w:p>
            <w:pPr>
              <w:spacing w:after="0"/>
              <w:rPr>
                <w:sz w:val="20"/>
                <w:szCs w:val="20"/>
                <w:color w:val="auto"/>
              </w:rPr>
            </w:pPr>
            <w:r>
              <w:rPr>
                <w:rFonts w:ascii="Arial" w:cs="Arial" w:eastAsia="Arial" w:hAnsi="Arial"/>
                <w:sz w:val="18"/>
                <w:szCs w:val="18"/>
                <w:color w:val="auto"/>
              </w:rPr>
              <w:t>in</w:t>
            </w: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Purchased</w:t>
            </w: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Originated</w:t>
            </w: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4"/>
              </w:rPr>
              <w:t>Total LASG</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(Dollars</w:t>
            </w:r>
          </w:p>
        </w:tc>
        <w:tc>
          <w:tcPr>
            <w:tcW w:w="280" w:type="dxa"/>
            <w:vAlign w:val="bottom"/>
            <w:gridSpan w:val="2"/>
            <w:vMerge w:val="continue"/>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Loans purchased or originated during the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89,748</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135,253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225,001</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42,523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85,064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127,587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135,253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219,390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38,453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85,064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123,517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Loan returns during the period: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Yield</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9.88%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11.65%</w:t>
            </w: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Return on Purchased Loans (1)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loans as of period end: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Unpaid principal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368,345</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435,817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804,162</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276,440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346,874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623,314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330,643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435,817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766,460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244,177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346,874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591,051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8"/>
        <w:spacing w:after="0" w:line="279" w:lineRule="auto"/>
        <w:tabs>
          <w:tab w:leader="none" w:pos="2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total return on purchased loans represents scheduled accretion, accelerated accretion, gains on asset sales, gains on real estate owned and other noninterest income recorded during the period divided by the average invested balance, which includes purchased loans held for sale, on an annualized basis. The total return on purchased loans does not include the effect of purchased loan charge-offs or recoveries during the period. Total return on purchased loans is considered a non-GAAP financial measure. See reconciliation in below table entitled “Total Return on Purchased Loans.”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Due from Banks, Short-Term Investments and Investment Securities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and cash equivalents were $137.6 million as of December 31, 2018, a decrease of $19.8 million, or 12.6%, from $157.4 million at June 30, 2018. The decrease is primarily due to the increase in loans, offset by the increase in deposits in the period.</w:t>
      </w:r>
    </w:p>
    <w:p>
      <w:pPr>
        <w:spacing w:after="0" w:line="17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Investment securities totaled $84.8 million as of December 31, 2018, compared to $87.7 million as of June 30, 2018, representing a decrease of $2.8 million, or 3.2%, primarily due to principal payments on mortgage-backed securities. Included in investment securities are securities issued by government agencies and government-sponsored enterprises, as well as an investment of $5.1 million in a Community Reinvestment Act (“CRA”) qualified fund that seeks to invest in securities either issued or guaranteed by the U.S. government or its agencies and an investment of $1.5 million in a CRA qualified fund that primarily invests in the federally guaranteed portion of SBA 7(a) loans. At December 31, 2018, no securities were pledged for outstanding borrowings.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portfolio (excluding loans held-for-sale) by lending division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8"/>
                <w:szCs w:val="18"/>
                <w:color w:val="auto"/>
              </w:rPr>
              <w:t>December 31, 2018</w:t>
            </w: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w w:val="99"/>
              </w:rPr>
              <w:t>Community Banking Division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90"/>
              <w:spacing w:after="0"/>
              <w:rPr>
                <w:sz w:val="20"/>
                <w:szCs w:val="20"/>
                <w:color w:val="auto"/>
              </w:rPr>
            </w:pPr>
            <w:r>
              <w:rPr>
                <w:rFonts w:ascii="Arial" w:cs="Arial" w:eastAsia="Arial" w:hAnsi="Arial"/>
                <w:sz w:val="18"/>
                <w:szCs w:val="18"/>
                <w:color w:val="auto"/>
              </w:rPr>
              <w:t>LASG</w:t>
            </w:r>
          </w:p>
        </w:tc>
        <w:tc>
          <w:tcPr>
            <w:tcW w:w="1660" w:type="dxa"/>
            <w:vAlign w:val="bottom"/>
            <w:gridSpan w:val="4"/>
          </w:tcPr>
          <w:p>
            <w:pPr>
              <w:jc w:val="right"/>
              <w:ind w:right="560"/>
              <w:spacing w:after="0"/>
              <w:rPr>
                <w:sz w:val="20"/>
                <w:szCs w:val="20"/>
                <w:color w:val="auto"/>
              </w:rPr>
            </w:pPr>
            <w:r>
              <w:rPr>
                <w:rFonts w:ascii="Arial" w:cs="Arial" w:eastAsia="Arial" w:hAnsi="Arial"/>
                <w:sz w:val="18"/>
                <w:szCs w:val="18"/>
                <w:color w:val="auto"/>
              </w:rPr>
              <w:t>SBA Division</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200" w:type="dxa"/>
            <w:vAlign w:val="bottom"/>
          </w:tcPr>
          <w:p>
            <w:pPr>
              <w:ind w:left="40"/>
              <w:spacing w:after="0"/>
              <w:rPr>
                <w:sz w:val="20"/>
                <w:szCs w:val="20"/>
                <w:color w:val="auto"/>
              </w:rPr>
            </w:pPr>
            <w:r>
              <w:rPr>
                <w:rFonts w:ascii="Arial" w:cs="Arial" w:eastAsia="Arial" w:hAnsi="Arial"/>
                <w:sz w:val="18"/>
                <w:szCs w:val="18"/>
                <w:color w:val="auto"/>
                <w:w w:val="89"/>
              </w:rPr>
              <w:t>Percent of 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(Dollars</w:t>
            </w:r>
          </w:p>
        </w:tc>
        <w:tc>
          <w:tcPr>
            <w:tcW w:w="1400" w:type="dxa"/>
            <w:vAlign w:val="bottom"/>
            <w:gridSpan w:val="3"/>
          </w:tcPr>
          <w:p>
            <w:pPr>
              <w:jc w:val="right"/>
              <w:ind w:right="190"/>
              <w:spacing w:after="0"/>
              <w:rPr>
                <w:sz w:val="20"/>
                <w:szCs w:val="20"/>
                <w:color w:val="auto"/>
              </w:rPr>
            </w:pPr>
            <w:r>
              <w:rPr>
                <w:rFonts w:ascii="Arial" w:cs="Arial" w:eastAsia="Arial" w:hAnsi="Arial"/>
                <w:sz w:val="18"/>
                <w:szCs w:val="18"/>
                <w:color w:val="auto"/>
              </w:rPr>
              <w:t>in thousands)</w:t>
            </w:r>
          </w:p>
        </w:tc>
        <w:tc>
          <w:tcPr>
            <w:tcW w:w="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66,248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9,724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75,972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Commercial real estate: non-owner</w:t>
            </w:r>
          </w:p>
        </w:tc>
        <w:tc>
          <w:tcPr>
            <w:tcW w:w="8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occupied</w:t>
            </w:r>
          </w:p>
        </w:tc>
        <w:tc>
          <w:tcPr>
            <w:tcW w:w="8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17,049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156,158</w:t>
            </w:r>
          </w:p>
        </w:tc>
        <w:tc>
          <w:tcPr>
            <w:tcW w:w="4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36,597</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209,804</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Commercial real estate: owner occupied</w:t>
            </w:r>
          </w:p>
        </w:tc>
        <w:tc>
          <w:tcPr>
            <w:tcW w:w="8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76,144</w:t>
            </w:r>
          </w:p>
        </w:tc>
        <w:tc>
          <w:tcPr>
            <w:tcW w:w="4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24,130</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110,374</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8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193,791</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208,705</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2,788</w:t>
            </w: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originated loans</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435,817</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67,282</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607,643</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Purchased loans:</w:t>
            </w:r>
          </w:p>
        </w:tc>
        <w:tc>
          <w:tcPr>
            <w:tcW w:w="8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8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16,594</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16,594</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ind w:left="160"/>
              <w:spacing w:after="0" w:line="201" w:lineRule="exact"/>
              <w:rPr>
                <w:sz w:val="20"/>
                <w:szCs w:val="20"/>
                <w:color w:val="auto"/>
              </w:rPr>
            </w:pPr>
            <w:r>
              <w:rPr>
                <w:rFonts w:ascii="Arial" w:cs="Arial" w:eastAsia="Arial" w:hAnsi="Arial"/>
                <w:sz w:val="18"/>
                <w:szCs w:val="18"/>
                <w:color w:val="auto"/>
              </w:rPr>
              <w:t>Commercial real estate: non-owner</w:t>
            </w: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ind w:left="320"/>
              <w:spacing w:after="0"/>
              <w:rPr>
                <w:sz w:val="20"/>
                <w:szCs w:val="20"/>
                <w:color w:val="auto"/>
              </w:rPr>
            </w:pPr>
            <w:r>
              <w:rPr>
                <w:rFonts w:ascii="Arial" w:cs="Arial" w:eastAsia="Arial" w:hAnsi="Arial"/>
                <w:sz w:val="18"/>
                <w:szCs w:val="18"/>
                <w:color w:val="auto"/>
              </w:rPr>
              <w:t>occupied</w:t>
            </w:r>
          </w:p>
        </w:tc>
        <w:tc>
          <w:tcPr>
            <w:tcW w:w="8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187,558</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187,558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 owner occupied</w:t>
            </w:r>
          </w:p>
        </w:tc>
        <w:tc>
          <w:tcPr>
            <w:tcW w:w="8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125,703</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125,703</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788</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788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purchased loans</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330,643</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330,643</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0" w:gutter="0" w:footer="0" w:header="0"/>
        </w:sectPr>
      </w:pPr>
    </w:p>
    <w:bookmarkStart w:id="36" w:name="page37"/>
    <w:bookmarkEnd w:id="36"/>
    <w:p>
      <w:pPr>
        <w:spacing w:after="0"/>
        <w:tabs>
          <w:tab w:leader="none" w:pos="2940" w:val="left"/>
          <w:tab w:leader="none" w:pos="4540" w:val="left"/>
          <w:tab w:leader="none" w:pos="5340" w:val="left"/>
          <w:tab w:leader="none" w:pos="5940" w:val="left"/>
          <w:tab w:leader="none" w:pos="6740" w:val="left"/>
          <w:tab w:leader="none" w:pos="7440" w:val="left"/>
          <w:tab w:leader="none" w:pos="8140" w:val="left"/>
          <w:tab w:leader="none" w:pos="8740" w:val="left"/>
          <w:tab w:leader="none" w:pos="10240" w:val="left"/>
        </w:tabs>
        <w:rPr>
          <w:sz w:val="20"/>
          <w:szCs w:val="20"/>
          <w:color w:val="auto"/>
        </w:rPr>
      </w:pPr>
      <w:r>
        <w:rPr>
          <w:rFonts w:ascii="Arial" w:cs="Arial" w:eastAsia="Arial" w:hAnsi="Arial"/>
          <w:sz w:val="18"/>
          <w:szCs w:val="18"/>
          <w:color w:val="auto"/>
        </w:rPr>
        <w:t>Total loans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104,544</w:t>
        <w:tab/>
        <w:t>$</w:t>
      </w:r>
      <w:r>
        <w:rPr>
          <w:sz w:val="20"/>
          <w:szCs w:val="20"/>
          <w:color w:val="auto"/>
        </w:rPr>
        <w:tab/>
      </w:r>
      <w:r>
        <w:rPr>
          <w:rFonts w:ascii="Arial" w:cs="Arial" w:eastAsia="Arial" w:hAnsi="Arial"/>
          <w:sz w:val="18"/>
          <w:szCs w:val="18"/>
          <w:color w:val="auto"/>
        </w:rPr>
        <w:t>766,460</w:t>
        <w:tab/>
        <w:t>$</w:t>
      </w:r>
      <w:r>
        <w:rPr>
          <w:sz w:val="20"/>
          <w:szCs w:val="20"/>
          <w:color w:val="auto"/>
        </w:rPr>
        <w:tab/>
      </w:r>
      <w:r>
        <w:rPr>
          <w:rFonts w:ascii="Arial" w:cs="Arial" w:eastAsia="Arial" w:hAnsi="Arial"/>
          <w:sz w:val="18"/>
          <w:szCs w:val="18"/>
          <w:color w:val="auto"/>
        </w:rPr>
        <w:t>67,282</w:t>
        <w:tab/>
        <w:t>$</w:t>
      </w:r>
      <w:r>
        <w:rPr>
          <w:sz w:val="20"/>
          <w:szCs w:val="20"/>
          <w:color w:val="auto"/>
        </w:rPr>
        <w:tab/>
      </w:r>
      <w:r>
        <w:rPr>
          <w:rFonts w:ascii="Arial" w:cs="Arial" w:eastAsia="Arial" w:hAnsi="Arial"/>
          <w:sz w:val="18"/>
          <w:szCs w:val="18"/>
          <w:color w:val="auto"/>
        </w:rPr>
        <w:t>938,286</w:t>
      </w:r>
      <w:r>
        <w:rPr>
          <w:sz w:val="20"/>
          <w:szCs w:val="20"/>
          <w:color w:val="auto"/>
        </w:rPr>
        <w:tab/>
      </w:r>
      <w:r>
        <w:rPr>
          <w:rFonts w:ascii="Arial" w:cs="Arial" w:eastAsia="Arial" w:hAnsi="Arial"/>
          <w:sz w:val="16"/>
          <w:szCs w:val="16"/>
          <w:color w:val="auto"/>
        </w:rPr>
        <w:t>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14605</wp:posOffset>
            </wp:positionV>
            <wp:extent cx="494855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48555" cy="26035"/>
                    </a:xfrm>
                    <a:prstGeom prst="rect">
                      <a:avLst/>
                    </a:prstGeom>
                    <a:noFill/>
                  </pic:spPr>
                </pic:pic>
              </a:graphicData>
            </a:graphic>
          </wp:anchor>
        </w:drawing>
      </w:r>
    </w:p>
    <w:p>
      <w:pPr>
        <w:sectPr>
          <w:pgSz w:w="11900" w:h="16838" w:orient="portrait"/>
          <w:cols w:equalWidth="0" w:num="1">
            <w:col w:w="10900"/>
          </w:cols>
          <w:pgMar w:left="740" w:top="125" w:right="259" w:bottom="1440" w:gutter="0" w:footer="0" w:header="0"/>
        </w:sectPr>
      </w:pPr>
    </w:p>
    <w:p>
      <w:pPr>
        <w:spacing w:after="0" w:line="266"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97790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00"/>
          </w:cols>
          <w:pgMar w:left="740" w:top="125" w:right="259" w:bottom="1440" w:gutter="0" w:footer="0" w:header="0"/>
          <w:type w:val="continuous"/>
        </w:sectPr>
      </w:pPr>
    </w:p>
    <w:bookmarkStart w:id="37" w:name="page38"/>
    <w:bookmarkEnd w:id="3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 2018</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w w:val="99"/>
              </w:rPr>
              <w:t>Community Banking Division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90"/>
              <w:spacing w:after="0"/>
              <w:rPr>
                <w:sz w:val="20"/>
                <w:szCs w:val="20"/>
                <w:color w:val="auto"/>
              </w:rPr>
            </w:pPr>
            <w:r>
              <w:rPr>
                <w:rFonts w:ascii="Arial" w:cs="Arial" w:eastAsia="Arial" w:hAnsi="Arial"/>
                <w:sz w:val="18"/>
                <w:szCs w:val="18"/>
                <w:color w:val="auto"/>
              </w:rPr>
              <w:t>LASG</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SBA Division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200" w:type="dxa"/>
            <w:vAlign w:val="bottom"/>
          </w:tcPr>
          <w:p>
            <w:pPr>
              <w:ind w:left="40"/>
              <w:spacing w:after="0"/>
              <w:rPr>
                <w:sz w:val="20"/>
                <w:szCs w:val="20"/>
                <w:color w:val="auto"/>
              </w:rPr>
            </w:pPr>
            <w:r>
              <w:rPr>
                <w:rFonts w:ascii="Arial" w:cs="Arial" w:eastAsia="Arial" w:hAnsi="Arial"/>
                <w:sz w:val="18"/>
                <w:szCs w:val="18"/>
                <w:color w:val="auto"/>
                <w:w w:val="89"/>
              </w:rPr>
              <w:t>Percent of 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(Dollars</w:t>
            </w:r>
          </w:p>
        </w:tc>
        <w:tc>
          <w:tcPr>
            <w:tcW w:w="1400" w:type="dxa"/>
            <w:vAlign w:val="bottom"/>
            <w:gridSpan w:val="3"/>
          </w:tcPr>
          <w:p>
            <w:pPr>
              <w:jc w:val="right"/>
              <w:ind w:right="190"/>
              <w:spacing w:after="0"/>
              <w:rPr>
                <w:sz w:val="20"/>
                <w:szCs w:val="20"/>
                <w:color w:val="auto"/>
              </w:rPr>
            </w:pPr>
            <w:r>
              <w:rPr>
                <w:rFonts w:ascii="Arial" w:cs="Arial" w:eastAsia="Arial" w:hAnsi="Arial"/>
                <w:sz w:val="18"/>
                <w:szCs w:val="18"/>
                <w:color w:val="auto"/>
              </w:rPr>
              <w:t>in thousands)</w:t>
            </w:r>
          </w:p>
        </w:tc>
        <w:tc>
          <w:tcPr>
            <w:tcW w:w="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79,091</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7,111</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86,330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Commercial real estate: non-owner</w:t>
            </w:r>
          </w:p>
        </w:tc>
        <w:tc>
          <w:tcPr>
            <w:tcW w:w="8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occupied</w:t>
            </w:r>
          </w:p>
        </w:tc>
        <w:tc>
          <w:tcPr>
            <w:tcW w:w="8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137,463</w:t>
            </w:r>
          </w:p>
        </w:tc>
        <w:tc>
          <w:tcPr>
            <w:tcW w:w="6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29,488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185,649</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Commercial real estate: owner occupied</w:t>
            </w:r>
          </w:p>
        </w:tc>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81,916</w:t>
            </w:r>
          </w:p>
        </w:tc>
        <w:tc>
          <w:tcPr>
            <w:tcW w:w="6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24,483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117,750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170,873</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187,857</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3,244</w:t>
            </w: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originated loans</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397,363</w:t>
            </w:r>
          </w:p>
        </w:tc>
        <w:tc>
          <w:tcPr>
            <w:tcW w:w="6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60,156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580,830</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Purchased loans:</w:t>
            </w:r>
          </w:p>
        </w:tc>
        <w:tc>
          <w:tcPr>
            <w:tcW w:w="8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13,926</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13,926</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ind w:left="160"/>
              <w:spacing w:after="0" w:line="201" w:lineRule="exact"/>
              <w:rPr>
                <w:sz w:val="20"/>
                <w:szCs w:val="20"/>
                <w:color w:val="auto"/>
              </w:rPr>
            </w:pPr>
            <w:r>
              <w:rPr>
                <w:rFonts w:ascii="Arial" w:cs="Arial" w:eastAsia="Arial" w:hAnsi="Arial"/>
                <w:sz w:val="18"/>
                <w:szCs w:val="18"/>
                <w:color w:val="auto"/>
              </w:rPr>
              <w:t>Commercial real estate: non-owner</w:t>
            </w: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ind w:left="320"/>
              <w:spacing w:after="0"/>
              <w:rPr>
                <w:sz w:val="20"/>
                <w:szCs w:val="20"/>
                <w:color w:val="auto"/>
              </w:rPr>
            </w:pPr>
            <w:r>
              <w:rPr>
                <w:rFonts w:ascii="Arial" w:cs="Arial" w:eastAsia="Arial" w:hAnsi="Arial"/>
                <w:sz w:val="18"/>
                <w:szCs w:val="18"/>
                <w:color w:val="auto"/>
              </w:rPr>
              <w:t>occupied</w:t>
            </w:r>
          </w:p>
        </w:tc>
        <w:tc>
          <w:tcPr>
            <w:tcW w:w="8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150,805</w:t>
            </w:r>
          </w:p>
        </w:tc>
        <w:tc>
          <w:tcPr>
            <w:tcW w:w="6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150,805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 owner occupied</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125,246</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125,246</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8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995</w:t>
            </w:r>
          </w:p>
        </w:tc>
        <w:tc>
          <w:tcPr>
            <w:tcW w:w="6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995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purchased loans</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290,972</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290,972</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ind w:left="480"/>
              <w:spacing w:after="0"/>
              <w:rPr>
                <w:sz w:val="20"/>
                <w:szCs w:val="20"/>
                <w:color w:val="auto"/>
              </w:rPr>
            </w:pPr>
            <w:r>
              <w:rPr>
                <w:rFonts w:ascii="Arial" w:cs="Arial" w:eastAsia="Arial" w:hAnsi="Arial"/>
                <w:sz w:val="18"/>
                <w:szCs w:val="18"/>
                <w:color w:val="auto"/>
              </w:rPr>
              <w:t>Total loans</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123,311</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688,335</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60,156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871,802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Assets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Loans are classified as nonperforming when 90 or more days past due, unless a loan is well-secured and in the process of collection. Loans less than 90 days past due, for which collection of principal or interest is considered doubtful, also may be designated as nonperforming. In both situations, accrual of interest ceases. The Company typically maintains such loans as nonperforming until the respective borrowers have demonstrated a sustained period of payment performance.</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the loan is classified as a TDR. Concessionary modifications may include adjustments to interest rates, extensions of maturity, or other actions intended to minimize economic loss and avoid foreclosure or repossession of collateral.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Other nonperforming assets include other real estate owned (“OREO”) and other personal property securing loans repossessed by the Bank. The real estate and personal property collateral for commercial and consumer loans is recorded at fair value less estimated costs to sell upon repossession. Revenues and expenses are recognized in the period when received or incurred on OREO and in-substance foreclosures. Gains and losses on disposition are recognized in noninterest income.</w:t>
      </w:r>
    </w:p>
    <w:p>
      <w:pPr>
        <w:spacing w:after="0" w:line="18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following table details the Company's nonperforming assets and other credit quality indicators as of December 31, 2018 and June 30, 2018. Management believes that, based on their carrying amounts, nonperforming assets are well secured based on the estimated fair value of underlying collateral.</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9"/>
          </w:tcPr>
          <w:p>
            <w:pPr>
              <w:jc w:val="center"/>
              <w:ind w:right="380"/>
              <w:spacing w:after="0"/>
              <w:rPr>
                <w:sz w:val="20"/>
                <w:szCs w:val="20"/>
                <w:color w:val="auto"/>
              </w:rPr>
            </w:pPr>
            <w:r>
              <w:rPr>
                <w:rFonts w:ascii="Arial" w:cs="Arial" w:eastAsia="Arial" w:hAnsi="Arial"/>
                <w:sz w:val="18"/>
                <w:szCs w:val="18"/>
                <w:color w:val="auto"/>
                <w:w w:val="90"/>
              </w:rPr>
              <w:t>Nonperforming Assets at December 31, 2018</w:t>
            </w:r>
          </w:p>
        </w:tc>
      </w:tr>
      <w:tr>
        <w:trPr>
          <w:trHeight w:val="210"/>
        </w:trPr>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Originated</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85"/>
              </w:rPr>
              <w:t>Purchased</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r>
      <w:tr>
        <w:trPr>
          <w:trHeight w:val="210"/>
        </w:trPr>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2"/>
              </w:rPr>
              <w:t>(Dollars in thousands)</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2,595</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2,797</w:t>
            </w:r>
          </w:p>
        </w:tc>
      </w:tr>
      <w:tr>
        <w:trPr>
          <w:trHeight w:val="216"/>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4,755</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7,519</w:t>
            </w: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394</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1,814</w:t>
            </w:r>
          </w:p>
        </w:tc>
      </w:tr>
      <w:tr>
        <w:trPr>
          <w:trHeight w:val="216"/>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3960" w:type="dxa"/>
            <w:vAlign w:val="bottom"/>
          </w:tcPr>
          <w:p>
            <w:pPr>
              <w:ind w:left="340"/>
              <w:spacing w:after="0"/>
              <w:rPr>
                <w:sz w:val="20"/>
                <w:szCs w:val="20"/>
                <w:color w:val="auto"/>
              </w:rPr>
            </w:pPr>
            <w:r>
              <w:rPr>
                <w:rFonts w:ascii="Arial" w:cs="Arial" w:eastAsia="Arial" w:hAnsi="Arial"/>
                <w:sz w:val="18"/>
                <w:szCs w:val="18"/>
                <w:color w:val="auto"/>
              </w:rPr>
              <w:t>Total nonperforming loans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6,995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5,351</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12,346</w:t>
            </w:r>
          </w:p>
        </w:tc>
      </w:tr>
      <w:tr>
        <w:trPr>
          <w:trHeight w:val="216"/>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Real estate owned and other repossessed collateral</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3960" w:type="dxa"/>
            <w:vAlign w:val="bottom"/>
          </w:tcPr>
          <w:p>
            <w:pPr>
              <w:ind w:left="500"/>
              <w:spacing w:after="0"/>
              <w:rPr>
                <w:sz w:val="20"/>
                <w:szCs w:val="20"/>
                <w:color w:val="auto"/>
              </w:rPr>
            </w:pPr>
            <w:r>
              <w:rPr>
                <w:rFonts w:ascii="Arial" w:cs="Arial" w:eastAsia="Arial" w:hAnsi="Arial"/>
                <w:sz w:val="18"/>
                <w:szCs w:val="18"/>
                <w:color w:val="auto"/>
              </w:rPr>
              <w:t>Total nonperforming assets</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7,027</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6,782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13,809</w:t>
            </w:r>
          </w:p>
        </w:tc>
      </w:tr>
      <w:tr>
        <w:trPr>
          <w:trHeight w:val="20"/>
        </w:trPr>
        <w:tc>
          <w:tcPr>
            <w:tcW w:w="3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Ratio of nonperforming loans to total loans</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1.32%</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Ratio of nonperforming assets to total assets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Ratio of loans past due to total loans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Nonperforming loans that are current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3,125</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8"/>
              </w:rPr>
              <w:t>Commercial loans risk rated substandard or worse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8,931</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Troubled debt restructurings: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 accrual status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10,629</w:t>
            </w:r>
          </w:p>
        </w:tc>
      </w:tr>
      <w:tr>
        <w:trPr>
          <w:trHeight w:val="230"/>
        </w:trPr>
        <w:tc>
          <w:tcPr>
            <w:tcW w:w="3960" w:type="dxa"/>
            <w:vAlign w:val="bottom"/>
          </w:tcPr>
          <w:p>
            <w:pPr>
              <w:ind w:left="180"/>
              <w:spacing w:after="0"/>
              <w:rPr>
                <w:sz w:val="20"/>
                <w:szCs w:val="20"/>
                <w:color w:val="auto"/>
              </w:rPr>
            </w:pPr>
            <w:r>
              <w:rPr>
                <w:rFonts w:ascii="Arial" w:cs="Arial" w:eastAsia="Arial" w:hAnsi="Arial"/>
                <w:sz w:val="18"/>
                <w:szCs w:val="18"/>
                <w:color w:val="auto"/>
              </w:rPr>
              <w:t>On nonaccrual status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3,193</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8" w:name="page39"/>
    <w:bookmarkEnd w:id="3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7"/>
          </w:tcPr>
          <w:p>
            <w:pPr>
              <w:jc w:val="center"/>
              <w:ind w:left="610"/>
              <w:spacing w:after="0"/>
              <w:rPr>
                <w:sz w:val="20"/>
                <w:szCs w:val="20"/>
                <w:color w:val="auto"/>
              </w:rPr>
            </w:pPr>
            <w:r>
              <w:rPr>
                <w:rFonts w:ascii="Arial" w:cs="Arial" w:eastAsia="Arial" w:hAnsi="Arial"/>
                <w:sz w:val="18"/>
                <w:szCs w:val="18"/>
                <w:color w:val="auto"/>
                <w:w w:val="90"/>
              </w:rPr>
              <w:t>Nonperforming Assets at June 30, 2018</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Originated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Purchased</w:t>
            </w:r>
          </w:p>
        </w:tc>
        <w:tc>
          <w:tcPr>
            <w:tcW w:w="540" w:type="dxa"/>
            <w:vAlign w:val="bottom"/>
          </w:tcPr>
          <w:p>
            <w:pPr>
              <w:spacing w:after="0"/>
              <w:rPr>
                <w:sz w:val="18"/>
                <w:szCs w:val="18"/>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r>
      <w:tr>
        <w:trPr>
          <w:trHeight w:val="210"/>
        </w:trPr>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2"/>
              </w:rPr>
              <w:t>(Dollars in thousands)</w:t>
            </w:r>
          </w:p>
        </w:tc>
        <w:tc>
          <w:tcPr>
            <w:tcW w:w="1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3,212</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3,414</w:t>
            </w:r>
          </w:p>
        </w:tc>
      </w:tr>
      <w:tr>
        <w:trPr>
          <w:trHeight w:val="216"/>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5,180</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6,679</w:t>
            </w: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363</w:t>
            </w:r>
          </w:p>
        </w:tc>
        <w:tc>
          <w:tcPr>
            <w:tcW w:w="5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1,731</w:t>
            </w:r>
          </w:p>
        </w:tc>
      </w:tr>
      <w:tr>
        <w:trPr>
          <w:trHeight w:val="216"/>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3960" w:type="dxa"/>
            <w:vAlign w:val="bottom"/>
          </w:tcPr>
          <w:p>
            <w:pPr>
              <w:ind w:left="340"/>
              <w:spacing w:after="0"/>
              <w:rPr>
                <w:sz w:val="20"/>
                <w:szCs w:val="20"/>
                <w:color w:val="auto"/>
              </w:rPr>
            </w:pPr>
            <w:r>
              <w:rPr>
                <w:rFonts w:ascii="Arial" w:cs="Arial" w:eastAsia="Arial" w:hAnsi="Arial"/>
                <w:sz w:val="18"/>
                <w:szCs w:val="18"/>
                <w:color w:val="auto"/>
              </w:rPr>
              <w:t>Total nonperforming loans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6,213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5,745</w:t>
            </w:r>
          </w:p>
        </w:tc>
        <w:tc>
          <w:tcPr>
            <w:tcW w:w="5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11,958</w:t>
            </w:r>
          </w:p>
        </w:tc>
      </w:tr>
      <w:tr>
        <w:trPr>
          <w:trHeight w:val="216"/>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Real estate owned and other repossessed collateral</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3960" w:type="dxa"/>
            <w:vAlign w:val="bottom"/>
          </w:tcPr>
          <w:p>
            <w:pPr>
              <w:ind w:left="500"/>
              <w:spacing w:after="0"/>
              <w:rPr>
                <w:sz w:val="20"/>
                <w:szCs w:val="20"/>
                <w:color w:val="auto"/>
              </w:rPr>
            </w:pPr>
            <w:r>
              <w:rPr>
                <w:rFonts w:ascii="Arial" w:cs="Arial" w:eastAsia="Arial" w:hAnsi="Arial"/>
                <w:sz w:val="18"/>
                <w:szCs w:val="18"/>
                <w:color w:val="auto"/>
              </w:rPr>
              <w:t>Total nonperforming assets</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6,328</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7,863</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14,191</w:t>
            </w:r>
          </w:p>
        </w:tc>
      </w:tr>
      <w:tr>
        <w:trPr>
          <w:trHeight w:val="20"/>
        </w:trPr>
        <w:tc>
          <w:tcPr>
            <w:tcW w:w="3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Ratio of nonperforming loans to total loans</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1.37%</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Ratio of nonperforming assets to total assets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Ratio of loans past due to total loans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0.89%</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Nonperforming loans that are current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4,897</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8"/>
              </w:rPr>
              <w:t>Commercial loans risk rated substandard or worse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Troubled debt restructurings: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 accrual status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11,915</w:t>
            </w:r>
          </w:p>
        </w:tc>
      </w:tr>
      <w:tr>
        <w:trPr>
          <w:trHeight w:val="230"/>
        </w:trPr>
        <w:tc>
          <w:tcPr>
            <w:tcW w:w="3960" w:type="dxa"/>
            <w:vAlign w:val="bottom"/>
          </w:tcPr>
          <w:p>
            <w:pPr>
              <w:ind w:left="180"/>
              <w:spacing w:after="0"/>
              <w:rPr>
                <w:sz w:val="20"/>
                <w:szCs w:val="20"/>
                <w:color w:val="auto"/>
              </w:rPr>
            </w:pPr>
            <w:r>
              <w:rPr>
                <w:rFonts w:ascii="Arial" w:cs="Arial" w:eastAsia="Arial" w:hAnsi="Arial"/>
                <w:sz w:val="18"/>
                <w:szCs w:val="18"/>
                <w:color w:val="auto"/>
              </w:rPr>
              <w:t>Nonaccrual status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3,543</w:t>
            </w:r>
          </w:p>
        </w:tc>
      </w:tr>
    </w:tbl>
    <w:p>
      <w:pPr>
        <w:spacing w:after="0" w:line="187"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As of December 31, 2018, nonperforming assets totaled $13.8 million, or 1.16% of total assets, as compared to $14.2 million, or 1.23% of total assets, as of June 30, 2018.</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OREO decreased by $770 thousand, or 34.5%, to $1.5 million at December 31, 2018, compared to $2.2 million at June 30, 2018. The decrease was primarily the result of the sale of one property in the quarter ended September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connection with the application of the acquisition method of accounting for the merger on December 29, 2010, the allowance for loan losses was reduced to zero when the loan portfolio was marked to its then current fair value. Since that date, the Company has provided for an allowance for loan losses as new loans are originated or in the event that credit exposure in the pre-merger loan portfolio or other acquired loans exceeds the exposure estimated when initial fair values were determined.</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allowance for loan losses was $5.3 million as of December 31, 2018, compared to $4.8 million as of June 30, 2018. The increase in the period is primarily the result of changes in the composition of the loan portfolio from an increase in loans originated by the SBA division, as well as an increase in specific reserve on two loan relationships.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ratios related to the allowance for loan losses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p>
        </w:tc>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1"/>
              </w:rPr>
              <w:t>December 31, 2018</w:t>
            </w:r>
          </w:p>
        </w:tc>
        <w:tc>
          <w:tcPr>
            <w:tcW w:w="200" w:type="dxa"/>
            <w:vAlign w:val="bottom"/>
          </w:tcPr>
          <w:p>
            <w:pPr>
              <w:spacing w:after="0"/>
              <w:rPr>
                <w:sz w:val="20"/>
                <w:szCs w:val="20"/>
                <w:color w:val="auto"/>
              </w:rPr>
            </w:pPr>
          </w:p>
        </w:tc>
        <w:tc>
          <w:tcPr>
            <w:tcW w:w="1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June 30, 2018</w:t>
            </w:r>
          </w:p>
        </w:tc>
        <w:tc>
          <w:tcPr>
            <w:tcW w:w="220" w:type="dxa"/>
            <w:vAlign w:val="bottom"/>
          </w:tcPr>
          <w:p>
            <w:pPr>
              <w:spacing w:after="0"/>
              <w:rPr>
                <w:sz w:val="20"/>
                <w:szCs w:val="20"/>
                <w:color w:val="auto"/>
              </w:rPr>
            </w:pPr>
          </w:p>
        </w:tc>
        <w:tc>
          <w:tcPr>
            <w:tcW w:w="1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2"/>
              </w:rPr>
              <w:t>December 31, 2017</w:t>
            </w:r>
          </w:p>
        </w:tc>
        <w:tc>
          <w:tcPr>
            <w:tcW w:w="100" w:type="dxa"/>
            <w:vAlign w:val="bottom"/>
          </w:tcPr>
          <w:p>
            <w:pPr>
              <w:spacing w:after="0"/>
              <w:rPr>
                <w:sz w:val="20"/>
                <w:szCs w:val="20"/>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42.99%</w:t>
            </w:r>
          </w:p>
        </w:tc>
        <w:tc>
          <w:tcPr>
            <w:tcW w:w="17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1"/>
              </w:rPr>
              <w:t>40.20%</w:t>
            </w:r>
          </w:p>
        </w:tc>
        <w:tc>
          <w:tcPr>
            <w:tcW w:w="17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24.07%</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0.57%</w:t>
            </w:r>
          </w:p>
        </w:tc>
        <w:tc>
          <w:tcPr>
            <w:tcW w:w="17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0.55%</w:t>
            </w:r>
          </w:p>
        </w:tc>
        <w:tc>
          <w:tcPr>
            <w:tcW w:w="174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0.56%</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Last twelve months of net-charge offs to average loans</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0.04%</w:t>
            </w:r>
          </w:p>
        </w:tc>
        <w:tc>
          <w:tcPr>
            <w:tcW w:w="17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0.04%</w:t>
            </w:r>
          </w:p>
        </w:tc>
        <w:tc>
          <w:tcPr>
            <w:tcW w:w="17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0.04%</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While management believes that it uses the best information available to make its determinations with respect to the allowance, there can be no assurance that the Company will not have to increase its provision for loan losses in the future as a result of changing economic conditions, adverse markets for real estate or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Premises and equipment, net, decreased by $479 thousand, or 7.3%, to $6.1 million at December 31, 2018, compared to $6.6 million at June 30, 2018. The decrease was primarily due to depreciation and amortization.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Intangible assets totaled $649 thousand and $867 thousand at December 31, 2018 and June 30, 2018, respectively. The $218 thousand decrease was the result of intangible asset amortization during the period.</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Servicing rights, net totaled $2.9 million and $3.0 million at December 31, 2018 and June 30, 2018, respectively. The $36 thousand decrease was the result of amortization and the revaluation of the servicing rights performed on a quarterly basis, offset by SBA loans sold during the six months ended December 31, 2018.</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cash surrender value of the Company’s bank-owned life insurance (“BOLI”) assets increased $219 thousand, or 1.3% to $16.8 million at December 31, 2018, compared to $16.6 million at June 30, 2018. Increases in cash surrender value are recognized in noninterest income and are not subject to income taxes. Borrowing on, or surrendering a policy, may subject the Company to income tax expense on the increase in cash surrender value. For these reasons, management considers BOLI an illiquid asset. BOLI represented 9.4% of the Company’s regulatory total capital at December 31, 2018.</w:t>
      </w:r>
    </w:p>
    <w:p>
      <w:pPr>
        <w:sectPr>
          <w:pgSz w:w="11900" w:h="16838" w:orient="portrait"/>
          <w:cols w:equalWidth="0" w:num="1">
            <w:col w:w="11420"/>
          </w:cols>
          <w:pgMar w:left="240" w:top="118" w:right="2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9" w:name="page40"/>
    <w:bookmarkEnd w:id="3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FHLBB Advances, Subordinated Debt, Liquidity, and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principal source of funding is its core deposit accounts. At December 31 2018, non-maturity accounts and non-brokered insured time deposits represented 100% of total deposits.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Total deposits increased by $30.7 million, or 3.2%, from June 30, 2018, attributable primarily to an increase in time deposits of $112.2 million, or 31.9%, as a result of campaigns in the current period, partially offset by decreases in money market accounts of $75.7 million, or 18.0%, and demand deposits of $3.9 million, or 5.5%.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total deposits at December 31, 2018 and June 30, 2018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4"/>
          </w:tcPr>
          <w:p>
            <w:pPr>
              <w:jc w:val="right"/>
              <w:ind w:right="840"/>
              <w:spacing w:after="0"/>
              <w:rPr>
                <w:sz w:val="20"/>
                <w:szCs w:val="20"/>
                <w:color w:val="auto"/>
              </w:rPr>
            </w:pPr>
            <w:r>
              <w:rPr>
                <w:rFonts w:ascii="Arial" w:cs="Arial" w:eastAsia="Arial" w:hAnsi="Arial"/>
                <w:sz w:val="18"/>
                <w:szCs w:val="18"/>
                <w:color w:val="auto"/>
              </w:rPr>
              <w:t>December 31, 2018</w:t>
            </w:r>
          </w:p>
        </w:tc>
        <w:tc>
          <w:tcPr>
            <w:tcW w:w="220" w:type="dxa"/>
            <w:vAlign w:val="bottom"/>
          </w:tcPr>
          <w:p>
            <w:pPr>
              <w:spacing w:after="0"/>
              <w:rPr>
                <w:sz w:val="20"/>
                <w:szCs w:val="20"/>
                <w:color w:val="auto"/>
              </w:rPr>
            </w:pPr>
          </w:p>
        </w:tc>
        <w:tc>
          <w:tcPr>
            <w:tcW w:w="2580" w:type="dxa"/>
            <w:vAlign w:val="bottom"/>
            <w:gridSpan w:val="4"/>
          </w:tcPr>
          <w:p>
            <w:pPr>
              <w:jc w:val="right"/>
              <w:ind w:right="980"/>
              <w:spacing w:after="0"/>
              <w:rPr>
                <w:sz w:val="20"/>
                <w:szCs w:val="20"/>
                <w:color w:val="auto"/>
              </w:rPr>
            </w:pPr>
            <w:r>
              <w:rPr>
                <w:rFonts w:ascii="Arial" w:cs="Arial" w:eastAsia="Arial" w:hAnsi="Arial"/>
                <w:sz w:val="18"/>
                <w:szCs w:val="18"/>
                <w:color w:val="auto"/>
              </w:rPr>
              <w:t>June 30,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Percent of Total</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Percent of Total</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5"/>
          </w:tcPr>
          <w:p>
            <w:pPr>
              <w:jc w:val="right"/>
              <w:ind w:right="740"/>
              <w:spacing w:after="0"/>
              <w:rPr>
                <w:sz w:val="20"/>
                <w:szCs w:val="20"/>
                <w:color w:val="auto"/>
              </w:rPr>
            </w:pPr>
            <w:r>
              <w:rPr>
                <w:rFonts w:ascii="Arial" w:cs="Arial" w:eastAsia="Arial" w:hAnsi="Arial"/>
                <w:sz w:val="18"/>
                <w:szCs w:val="18"/>
                <w:color w:val="auto"/>
              </w:rPr>
              <w:t>(Dollars in thousands)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68,324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72,272</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NOW accounts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72,679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73,347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Regular and other savings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35,090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36,290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Money market deposits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345,149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35.03%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420,886</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non-certificate accounts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521,242</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602,795</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Term certificates of $250 thousand or less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464,349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47.11%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352,145</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Term certificates greater than $250 thousand</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Total certificate accounts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464,349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47.11%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352,145</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deposits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985,591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954,940</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FHLBB Advances</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Advances from the FHLBB were $15.0 million at both December 31, 2018 and June 30, 2018. As of December 31, 2018, the Company had pledged certain residential real estate loans and commercial real estate loans to secure outstanding advances and provide additional borrowing capacity. As of December 31, 2018, no securities were pledged for outstanding borrowings.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Debt</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June 29, 2016, the Company entered into a Subordinated Note Purchase Agreement with certain institutional accredited investors pursuant to which the Company issued subordinated notes equal to $15.1 million in aggregate principal amount with an interest rate of 6.75% fixed-to-floating maturing in 2026 (“subordinated notes”). The subordinated notes, net of issuance costs, totaled $14.8 million and $14.7 million at December 31, 2018 and June 30, 2018, respectively.</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 had junior subordinated debentures issued to affiliated trusts totaling $9.4 million and $9.2 million at December 31, 2018 and June 30, 2018, respectively. The unpaid principal balance of the junior subordinated debentures totaled $16.5 million at both December 31, 2018 and June 30, 2018.</w:t>
      </w:r>
    </w:p>
    <w:p>
      <w:pPr>
        <w:spacing w:after="0" w:line="12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connection with the Reorganization, the Company intends to redeem the junior subordinated debentures and the Bank will assume the Company’s obligations under the subordinated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unused borrowing capacity of the Company at December 31, 2018, in addition to traditional retail deposit products: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Brokered time deposits</w:t>
      </w:r>
    </w:p>
    <w:p>
      <w:pPr>
        <w:spacing w:after="0" w:line="225" w:lineRule="exact"/>
        <w:rPr>
          <w:sz w:val="20"/>
          <w:szCs w:val="20"/>
          <w:color w:val="auto"/>
        </w:rPr>
      </w:pPr>
    </w:p>
    <w:p>
      <w:pPr>
        <w:ind w:left="660"/>
        <w:spacing w:after="0" w:line="256" w:lineRule="auto"/>
        <w:rPr>
          <w:sz w:val="20"/>
          <w:szCs w:val="20"/>
          <w:color w:val="auto"/>
        </w:rPr>
      </w:pPr>
      <w:r>
        <w:rPr>
          <w:rFonts w:ascii="Arial" w:cs="Arial" w:eastAsia="Arial" w:hAnsi="Arial"/>
          <w:sz w:val="18"/>
          <w:szCs w:val="18"/>
          <w:color w:val="auto"/>
        </w:rPr>
        <w:t>Federal Home Loan Bank of Boston Federal Discount Window Borrower-in-Custody</w:t>
      </w:r>
    </w:p>
    <w:p>
      <w:pPr>
        <w:ind w:left="660"/>
        <w:spacing w:after="0"/>
        <w:rPr>
          <w:sz w:val="20"/>
          <w:szCs w:val="20"/>
          <w:color w:val="auto"/>
        </w:rPr>
      </w:pPr>
      <w:r>
        <w:rPr>
          <w:rFonts w:ascii="Arial" w:cs="Arial" w:eastAsia="Arial" w:hAnsi="Arial"/>
          <w:sz w:val="18"/>
          <w:szCs w:val="18"/>
          <w:color w:val="auto"/>
        </w:rPr>
        <w:t>Other available lines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unused borrowing capacity</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5400"/>
        <w:spacing w:after="0"/>
        <w:rPr>
          <w:sz w:val="20"/>
          <w:szCs w:val="20"/>
          <w:color w:val="auto"/>
        </w:rPr>
      </w:pPr>
      <w:r>
        <w:rPr>
          <w:rFonts w:ascii="Arial" w:cs="Arial" w:eastAsia="Arial" w:hAnsi="Arial"/>
          <w:sz w:val="16"/>
          <w:szCs w:val="16"/>
          <w:u w:val="single" w:color="auto"/>
          <w:color w:val="auto"/>
        </w:rPr>
        <w:t>As of December 31, 2018</w:t>
      </w:r>
    </w:p>
    <w:p>
      <w:pPr>
        <w:spacing w:after="0" w:line="46" w:lineRule="exact"/>
        <w:rPr>
          <w:sz w:val="20"/>
          <w:szCs w:val="20"/>
          <w:color w:val="auto"/>
        </w:rPr>
      </w:pPr>
    </w:p>
    <w:p>
      <w:pPr>
        <w:jc w:val="center"/>
        <w:ind w:right="5400"/>
        <w:spacing w:after="0"/>
        <w:rPr>
          <w:sz w:val="20"/>
          <w:szCs w:val="20"/>
          <w:color w:val="auto"/>
        </w:rPr>
      </w:pPr>
      <w:r>
        <w:rPr>
          <w:rFonts w:ascii="Arial" w:cs="Arial" w:eastAsia="Arial" w:hAnsi="Arial"/>
          <w:sz w:val="18"/>
          <w:szCs w:val="18"/>
          <w:color w:val="auto"/>
        </w:rPr>
        <w:t>(Dollars in thousands)</w:t>
      </w:r>
    </w:p>
    <w:p>
      <w:pPr>
        <w:spacing w:after="0" w:line="23" w:lineRule="exact"/>
        <w:rPr>
          <w:sz w:val="20"/>
          <w:szCs w:val="20"/>
          <w:color w:val="auto"/>
        </w:rPr>
      </w:pPr>
    </w:p>
    <w:p>
      <w:pPr>
        <w:ind w:left="1280" w:hanging="1272"/>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298,532 Subject to policy limitation of 25% of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-2224405</wp:posOffset>
            </wp:positionH>
            <wp:positionV relativeFrom="paragraph">
              <wp:posOffset>-130810</wp:posOffset>
            </wp:positionV>
            <wp:extent cx="651764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1360" w:right="1160" w:firstLine="589"/>
        <w:spacing w:after="0" w:line="261" w:lineRule="auto"/>
        <w:rPr>
          <w:sz w:val="20"/>
          <w:szCs w:val="20"/>
          <w:color w:val="auto"/>
        </w:rPr>
      </w:pPr>
      <w:r>
        <w:rPr>
          <w:rFonts w:ascii="Arial" w:cs="Arial" w:eastAsia="Arial" w:hAnsi="Arial"/>
          <w:sz w:val="18"/>
          <w:szCs w:val="18"/>
          <w:color w:val="auto"/>
        </w:rPr>
        <w:t>Unused advance capacity subject to eligible and qualified 39,902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-2224405</wp:posOffset>
            </wp:positionH>
            <wp:positionV relativeFrom="paragraph">
              <wp:posOffset>-10795</wp:posOffset>
            </wp:positionV>
            <wp:extent cx="651764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17640" cy="274320"/>
                    </a:xfrm>
                    <a:prstGeom prst="rect">
                      <a:avLst/>
                    </a:prstGeom>
                    <a:noFill/>
                  </pic:spPr>
                </pic:pic>
              </a:graphicData>
            </a:graphic>
          </wp:anchor>
        </w:drawing>
      </w:r>
    </w:p>
    <w:p>
      <w:pPr>
        <w:spacing w:after="0" w:line="164" w:lineRule="exact"/>
        <w:rPr>
          <w:sz w:val="20"/>
          <w:szCs w:val="20"/>
          <w:color w:val="auto"/>
        </w:rPr>
      </w:pPr>
    </w:p>
    <w:p>
      <w:pPr>
        <w:ind w:left="1960" w:hanging="372"/>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Unused credit line subject to the pledge of loans</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17,500</w:t>
      </w:r>
    </w:p>
    <w:p>
      <w:pPr>
        <w:spacing w:after="0" w:line="9" w:lineRule="exact"/>
        <w:rPr>
          <w:sz w:val="20"/>
          <w:szCs w:val="20"/>
          <w:color w:val="auto"/>
        </w:rPr>
      </w:pPr>
    </w:p>
    <w:p>
      <w:pPr>
        <w:ind w:left="1280" w:hanging="1272"/>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356,925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-2224405</wp:posOffset>
            </wp:positionH>
            <wp:positionV relativeFrom="paragraph">
              <wp:posOffset>-130810</wp:posOffset>
            </wp:positionV>
            <wp:extent cx="651764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17640" cy="171450"/>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3540" w:space="620"/>
            <w:col w:w="7260"/>
          </w:cols>
          <w:pgMar w:left="240" w:top="118" w:right="239" w:bottom="1440"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0" w:name="page41"/>
    <w:bookmarkEnd w:id="4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Retail deposits and other core deposit sources including deposit listing services are used by the Bank to manage its overall liquidity position. While we currently do not seek wholesale funding such as FHLBB advances and brokered deposits, the ability to raise them remains an important part of our liquidity contingency planning. While we closely monitor and forecast our liquidity position, it is affected by asset growth, deposit withdrawals and meeting other contractual obligations and commitments. The accuracy of our forecast assumptions may increase or decrease our overall available liquidity. To utilize the FHLBB advance capacity, the purchase of additional capital stock of the FHLBB may be required.</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December 31, 2018, the Company had $422.7 million of immediately accessible liquidity, defined as cash that the Bank reasonably believes could be raised within seven days through collateralized borrowings, brokered deposits or security sales. This position represented 35.4% of total assets. The Company also had $137.6 million of cash and cash equivalents at December 31, 2018.</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 believes that there are adequate funding sources to meet its liquidity needs for the foreseeable future. Primary funding sources are the repayment of principal and interest on loans, the renewal of time deposits, the potential for growth in the deposit base, and the credit availability from the FHLBB. Management does not believe that the terms and conditions that will be present at the renewal of these funding sources will significantly impact the Company’s operations, due to its management of the maturities of its assets and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unpaid principal balance and carrying amount of junior subordinated debentures totaled $16.5 million and $9.4 million, respectively, as of December 31, 2018. The unpaid principal balance and carrying amount of subordinated debt totaled $15.1 million and $14.8 million, respectively, as of December 31, 2018. The junior subordinated debt represents qualifying Tier 1 capital for the Company, up to a maximum of 25% of total Tier 1 capital, and subordinated debt represents qualifying Tier 2 capital for the Company. At December 31, 2018, the carrying amounts of the junior subordinated debt, net of the Company’s $496 thousand investment in the affiliated trusts, qualified as Tier 1 capital, and the subordinated debt qualified as Tier 2 capital.</w:t>
      </w:r>
    </w:p>
    <w:p>
      <w:pPr>
        <w:spacing w:after="0" w:line="158"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At December 31, 2018, shareholders’ equity was $148.5 million, an increase of $10.1 million, or 7.3% from June 30, 2018. Book value per outstanding common share was $16.41 at December 31, 2018 and $15.49 at June 30, 2018. Tier 1 capital to total average assets of the Company was 13.2% as of December 31, 2018 and 13.1% at June 30, 2018.</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Under the capital rules, risk-based capital ratios are calculated by dividing Tier 1 and total capital, respectively, by risk-weighted assets. Assets and off-balance sheet credit equivalents are assigned to one of several risk-weight categories, based primarily on relative risk. The rules require banks and bank holding companies to maintain a minimum common equity Tier 1 capital ratio of 4.5%, a minimum Tier 1 capital ratio of 6%, a total capital ratio of 8% and a leverage ratio of 4%. Additionally, subject to a transition schedule, the capital rules require a bank holding company to establish a capital conservation buffer of Tier 1 capital in an amount above the minimum risk-based capital requirements for "adequately capitalized" institutions equal to 2.5% of total risk weighted assets, or face restrictions on the ability to pay dividends, pay discretionary bonuses, and to engage in share repurchases.</w:t>
      </w:r>
    </w:p>
    <w:p>
      <w:pPr>
        <w:spacing w:after="0" w:line="17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 bank holding company, such as the Company, is considered "well capitalized" if the bank holding company (i) has a total capital ratio of at least 10%, (ii) has a Tier 1 risk-based capital ratio of at least 6%, and (iii) is not subject to any written agreement order, capital directive or prompt corrective action directive to meet and maintain a specific capital level for any capital measure. In addition, the FDIC has amended its prompt corrective action rules to reflect the revisions made by the revised capital rules described above. Under the FDIC's revised rules, which became effective January 1, 2015, an insured state nonmember bank is considered "well capitalized" if it (i) has a total capital ratio of 10.0% or greater; (ii) a Tier 1 risk-based capital ratio of 8.0% or greater;</w:t>
      </w:r>
    </w:p>
    <w:p>
      <w:pPr>
        <w:spacing w:after="0" w:line="2" w:lineRule="exact"/>
        <w:rPr>
          <w:sz w:val="20"/>
          <w:szCs w:val="20"/>
          <w:color w:val="auto"/>
        </w:rPr>
      </w:pPr>
    </w:p>
    <w:p>
      <w:pPr>
        <w:ind w:right="260" w:firstLine="8"/>
        <w:spacing w:after="0" w:line="290" w:lineRule="auto"/>
        <w:tabs>
          <w:tab w:leader="none" w:pos="3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common Tier 1 equity ratio of 6.5% or greater, (iv) a leverage capital ratio of 5.0% or greater; and (iv) is not subject to any written agreement, order, capital directive, or prompt corrective action directive to meet and maintain a specific capital level for any capital measure.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and the Bank are considered "well capitalized" under all regulatory definitions. The Company's and the Bank's regulatory capital ratios are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Minimum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8"/>
          </w:tcPr>
          <w:p>
            <w:pPr>
              <w:jc w:val="center"/>
              <w:ind w:right="340"/>
              <w:spacing w:after="0"/>
              <w:rPr>
                <w:sz w:val="20"/>
                <w:szCs w:val="20"/>
                <w:color w:val="auto"/>
              </w:rPr>
            </w:pPr>
            <w:r>
              <w:rPr>
                <w:rFonts w:ascii="Arial" w:cs="Arial" w:eastAsia="Arial" w:hAnsi="Arial"/>
                <w:sz w:val="18"/>
                <w:szCs w:val="18"/>
                <w:color w:val="auto"/>
                <w:w w:val="95"/>
              </w:rPr>
              <w:t>Minimum To Be Well</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Capital Ratio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8"/>
          </w:tcPr>
          <w:p>
            <w:pPr>
              <w:jc w:val="center"/>
              <w:ind w:right="360"/>
              <w:spacing w:after="0"/>
              <w:rPr>
                <w:sz w:val="20"/>
                <w:szCs w:val="20"/>
                <w:color w:val="auto"/>
              </w:rPr>
            </w:pPr>
            <w:r>
              <w:rPr>
                <w:rFonts w:ascii="Arial" w:cs="Arial" w:eastAsia="Arial" w:hAnsi="Arial"/>
                <w:sz w:val="18"/>
                <w:szCs w:val="18"/>
                <w:color w:val="auto"/>
                <w:w w:val="92"/>
              </w:rPr>
              <w:t>Capitalized Under</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with Capital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8"/>
                <w:szCs w:val="18"/>
                <w:color w:val="auto"/>
              </w:rPr>
              <w:t>Minimum Capital</w:t>
            </w:r>
          </w:p>
        </w:tc>
        <w:tc>
          <w:tcPr>
            <w:tcW w:w="80" w:type="dxa"/>
            <w:vAlign w:val="bottom"/>
          </w:tcPr>
          <w:p>
            <w:pPr>
              <w:spacing w:after="0"/>
              <w:rPr>
                <w:sz w:val="18"/>
                <w:szCs w:val="18"/>
                <w:color w:val="auto"/>
              </w:rPr>
            </w:pPr>
          </w:p>
        </w:tc>
        <w:tc>
          <w:tcPr>
            <w:tcW w:w="1960" w:type="dxa"/>
            <w:vAlign w:val="bottom"/>
            <w:gridSpan w:val="8"/>
          </w:tcPr>
          <w:p>
            <w:pPr>
              <w:jc w:val="center"/>
              <w:ind w:right="340"/>
              <w:spacing w:after="0"/>
              <w:rPr>
                <w:sz w:val="20"/>
                <w:szCs w:val="20"/>
                <w:color w:val="auto"/>
              </w:rPr>
            </w:pPr>
            <w:r>
              <w:rPr>
                <w:rFonts w:ascii="Arial" w:cs="Arial" w:eastAsia="Arial" w:hAnsi="Arial"/>
                <w:sz w:val="18"/>
                <w:szCs w:val="18"/>
                <w:color w:val="auto"/>
                <w:w w:val="92"/>
              </w:rPr>
              <w:t>Prompt Corrective</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Conservation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560"/>
              <w:spacing w:after="0"/>
              <w:rPr>
                <w:sz w:val="20"/>
                <w:szCs w:val="20"/>
                <w:color w:val="auto"/>
              </w:rPr>
            </w:pPr>
            <w:r>
              <w:rPr>
                <w:rFonts w:ascii="Arial" w:cs="Arial" w:eastAsia="Arial" w:hAnsi="Arial"/>
                <w:sz w:val="18"/>
                <w:szCs w:val="18"/>
                <w:color w:val="auto"/>
                <w:w w:val="99"/>
              </w:rPr>
              <w:t>Actual</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6"/>
          </w:tcPr>
          <w:p>
            <w:pPr>
              <w:jc w:val="right"/>
              <w:ind w:right="660"/>
              <w:spacing w:after="0"/>
              <w:rPr>
                <w:sz w:val="20"/>
                <w:szCs w:val="20"/>
                <w:color w:val="auto"/>
              </w:rPr>
            </w:pPr>
            <w:r>
              <w:rPr>
                <w:rFonts w:ascii="Arial" w:cs="Arial" w:eastAsia="Arial" w:hAnsi="Arial"/>
                <w:sz w:val="18"/>
                <w:szCs w:val="18"/>
                <w:color w:val="auto"/>
              </w:rPr>
              <w:t>Requirements</w:t>
            </w:r>
          </w:p>
        </w:tc>
        <w:tc>
          <w:tcPr>
            <w:tcW w:w="80" w:type="dxa"/>
            <w:vAlign w:val="bottom"/>
          </w:tcPr>
          <w:p>
            <w:pPr>
              <w:spacing w:after="0"/>
              <w:rPr>
                <w:sz w:val="20"/>
                <w:szCs w:val="20"/>
                <w:color w:val="auto"/>
              </w:rPr>
            </w:pPr>
          </w:p>
        </w:tc>
        <w:tc>
          <w:tcPr>
            <w:tcW w:w="1960" w:type="dxa"/>
            <w:vAlign w:val="bottom"/>
            <w:gridSpan w:val="8"/>
          </w:tcPr>
          <w:p>
            <w:pPr>
              <w:jc w:val="center"/>
              <w:ind w:right="340"/>
              <w:spacing w:after="0"/>
              <w:rPr>
                <w:sz w:val="20"/>
                <w:szCs w:val="20"/>
                <w:color w:val="auto"/>
              </w:rPr>
            </w:pPr>
            <w:r>
              <w:rPr>
                <w:rFonts w:ascii="Arial" w:cs="Arial" w:eastAsia="Arial" w:hAnsi="Arial"/>
                <w:sz w:val="18"/>
                <w:szCs w:val="18"/>
                <w:color w:val="auto"/>
                <w:w w:val="94"/>
              </w:rPr>
              <w:t>Action Provisions</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Buffer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Amount</w:t>
            </w: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Ratio</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Amount</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3"/>
          </w:tcPr>
          <w:p>
            <w:pPr>
              <w:ind w:left="200"/>
              <w:spacing w:after="0"/>
              <w:rPr>
                <w:sz w:val="20"/>
                <w:szCs w:val="20"/>
                <w:color w:val="auto"/>
              </w:rPr>
            </w:pPr>
            <w:r>
              <w:rPr>
                <w:rFonts w:ascii="Arial" w:cs="Arial" w:eastAsia="Arial" w:hAnsi="Arial"/>
                <w:sz w:val="18"/>
                <w:szCs w:val="18"/>
                <w:color w:val="auto"/>
              </w:rPr>
              <w:t>Ratio</w:t>
            </w: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Amount</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5"/>
          </w:tcPr>
          <w:p>
            <w:pPr>
              <w:jc w:val="right"/>
              <w:ind w:right="200"/>
              <w:spacing w:after="0"/>
              <w:rPr>
                <w:sz w:val="20"/>
                <w:szCs w:val="20"/>
                <w:color w:val="auto"/>
              </w:rPr>
            </w:pPr>
            <w:r>
              <w:rPr>
                <w:rFonts w:ascii="Arial" w:cs="Arial" w:eastAsia="Arial" w:hAnsi="Arial"/>
                <w:sz w:val="18"/>
                <w:szCs w:val="18"/>
                <w:color w:val="auto"/>
              </w:rPr>
              <w:t>Ratio</w:t>
            </w:r>
          </w:p>
        </w:tc>
        <w:tc>
          <w:tcPr>
            <w:tcW w:w="2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Ratio</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9"/>
          </w:tcPr>
          <w:p>
            <w:pPr>
              <w:ind w:left="620"/>
              <w:spacing w:after="0"/>
              <w:rPr>
                <w:sz w:val="20"/>
                <w:szCs w:val="20"/>
                <w:color w:val="auto"/>
              </w:rPr>
            </w:pPr>
            <w:r>
              <w:rPr>
                <w:rFonts w:ascii="Arial" w:cs="Arial" w:eastAsia="Arial" w:hAnsi="Arial"/>
                <w:sz w:val="18"/>
                <w:szCs w:val="18"/>
                <w:color w:val="auto"/>
              </w:rPr>
              <w:t>(Dollars in thousands)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7"/>
              </w:rPr>
              <w:t>Common equity tier 1 capital to risk weighted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149,439</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16.26%</w:t>
            </w: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41,356</w:t>
            </w:r>
          </w:p>
        </w:tc>
        <w:tc>
          <w:tcPr>
            <w:tcW w:w="106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&gt;4.5%</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w w:val="99"/>
              </w:rPr>
              <w:t>N/A</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00" w:type="dxa"/>
            <w:vAlign w:val="bottom"/>
          </w:tcPr>
          <w:p>
            <w:pPr>
              <w:spacing w:after="0"/>
              <w:rPr>
                <w:sz w:val="15"/>
                <w:szCs w:val="15"/>
                <w:color w:val="auto"/>
              </w:rPr>
            </w:pPr>
          </w:p>
        </w:tc>
        <w:tc>
          <w:tcPr>
            <w:tcW w:w="9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167,805</w:t>
            </w:r>
          </w:p>
        </w:tc>
        <w:tc>
          <w:tcPr>
            <w:tcW w:w="180" w:type="dxa"/>
            <w:vAlign w:val="bottom"/>
          </w:tcPr>
          <w:p>
            <w:pPr>
              <w:spacing w:after="0"/>
              <w:rPr>
                <w:sz w:val="15"/>
                <w:szCs w:val="15"/>
                <w:color w:val="auto"/>
              </w:rPr>
            </w:pPr>
          </w:p>
        </w:tc>
        <w:tc>
          <w:tcPr>
            <w:tcW w:w="8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18.25%</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41,374</w:t>
            </w:r>
          </w:p>
        </w:tc>
        <w:tc>
          <w:tcPr>
            <w:tcW w:w="106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59,762</w:t>
            </w:r>
          </w:p>
        </w:tc>
        <w:tc>
          <w:tcPr>
            <w:tcW w:w="1040" w:type="dxa"/>
            <w:vAlign w:val="bottom"/>
            <w:gridSpan w:val="6"/>
          </w:tcPr>
          <w:p>
            <w:pPr>
              <w:jc w:val="right"/>
              <w:ind w:right="120"/>
              <w:spacing w:after="0" w:line="176" w:lineRule="exact"/>
              <w:rPr>
                <w:sz w:val="20"/>
                <w:szCs w:val="20"/>
                <w:color w:val="auto"/>
              </w:rPr>
            </w:pPr>
            <w:r>
              <w:rPr>
                <w:rFonts w:ascii="Arial" w:cs="Arial" w:eastAsia="Arial" w:hAnsi="Arial"/>
                <w:sz w:val="18"/>
                <w:szCs w:val="18"/>
                <w:color w:val="auto"/>
              </w:rPr>
              <w:t>&gt;6.5%</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178,431</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19.42%</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73,521</w:t>
            </w:r>
          </w:p>
        </w:tc>
        <w:tc>
          <w:tcPr>
            <w:tcW w:w="106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&gt;8.0%</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w w:val="99"/>
              </w:rPr>
              <w:t>N/A</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00" w:type="dxa"/>
            <w:vAlign w:val="bottom"/>
          </w:tcPr>
          <w:p>
            <w:pPr>
              <w:spacing w:after="0"/>
              <w:rPr>
                <w:sz w:val="15"/>
                <w:szCs w:val="15"/>
                <w:color w:val="auto"/>
              </w:rPr>
            </w:pPr>
          </w:p>
        </w:tc>
        <w:tc>
          <w:tcPr>
            <w:tcW w:w="9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173,165</w:t>
            </w:r>
          </w:p>
        </w:tc>
        <w:tc>
          <w:tcPr>
            <w:tcW w:w="180" w:type="dxa"/>
            <w:vAlign w:val="bottom"/>
          </w:tcPr>
          <w:p>
            <w:pPr>
              <w:spacing w:after="0"/>
              <w:rPr>
                <w:sz w:val="15"/>
                <w:szCs w:val="15"/>
                <w:color w:val="auto"/>
              </w:rPr>
            </w:pPr>
          </w:p>
        </w:tc>
        <w:tc>
          <w:tcPr>
            <w:tcW w:w="8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18.83%</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73,554</w:t>
            </w:r>
          </w:p>
        </w:tc>
        <w:tc>
          <w:tcPr>
            <w:tcW w:w="106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&gt;8.0%</w:t>
            </w:r>
          </w:p>
        </w:tc>
        <w:tc>
          <w:tcPr>
            <w:tcW w:w="80" w:type="dxa"/>
            <w:vAlign w:val="bottom"/>
          </w:tcPr>
          <w:p>
            <w:pPr>
              <w:spacing w:after="0"/>
              <w:rPr>
                <w:sz w:val="15"/>
                <w:szCs w:val="15"/>
                <w:color w:val="auto"/>
              </w:rPr>
            </w:pPr>
          </w:p>
        </w:tc>
        <w:tc>
          <w:tcPr>
            <w:tcW w:w="9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91,942</w:t>
            </w:r>
          </w:p>
        </w:tc>
        <w:tc>
          <w:tcPr>
            <w:tcW w:w="1040" w:type="dxa"/>
            <w:vAlign w:val="bottom"/>
            <w:gridSpan w:val="6"/>
          </w:tcPr>
          <w:p>
            <w:pPr>
              <w:jc w:val="right"/>
              <w:ind w:right="120"/>
              <w:spacing w:after="0" w:line="176" w:lineRule="exact"/>
              <w:rPr>
                <w:sz w:val="20"/>
                <w:szCs w:val="20"/>
                <w:color w:val="auto"/>
              </w:rPr>
            </w:pPr>
            <w:r>
              <w:rPr>
                <w:rFonts w:ascii="Arial" w:cs="Arial" w:eastAsia="Arial" w:hAnsi="Arial"/>
                <w:sz w:val="18"/>
                <w:szCs w:val="18"/>
                <w:color w:val="auto"/>
              </w:rPr>
              <w:t>&gt;10.0%</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Tier 1 capital to risk weighted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158,297</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17.22%</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55,141</w:t>
            </w:r>
          </w:p>
        </w:tc>
        <w:tc>
          <w:tcPr>
            <w:tcW w:w="106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&gt;6.0%</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w w:val="99"/>
              </w:rPr>
              <w:t>N/A</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00" w:type="dxa"/>
            <w:vAlign w:val="bottom"/>
          </w:tcPr>
          <w:p>
            <w:pPr>
              <w:spacing w:after="0"/>
              <w:rPr>
                <w:sz w:val="15"/>
                <w:szCs w:val="15"/>
                <w:color w:val="auto"/>
              </w:rPr>
            </w:pPr>
          </w:p>
        </w:tc>
        <w:tc>
          <w:tcPr>
            <w:tcW w:w="9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167,805</w:t>
            </w:r>
          </w:p>
        </w:tc>
        <w:tc>
          <w:tcPr>
            <w:tcW w:w="180" w:type="dxa"/>
            <w:vAlign w:val="bottom"/>
          </w:tcPr>
          <w:p>
            <w:pPr>
              <w:spacing w:after="0"/>
              <w:rPr>
                <w:sz w:val="15"/>
                <w:szCs w:val="15"/>
                <w:color w:val="auto"/>
              </w:rPr>
            </w:pPr>
          </w:p>
        </w:tc>
        <w:tc>
          <w:tcPr>
            <w:tcW w:w="8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18.25%</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55,165</w:t>
            </w:r>
          </w:p>
        </w:tc>
        <w:tc>
          <w:tcPr>
            <w:tcW w:w="106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&gt;6.0%</w:t>
            </w:r>
          </w:p>
        </w:tc>
        <w:tc>
          <w:tcPr>
            <w:tcW w:w="80" w:type="dxa"/>
            <w:vAlign w:val="bottom"/>
          </w:tcPr>
          <w:p>
            <w:pPr>
              <w:spacing w:after="0"/>
              <w:rPr>
                <w:sz w:val="15"/>
                <w:szCs w:val="15"/>
                <w:color w:val="auto"/>
              </w:rPr>
            </w:pPr>
          </w:p>
        </w:tc>
        <w:tc>
          <w:tcPr>
            <w:tcW w:w="9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73,554</w:t>
            </w:r>
          </w:p>
        </w:tc>
        <w:tc>
          <w:tcPr>
            <w:tcW w:w="1040" w:type="dxa"/>
            <w:vAlign w:val="bottom"/>
            <w:gridSpan w:val="6"/>
          </w:tcPr>
          <w:p>
            <w:pPr>
              <w:jc w:val="right"/>
              <w:ind w:right="120"/>
              <w:spacing w:after="0" w:line="176" w:lineRule="exact"/>
              <w:rPr>
                <w:sz w:val="20"/>
                <w:szCs w:val="20"/>
                <w:color w:val="auto"/>
              </w:rPr>
            </w:pPr>
            <w:r>
              <w:rPr>
                <w:rFonts w:ascii="Arial" w:cs="Arial" w:eastAsia="Arial" w:hAnsi="Arial"/>
                <w:sz w:val="18"/>
                <w:szCs w:val="18"/>
                <w:color w:val="auto"/>
              </w:rPr>
              <w:t>&gt;8.0%</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158,297</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47,975</w:t>
            </w:r>
          </w:p>
        </w:tc>
        <w:tc>
          <w:tcPr>
            <w:tcW w:w="106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&gt;4.0%</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w w:val="99"/>
              </w:rPr>
              <w:t>N/A</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00" w:type="dxa"/>
            <w:vAlign w:val="bottom"/>
          </w:tcPr>
          <w:p>
            <w:pPr>
              <w:spacing w:after="0"/>
              <w:rPr>
                <w:sz w:val="15"/>
                <w:szCs w:val="15"/>
                <w:color w:val="auto"/>
              </w:rPr>
            </w:pPr>
          </w:p>
        </w:tc>
        <w:tc>
          <w:tcPr>
            <w:tcW w:w="9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167,805</w:t>
            </w:r>
          </w:p>
        </w:tc>
        <w:tc>
          <w:tcPr>
            <w:tcW w:w="180" w:type="dxa"/>
            <w:vAlign w:val="bottom"/>
          </w:tcPr>
          <w:p>
            <w:pPr>
              <w:spacing w:after="0"/>
              <w:rPr>
                <w:sz w:val="15"/>
                <w:szCs w:val="15"/>
                <w:color w:val="auto"/>
              </w:rPr>
            </w:pPr>
          </w:p>
        </w:tc>
        <w:tc>
          <w:tcPr>
            <w:tcW w:w="8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14.00%</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47,948</w:t>
            </w:r>
          </w:p>
        </w:tc>
        <w:tc>
          <w:tcPr>
            <w:tcW w:w="106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&gt;4.0%</w:t>
            </w:r>
          </w:p>
        </w:tc>
        <w:tc>
          <w:tcPr>
            <w:tcW w:w="80" w:type="dxa"/>
            <w:vAlign w:val="bottom"/>
          </w:tcPr>
          <w:p>
            <w:pPr>
              <w:spacing w:after="0"/>
              <w:rPr>
                <w:sz w:val="15"/>
                <w:szCs w:val="15"/>
                <w:color w:val="auto"/>
              </w:rPr>
            </w:pPr>
          </w:p>
        </w:tc>
        <w:tc>
          <w:tcPr>
            <w:tcW w:w="9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59,935</w:t>
            </w:r>
          </w:p>
        </w:tc>
        <w:tc>
          <w:tcPr>
            <w:tcW w:w="1040" w:type="dxa"/>
            <w:vAlign w:val="bottom"/>
            <w:gridSpan w:val="6"/>
          </w:tcPr>
          <w:p>
            <w:pPr>
              <w:jc w:val="right"/>
              <w:ind w:right="120"/>
              <w:spacing w:after="0" w:line="176" w:lineRule="exact"/>
              <w:rPr>
                <w:sz w:val="20"/>
                <w:szCs w:val="20"/>
                <w:color w:val="auto"/>
              </w:rPr>
            </w:pPr>
            <w:r>
              <w:rPr>
                <w:rFonts w:ascii="Arial" w:cs="Arial" w:eastAsia="Arial" w:hAnsi="Arial"/>
                <w:sz w:val="18"/>
                <w:szCs w:val="18"/>
                <w:color w:val="auto"/>
              </w:rPr>
              <w:t>&gt;5.0%</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June 30, 2018: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7"/>
              </w:rPr>
              <w:t>Common equity tier 1 capital to risk weighted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10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139,247</w:t>
            </w:r>
          </w:p>
        </w:tc>
        <w:tc>
          <w:tcPr>
            <w:tcW w:w="180" w:type="dxa"/>
            <w:vAlign w:val="bottom"/>
          </w:tcPr>
          <w:p>
            <w:pPr>
              <w:spacing w:after="0"/>
              <w:rPr>
                <w:sz w:val="15"/>
                <w:szCs w:val="15"/>
                <w:color w:val="auto"/>
              </w:rPr>
            </w:pPr>
          </w:p>
        </w:tc>
        <w:tc>
          <w:tcPr>
            <w:tcW w:w="8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16.02%</w:t>
            </w:r>
          </w:p>
        </w:tc>
        <w:tc>
          <w:tcPr>
            <w:tcW w:w="10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39,113</w:t>
            </w:r>
          </w:p>
        </w:tc>
        <w:tc>
          <w:tcPr>
            <w:tcW w:w="220" w:type="dxa"/>
            <w:vAlign w:val="bottom"/>
          </w:tcPr>
          <w:p>
            <w:pPr>
              <w:spacing w:after="0"/>
              <w:rPr>
                <w:sz w:val="15"/>
                <w:szCs w:val="15"/>
                <w:color w:val="auto"/>
              </w:rPr>
            </w:pPr>
          </w:p>
        </w:tc>
        <w:tc>
          <w:tcPr>
            <w:tcW w:w="106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&gt;4.5%</w:t>
            </w:r>
          </w:p>
        </w:tc>
        <w:tc>
          <w:tcPr>
            <w:tcW w:w="80" w:type="dxa"/>
            <w:vAlign w:val="bottom"/>
          </w:tcPr>
          <w:p>
            <w:pPr>
              <w:spacing w:after="0"/>
              <w:rPr>
                <w:sz w:val="15"/>
                <w:szCs w:val="15"/>
                <w:color w:val="auto"/>
              </w:rPr>
            </w:pPr>
          </w:p>
        </w:tc>
        <w:tc>
          <w:tcPr>
            <w:tcW w:w="9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3"/>
          </w:tcPr>
          <w:p>
            <w:pPr>
              <w:jc w:val="right"/>
              <w:ind w:right="260"/>
              <w:spacing w:after="0" w:line="176" w:lineRule="exact"/>
              <w:rPr>
                <w:sz w:val="20"/>
                <w:szCs w:val="20"/>
                <w:color w:val="auto"/>
              </w:rPr>
            </w:pPr>
            <w:r>
              <w:rPr>
                <w:rFonts w:ascii="Arial" w:cs="Arial" w:eastAsia="Arial" w:hAnsi="Arial"/>
                <w:sz w:val="18"/>
                <w:szCs w:val="18"/>
                <w:color w:val="auto"/>
                <w:w w:val="99"/>
              </w:rPr>
              <w:t>N/A</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156,856</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39,120</w:t>
            </w:r>
          </w:p>
        </w:tc>
        <w:tc>
          <w:tcPr>
            <w:tcW w:w="106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56,506</w:t>
            </w:r>
          </w:p>
        </w:tc>
        <w:tc>
          <w:tcPr>
            <w:tcW w:w="1040" w:type="dxa"/>
            <w:vAlign w:val="bottom"/>
            <w:gridSpan w:val="6"/>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&gt;6.5%</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100" w:type="dxa"/>
            <w:vAlign w:val="bottom"/>
          </w:tcPr>
          <w:p>
            <w:pPr>
              <w:spacing w:after="0"/>
              <w:rPr>
                <w:sz w:val="15"/>
                <w:szCs w:val="15"/>
                <w:color w:val="auto"/>
              </w:rPr>
            </w:pPr>
          </w:p>
        </w:tc>
        <w:tc>
          <w:tcPr>
            <w:tcW w:w="9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167,567</w:t>
            </w:r>
          </w:p>
        </w:tc>
        <w:tc>
          <w:tcPr>
            <w:tcW w:w="180" w:type="dxa"/>
            <w:vAlign w:val="bottom"/>
          </w:tcPr>
          <w:p>
            <w:pPr>
              <w:spacing w:after="0"/>
              <w:rPr>
                <w:sz w:val="15"/>
                <w:szCs w:val="15"/>
                <w:color w:val="auto"/>
              </w:rPr>
            </w:pPr>
          </w:p>
        </w:tc>
        <w:tc>
          <w:tcPr>
            <w:tcW w:w="8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19.28%</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69,535</w:t>
            </w:r>
          </w:p>
        </w:tc>
        <w:tc>
          <w:tcPr>
            <w:tcW w:w="106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&gt;8.0%</w:t>
            </w:r>
          </w:p>
        </w:tc>
        <w:tc>
          <w:tcPr>
            <w:tcW w:w="80" w:type="dxa"/>
            <w:vAlign w:val="bottom"/>
          </w:tcPr>
          <w:p>
            <w:pPr>
              <w:spacing w:after="0"/>
              <w:rPr>
                <w:sz w:val="15"/>
                <w:szCs w:val="15"/>
                <w:color w:val="auto"/>
              </w:rPr>
            </w:pPr>
          </w:p>
        </w:tc>
        <w:tc>
          <w:tcPr>
            <w:tcW w:w="9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3"/>
          </w:tcPr>
          <w:p>
            <w:pPr>
              <w:jc w:val="right"/>
              <w:ind w:right="260"/>
              <w:spacing w:after="0" w:line="176" w:lineRule="exact"/>
              <w:rPr>
                <w:sz w:val="20"/>
                <w:szCs w:val="20"/>
                <w:color w:val="auto"/>
              </w:rPr>
            </w:pPr>
            <w:r>
              <w:rPr>
                <w:rFonts w:ascii="Arial" w:cs="Arial" w:eastAsia="Arial" w:hAnsi="Arial"/>
                <w:sz w:val="18"/>
                <w:szCs w:val="18"/>
                <w:color w:val="auto"/>
                <w:w w:val="99"/>
              </w:rPr>
              <w:t>N/A</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161,714</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18.60%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69,546</w:t>
            </w:r>
          </w:p>
        </w:tc>
        <w:tc>
          <w:tcPr>
            <w:tcW w:w="106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&gt;8.0%</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86,933</w:t>
            </w:r>
          </w:p>
        </w:tc>
        <w:tc>
          <w:tcPr>
            <w:tcW w:w="1040" w:type="dxa"/>
            <w:vAlign w:val="bottom"/>
            <w:gridSpan w:val="6"/>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&gt;10.0%</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 weighted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100" w:type="dxa"/>
            <w:vAlign w:val="bottom"/>
          </w:tcPr>
          <w:p>
            <w:pPr>
              <w:spacing w:after="0"/>
              <w:rPr>
                <w:sz w:val="15"/>
                <w:szCs w:val="15"/>
                <w:color w:val="auto"/>
              </w:rPr>
            </w:pPr>
          </w:p>
        </w:tc>
        <w:tc>
          <w:tcPr>
            <w:tcW w:w="9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147,990</w:t>
            </w:r>
          </w:p>
        </w:tc>
        <w:tc>
          <w:tcPr>
            <w:tcW w:w="180" w:type="dxa"/>
            <w:vAlign w:val="bottom"/>
          </w:tcPr>
          <w:p>
            <w:pPr>
              <w:spacing w:after="0"/>
              <w:rPr>
                <w:sz w:val="15"/>
                <w:szCs w:val="15"/>
                <w:color w:val="auto"/>
              </w:rPr>
            </w:pPr>
          </w:p>
        </w:tc>
        <w:tc>
          <w:tcPr>
            <w:tcW w:w="8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17.03%</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52,151</w:t>
            </w:r>
          </w:p>
        </w:tc>
        <w:tc>
          <w:tcPr>
            <w:tcW w:w="106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&gt;6.0%</w:t>
            </w:r>
          </w:p>
        </w:tc>
        <w:tc>
          <w:tcPr>
            <w:tcW w:w="80" w:type="dxa"/>
            <w:vAlign w:val="bottom"/>
          </w:tcPr>
          <w:p>
            <w:pPr>
              <w:spacing w:after="0"/>
              <w:rPr>
                <w:sz w:val="15"/>
                <w:szCs w:val="15"/>
                <w:color w:val="auto"/>
              </w:rPr>
            </w:pPr>
          </w:p>
        </w:tc>
        <w:tc>
          <w:tcPr>
            <w:tcW w:w="9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3"/>
          </w:tcPr>
          <w:p>
            <w:pPr>
              <w:jc w:val="right"/>
              <w:ind w:right="260"/>
              <w:spacing w:after="0" w:line="176" w:lineRule="exact"/>
              <w:rPr>
                <w:sz w:val="20"/>
                <w:szCs w:val="20"/>
                <w:color w:val="auto"/>
              </w:rPr>
            </w:pPr>
            <w:r>
              <w:rPr>
                <w:rFonts w:ascii="Arial" w:cs="Arial" w:eastAsia="Arial" w:hAnsi="Arial"/>
                <w:sz w:val="18"/>
                <w:szCs w:val="18"/>
                <w:color w:val="auto"/>
                <w:w w:val="99"/>
              </w:rPr>
              <w:t>N/A</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156,856</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52,160</w:t>
            </w:r>
          </w:p>
        </w:tc>
        <w:tc>
          <w:tcPr>
            <w:tcW w:w="106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&gt;6.0%</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69,546</w:t>
            </w:r>
          </w:p>
        </w:tc>
        <w:tc>
          <w:tcPr>
            <w:tcW w:w="1040" w:type="dxa"/>
            <w:vAlign w:val="bottom"/>
            <w:gridSpan w:val="6"/>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&gt;8.0%</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100" w:type="dxa"/>
            <w:vAlign w:val="bottom"/>
          </w:tcPr>
          <w:p>
            <w:pPr>
              <w:spacing w:after="0"/>
              <w:rPr>
                <w:sz w:val="15"/>
                <w:szCs w:val="15"/>
                <w:color w:val="auto"/>
              </w:rPr>
            </w:pPr>
          </w:p>
        </w:tc>
        <w:tc>
          <w:tcPr>
            <w:tcW w:w="9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147,990</w:t>
            </w:r>
          </w:p>
        </w:tc>
        <w:tc>
          <w:tcPr>
            <w:tcW w:w="180" w:type="dxa"/>
            <w:vAlign w:val="bottom"/>
          </w:tcPr>
          <w:p>
            <w:pPr>
              <w:spacing w:after="0"/>
              <w:rPr>
                <w:sz w:val="15"/>
                <w:szCs w:val="15"/>
                <w:color w:val="auto"/>
              </w:rPr>
            </w:pPr>
          </w:p>
        </w:tc>
        <w:tc>
          <w:tcPr>
            <w:tcW w:w="8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13.12%</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45,102</w:t>
            </w:r>
          </w:p>
        </w:tc>
        <w:tc>
          <w:tcPr>
            <w:tcW w:w="106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&gt;4.0%</w:t>
            </w:r>
          </w:p>
        </w:tc>
        <w:tc>
          <w:tcPr>
            <w:tcW w:w="80" w:type="dxa"/>
            <w:vAlign w:val="bottom"/>
          </w:tcPr>
          <w:p>
            <w:pPr>
              <w:spacing w:after="0"/>
              <w:rPr>
                <w:sz w:val="15"/>
                <w:szCs w:val="15"/>
                <w:color w:val="auto"/>
              </w:rPr>
            </w:pPr>
          </w:p>
        </w:tc>
        <w:tc>
          <w:tcPr>
            <w:tcW w:w="9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3"/>
          </w:tcPr>
          <w:p>
            <w:pPr>
              <w:jc w:val="right"/>
              <w:ind w:right="260"/>
              <w:spacing w:after="0" w:line="176" w:lineRule="exact"/>
              <w:rPr>
                <w:sz w:val="20"/>
                <w:szCs w:val="20"/>
                <w:color w:val="auto"/>
              </w:rPr>
            </w:pPr>
            <w:r>
              <w:rPr>
                <w:rFonts w:ascii="Arial" w:cs="Arial" w:eastAsia="Arial" w:hAnsi="Arial"/>
                <w:sz w:val="18"/>
                <w:szCs w:val="18"/>
                <w:color w:val="auto"/>
                <w:w w:val="99"/>
              </w:rPr>
              <w:t>N/A</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156,856</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45,075</w:t>
            </w:r>
          </w:p>
        </w:tc>
        <w:tc>
          <w:tcPr>
            <w:tcW w:w="106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&gt;4.0%</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56,344</w:t>
            </w:r>
          </w:p>
        </w:tc>
        <w:tc>
          <w:tcPr>
            <w:tcW w:w="1040" w:type="dxa"/>
            <w:vAlign w:val="bottom"/>
            <w:gridSpan w:val="6"/>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&gt;5.0%</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In addition to the minimum regulatory capital required for capital adequacy purposes included in the table above, the Company is required to maintain a capital conservation buffer, in the form of common equity, in order to avoid restrictions on capital distributions and discretionary bonuses. The required amount of the capital conservation buffer was 2.5% on January 1, 2019.</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Bank may not declare or pay a cash dividend on, or repurchase, any of its capital stock from the Company if the effect thereof would cause the capital of the Bank to be reduced below the capital requirements imposed by the regulatory authorities or if such amount exceeds the otherwise allowable amount under FRB rules.</w:t>
      </w:r>
    </w:p>
    <w:p>
      <w:pPr>
        <w:spacing w:after="0" w:line="18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connection with the merger on December 29, 2010, as part of the regulatory approval process, the Company and the Bank made certain commitments to the Federal Reserve, the most significant of which are (i) to maintain a Tier 1 leverage ratio of at least 10%, (ii) to maintain a total capital ratio of at least 15%, (iii) to limit purchased loans to 40% of total loans, (iv) to fund 100% of the Company's loans with core deposits (defined as non-maturity deposits and non-brokered insured time deposits), and (v) to hold non-owner occupied commercial real estate loans to within 300% of total capital. The Company and the Bank are currently in compliance with all commitments to the Federal Reserve.</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discussed in more detail above, in connection with the Reorganization, the Bank intends to replace these commitments with standards relating to its capital levels and asset portfolio composition, which will be incorporated into its policies and procedures, and compliance with FDIC policy on commercial real estate concentration risk.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Financial Instruments</w:t>
      </w:r>
    </w:p>
    <w:p>
      <w:pPr>
        <w:spacing w:after="0" w:line="22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Company is a party to financial instruments with off-balance sheet risk in the normal course of business to meet the financing needs of its customers. These financial instruments include commitments to extend credit, unused lines of credit, standby letters of credit, and commitments to fund investments. These instruments involve, to varying degrees, elements of credit and interest-rate risk in excess of the amounts recognized on the condensed consolidated balance sheet. The contract or notional amounts of these instruments reflect the extent of the Company’s involvement in particular classes of financial instruments.</w:t>
      </w:r>
    </w:p>
    <w:p>
      <w:pPr>
        <w:sectPr>
          <w:pgSz w:w="11900" w:h="16838" w:orient="portrait"/>
          <w:cols w:equalWidth="0" w:num="1">
            <w:col w:w="11420"/>
          </w:cols>
          <w:pgMar w:left="240" w:top="118" w:right="239" w:bottom="136"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36" w:gutter="0" w:footer="0" w:header="0"/>
          <w:type w:val="continuous"/>
        </w:sectPr>
      </w:pPr>
    </w:p>
    <w:bookmarkStart w:id="42" w:name="page43"/>
    <w:bookmarkEnd w:id="4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I. “Notes to Unaudited Consolidated Financial Statements – Note 9: Commitments and Contingencies” for further discussion.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Net income increased by $1.8 million to $5.1 million for the quarter ended December 31, 2018, compared to net income of $3.3 million for the quarter ended December 31, 2017, primarily due to the increase in net interest income and noninterest income, offset by an increase in noninterest expense.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2018 and 2017</w:t>
      </w:r>
    </w:p>
    <w:p>
      <w:pPr>
        <w:spacing w:after="0" w:line="22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Net interest and dividend income before provision for loan losses increased by $3.2 million to $15.6 million for the quarter ended December 31, 2018, compared to $12.4 million the quarter ended December 31, 2017. The increase was primarily due to higher average balances in the loan portfolio. These increases were partially offset by higher funding costs and higher average deposit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interest income and related yields recognized on the loan portfolios: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w w:val="94"/>
              </w:rPr>
              <w:t>Interest Income and Yield on Loans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w w:val="93"/>
              </w:rPr>
              <w:t>Three Months Ended December 31,</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1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2018</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5"/>
        </w:trPr>
        <w:tc>
          <w:tcPr>
            <w:tcW w:w="1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6"/>
                <w:szCs w:val="16"/>
                <w:color w:val="auto"/>
              </w:rPr>
            </w:pPr>
          </w:p>
        </w:tc>
        <w:tc>
          <w:tcPr>
            <w:tcW w:w="118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0"/>
        </w:trPr>
        <w:tc>
          <w:tcPr>
            <w:tcW w:w="1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Balance (1)</w:t>
            </w:r>
          </w:p>
        </w:tc>
        <w:tc>
          <w:tcPr>
            <w:tcW w:w="20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Income</w:t>
            </w:r>
          </w:p>
        </w:tc>
        <w:tc>
          <w:tcPr>
            <w:tcW w:w="1440" w:type="dxa"/>
            <w:vAlign w:val="bottom"/>
            <w:gridSpan w:val="2"/>
          </w:tcPr>
          <w:p>
            <w:pPr>
              <w:jc w:val="right"/>
              <w:ind w:right="570"/>
              <w:spacing w:after="0"/>
              <w:rPr>
                <w:sz w:val="20"/>
                <w:szCs w:val="20"/>
                <w:color w:val="auto"/>
              </w:rPr>
            </w:pPr>
            <w:r>
              <w:rPr>
                <w:rFonts w:ascii="Arial" w:cs="Arial" w:eastAsia="Arial" w:hAnsi="Arial"/>
                <w:sz w:val="18"/>
                <w:szCs w:val="18"/>
                <w:color w:val="auto"/>
              </w:rPr>
              <w:t>Yield</w:t>
            </w: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Balance (1)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Yield</w:t>
            </w:r>
          </w:p>
        </w:tc>
      </w:tr>
      <w:tr>
        <w:trPr>
          <w:trHeight w:val="210"/>
        </w:trPr>
        <w:tc>
          <w:tcPr>
            <w:tcW w:w="1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71"/>
              </w:rPr>
              <w:t>in</w:t>
            </w: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108,344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1,448</w:t>
            </w:r>
          </w:p>
        </w:tc>
        <w:tc>
          <w:tcPr>
            <w:tcW w:w="14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141,486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SBA</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73,467</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1,440</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7.78%</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49,457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814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6.53%</w:t>
            </w: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LASG:</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960" w:type="dxa"/>
            <w:vAlign w:val="bottom"/>
          </w:tcPr>
          <w:p>
            <w:pPr>
              <w:ind w:left="160"/>
              <w:spacing w:after="0"/>
              <w:rPr>
                <w:sz w:val="20"/>
                <w:szCs w:val="20"/>
                <w:color w:val="auto"/>
              </w:rPr>
            </w:pPr>
            <w:r>
              <w:rPr>
                <w:rFonts w:ascii="Arial" w:cs="Arial" w:eastAsia="Arial" w:hAnsi="Arial"/>
                <w:sz w:val="18"/>
                <w:szCs w:val="18"/>
                <w:color w:val="auto"/>
              </w:rPr>
              <w:t>Originated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420,816</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8,077</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7.61%</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340,240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5,565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6.49%</w:t>
            </w:r>
          </w:p>
        </w:tc>
      </w:tr>
      <w:tr>
        <w:trPr>
          <w:trHeight w:val="216"/>
        </w:trPr>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7,969</w:t>
            </w:r>
          </w:p>
        </w:tc>
        <w:tc>
          <w:tcPr>
            <w:tcW w:w="14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10.30%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0"/>
        </w:trPr>
        <w:tc>
          <w:tcPr>
            <w:tcW w:w="19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1960" w:type="dxa"/>
            <w:vAlign w:val="bottom"/>
          </w:tcPr>
          <w:p>
            <w:pPr>
              <w:ind w:left="320"/>
              <w:spacing w:after="0"/>
              <w:rPr>
                <w:sz w:val="20"/>
                <w:szCs w:val="20"/>
                <w:color w:val="auto"/>
              </w:rPr>
            </w:pPr>
            <w:r>
              <w:rPr>
                <w:rFonts w:ascii="Arial" w:cs="Arial" w:eastAsia="Arial" w:hAnsi="Arial"/>
                <w:sz w:val="18"/>
                <w:szCs w:val="18"/>
                <w:color w:val="auto"/>
              </w:rPr>
              <w:t>Total LASG</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727,910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16,046</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8.75%</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569,972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11,934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8.31%</w:t>
            </w:r>
          </w:p>
        </w:tc>
      </w:tr>
      <w:tr>
        <w:trPr>
          <w:trHeight w:val="20"/>
        </w:trPr>
        <w:tc>
          <w:tcPr>
            <w:tcW w:w="1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1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909,721</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18,934</w:t>
            </w:r>
          </w:p>
        </w:tc>
        <w:tc>
          <w:tcPr>
            <w:tcW w:w="14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760,915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14,501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0"/>
        </w:trPr>
        <w:tc>
          <w:tcPr>
            <w:tcW w:w="1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Includes loans held for sale.</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following table details the “Total Return” on purchased loans. When compared to the three months ended December 31, 2017, transactional income for the three months ended December 31, 2018 increased by $206 thousand. The total return on purchased loans for the three months ended December 31, 2018 was 10.3%. The following table details the total return on purchased loans: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8"/>
                <w:szCs w:val="18"/>
                <w:color w:val="auto"/>
                <w:w w:val="89"/>
              </w:rPr>
              <w:t>Total Return on Purchased Loans</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8"/>
                <w:szCs w:val="18"/>
                <w:color w:val="auto"/>
                <w:w w:val="89"/>
              </w:rPr>
              <w:t>Three Months Ended December 31,</w:t>
            </w: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2018</w:t>
            </w:r>
          </w:p>
        </w:tc>
        <w:tc>
          <w:tcPr>
            <w:tcW w:w="11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2017</w:t>
            </w: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8"/>
                <w:szCs w:val="18"/>
                <w:color w:val="auto"/>
              </w:rPr>
              <w:t>Income</w:t>
            </w:r>
          </w:p>
        </w:tc>
        <w:tc>
          <w:tcPr>
            <w:tcW w:w="1140" w:type="dxa"/>
            <w:vAlign w:val="bottom"/>
          </w:tcPr>
          <w:p>
            <w:pPr>
              <w:ind w:left="160"/>
              <w:spacing w:after="0"/>
              <w:rPr>
                <w:sz w:val="20"/>
                <w:szCs w:val="20"/>
                <w:color w:val="auto"/>
              </w:rPr>
            </w:pPr>
            <w:r>
              <w:rPr>
                <w:rFonts w:ascii="Arial" w:cs="Arial" w:eastAsia="Arial" w:hAnsi="Arial"/>
                <w:sz w:val="18"/>
                <w:szCs w:val="18"/>
                <w:color w:val="auto"/>
              </w:rPr>
              <w:t>Return (1)</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71"/>
              </w:rPr>
              <w:t>in</w:t>
            </w:r>
          </w:p>
        </w:tc>
        <w:tc>
          <w:tcPr>
            <w:tcW w:w="220" w:type="dxa"/>
            <w:vAlign w:val="bottom"/>
          </w:tcPr>
          <w:p>
            <w:pPr>
              <w:spacing w:after="0"/>
              <w:rPr>
                <w:sz w:val="18"/>
                <w:szCs w:val="18"/>
                <w:color w:val="auto"/>
              </w:rPr>
            </w:pPr>
          </w:p>
        </w:tc>
        <w:tc>
          <w:tcPr>
            <w:tcW w:w="1380" w:type="dxa"/>
            <w:vAlign w:val="bottom"/>
            <w:gridSpan w:val="3"/>
          </w:tcPr>
          <w:p>
            <w:pPr>
              <w:jc w:val="right"/>
              <w:ind w:right="700"/>
              <w:spacing w:after="0"/>
              <w:rPr>
                <w:sz w:val="20"/>
                <w:szCs w:val="20"/>
                <w:color w:val="auto"/>
              </w:rPr>
            </w:pPr>
            <w:r>
              <w:rPr>
                <w:rFonts w:ascii="Arial" w:cs="Arial" w:eastAsia="Arial" w:hAnsi="Arial"/>
                <w:sz w:val="18"/>
                <w:szCs w:val="18"/>
                <w:color w:val="auto"/>
              </w:rPr>
              <w:t>Income</w:t>
            </w:r>
          </w:p>
        </w:tc>
        <w:tc>
          <w:tcPr>
            <w:tcW w:w="1100" w:type="dxa"/>
            <w:vAlign w:val="bottom"/>
          </w:tcPr>
          <w:p>
            <w:pPr>
              <w:ind w:left="100"/>
              <w:spacing w:after="0"/>
              <w:rPr>
                <w:sz w:val="20"/>
                <w:szCs w:val="20"/>
                <w:color w:val="auto"/>
              </w:rPr>
            </w:pPr>
            <w:r>
              <w:rPr>
                <w:rFonts w:ascii="Arial" w:cs="Arial" w:eastAsia="Arial" w:hAnsi="Arial"/>
                <w:sz w:val="18"/>
                <w:szCs w:val="18"/>
                <w:color w:val="auto"/>
              </w:rPr>
              <w:t>Return (1)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(Dollars</w:t>
            </w:r>
          </w:p>
        </w:tc>
        <w:tc>
          <w:tcPr>
            <w:tcW w:w="260" w:type="dxa"/>
            <w:vAlign w:val="bottom"/>
            <w:vMerge w:val="continue"/>
          </w:tcPr>
          <w:p>
            <w:pPr>
              <w:spacing w:after="0"/>
              <w:rPr>
                <w:sz w:val="18"/>
                <w:szCs w:val="18"/>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Transactional income: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loan sales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920" w:type="dxa"/>
            <w:vAlign w:val="bottom"/>
          </w:tcPr>
          <w:p>
            <w:pPr>
              <w:ind w:left="160"/>
              <w:spacing w:after="0"/>
              <w:rPr>
                <w:sz w:val="20"/>
                <w:szCs w:val="20"/>
                <w:color w:val="auto"/>
              </w:rPr>
            </w:pPr>
            <w:r>
              <w:rPr>
                <w:rFonts w:ascii="Arial" w:cs="Arial" w:eastAsia="Arial" w:hAnsi="Arial"/>
                <w:sz w:val="18"/>
                <w:szCs w:val="18"/>
                <w:color w:val="auto"/>
              </w:rPr>
              <w:t>Gain on sale of real estate owned</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920" w:type="dxa"/>
            <w:vAlign w:val="bottom"/>
          </w:tcPr>
          <w:p>
            <w:pPr>
              <w:ind w:left="160"/>
              <w:spacing w:after="0"/>
              <w:rPr>
                <w:sz w:val="20"/>
                <w:szCs w:val="20"/>
                <w:color w:val="auto"/>
              </w:rPr>
            </w:pPr>
            <w:r>
              <w:rPr>
                <w:rFonts w:ascii="Arial" w:cs="Arial" w:eastAsia="Arial" w:hAnsi="Arial"/>
                <w:sz w:val="18"/>
                <w:szCs w:val="18"/>
                <w:color w:val="auto"/>
              </w:rPr>
              <w:t>Accelerated accretion and loan fees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1,903</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transactional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39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10.30%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6,369</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260" w:hanging="324"/>
        <w:spacing w:after="0" w:line="259"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gains on real estate owned and other noninterest income recorded during the period divided by the average invested balance, which includes purchased loans held for sale, on an annualized basis. The total return does not include the effect of purchased loan charge-offs or recoveries in the quarter. Total return is considered a non-GAAP financial measure.</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interest rate spread increased by 32 basis points and net interest margin increased by 40 basis points for the quarter ended December 31, 2018 compared to the quarter ended December 31, 2017. The increase was principally due to higher transactional income and higher average balances in the quarter, offset by higher deposit rates and average deposit balances.</w:t>
      </w:r>
    </w:p>
    <w:p>
      <w:pPr>
        <w:sectPr>
          <w:pgSz w:w="11900" w:h="16838" w:orient="portrait"/>
          <w:cols w:equalWidth="0" w:num="1">
            <w:col w:w="11480"/>
          </w:cols>
          <w:pgMar w:left="240" w:top="118" w:right="179" w:bottom="1440" w:gutter="0" w:footer="0" w:header="0"/>
        </w:sectPr>
      </w:pP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type w:val="continuous"/>
        </w:sectPr>
      </w:pPr>
    </w:p>
    <w:bookmarkStart w:id="43" w:name="page44"/>
    <w:bookmarkEnd w:id="4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sets forth the average balance sheets, interest income and interest expense, and average yields and costs for the three months ended December 31, 2018 and 2017.</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color w:val="auto"/>
                <w:w w:val="91"/>
              </w:rPr>
              <w:t>Three Months Ended December 31,</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2018</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5"/>
        </w:trPr>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9"/>
              </w:rPr>
              <w:t>Interest</w:t>
            </w:r>
          </w:p>
        </w:tc>
        <w:tc>
          <w:tcPr>
            <w:tcW w:w="140" w:type="dxa"/>
            <w:vAlign w:val="bottom"/>
          </w:tcPr>
          <w:p>
            <w:pPr>
              <w:spacing w:after="0"/>
              <w:rPr>
                <w:sz w:val="16"/>
                <w:szCs w:val="16"/>
                <w:color w:val="auto"/>
              </w:rPr>
            </w:pPr>
          </w:p>
        </w:tc>
        <w:tc>
          <w:tcPr>
            <w:tcW w:w="1080" w:type="dxa"/>
            <w:vAlign w:val="bottom"/>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9"/>
              </w:rPr>
              <w:t>Interest</w:t>
            </w:r>
          </w:p>
        </w:tc>
        <w:tc>
          <w:tcPr>
            <w:tcW w:w="1080" w:type="dxa"/>
            <w:vAlign w:val="bottom"/>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6"/>
                <w:szCs w:val="16"/>
                <w:color w:val="auto"/>
              </w:rPr>
            </w:pPr>
          </w:p>
        </w:tc>
      </w:tr>
      <w:tr>
        <w:trPr>
          <w:trHeight w:val="216"/>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Average</w:t>
            </w:r>
          </w:p>
        </w:tc>
        <w:tc>
          <w:tcPr>
            <w:tcW w:w="16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Income/</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Yield/</w:t>
            </w: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Average</w:t>
            </w:r>
          </w:p>
        </w:tc>
        <w:tc>
          <w:tcPr>
            <w:tcW w:w="16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Income/</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Yield/</w:t>
            </w:r>
          </w:p>
        </w:tc>
      </w:tr>
      <w:tr>
        <w:trPr>
          <w:trHeight w:val="230"/>
        </w:trPr>
        <w:tc>
          <w:tcPr>
            <w:tcW w:w="2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Expense</w:t>
            </w: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Rate</w:t>
            </w:r>
          </w:p>
        </w:tc>
        <w:tc>
          <w:tcPr>
            <w:tcW w:w="18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Balance</w:t>
            </w:r>
          </w:p>
        </w:tc>
        <w:tc>
          <w:tcPr>
            <w:tcW w:w="16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Expense</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Rate</w:t>
            </w: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securities</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85,325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w:t>
            </w:r>
          </w:p>
        </w:tc>
        <w:tc>
          <w:tcPr>
            <w:tcW w:w="14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2980" w:type="dxa"/>
            <w:vAlign w:val="bottom"/>
          </w:tcPr>
          <w:p>
            <w:pPr>
              <w:ind w:left="320"/>
              <w:spacing w:after="0"/>
              <w:rPr>
                <w:sz w:val="20"/>
                <w:szCs w:val="20"/>
                <w:color w:val="auto"/>
              </w:rPr>
            </w:pPr>
            <w:r>
              <w:rPr>
                <w:rFonts w:ascii="Arial" w:cs="Arial" w:eastAsia="Arial" w:hAnsi="Arial"/>
                <w:sz w:val="18"/>
                <w:szCs w:val="18"/>
                <w:color w:val="auto"/>
              </w:rPr>
              <w:t>Loans (1) (2) (3)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909,721</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18,934</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8.26%</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760,915</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14,501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7.56%</w:t>
            </w:r>
          </w:p>
        </w:tc>
      </w:tr>
      <w:tr>
        <w:trPr>
          <w:trHeight w:val="216"/>
        </w:trPr>
        <w:tc>
          <w:tcPr>
            <w:tcW w:w="2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Home Loan Bank stock</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16"/>
        </w:trPr>
        <w:tc>
          <w:tcPr>
            <w:tcW w:w="2980" w:type="dxa"/>
            <w:vAlign w:val="bottom"/>
          </w:tcPr>
          <w:p>
            <w:pPr>
              <w:ind w:left="320"/>
              <w:spacing w:after="0"/>
              <w:rPr>
                <w:sz w:val="20"/>
                <w:szCs w:val="20"/>
                <w:color w:val="auto"/>
              </w:rPr>
            </w:pPr>
            <w:r>
              <w:rPr>
                <w:rFonts w:ascii="Arial" w:cs="Arial" w:eastAsia="Arial" w:hAnsi="Arial"/>
                <w:sz w:val="18"/>
                <w:szCs w:val="18"/>
                <w:color w:val="auto"/>
              </w:rPr>
              <w:t>Short-term investments (4)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168,768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946</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145,305</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1,165,466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20,329</w:t>
            </w:r>
          </w:p>
        </w:tc>
        <w:tc>
          <w:tcPr>
            <w:tcW w:w="14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1,002,025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15,260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0"/>
        </w:trPr>
        <w:tc>
          <w:tcPr>
            <w:tcW w:w="29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9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2,731</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33,164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98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1,199,410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1,037,920</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Liabilities &amp; Shareholders' Equity: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80" w:type="dxa"/>
            <w:vAlign w:val="bottom"/>
          </w:tcPr>
          <w:p>
            <w:pPr>
              <w:ind w:left="320"/>
              <w:spacing w:after="0"/>
              <w:rPr>
                <w:sz w:val="20"/>
                <w:szCs w:val="20"/>
                <w:color w:val="auto"/>
              </w:rPr>
            </w:pPr>
            <w:r>
              <w:rPr>
                <w:rFonts w:ascii="Arial" w:cs="Arial" w:eastAsia="Arial" w:hAnsi="Arial"/>
                <w:sz w:val="18"/>
                <w:szCs w:val="18"/>
                <w:color w:val="auto"/>
              </w:rPr>
              <w:t>NOW accounts</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74,027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0.37%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70,287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0.29%</w:t>
            </w:r>
          </w:p>
        </w:tc>
      </w:tr>
      <w:tr>
        <w:trPr>
          <w:trHeight w:val="216"/>
        </w:trPr>
        <w:tc>
          <w:tcPr>
            <w:tcW w:w="2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accounts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373,409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1,461</w:t>
            </w:r>
          </w:p>
        </w:tc>
        <w:tc>
          <w:tcPr>
            <w:tcW w:w="14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367,265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2980" w:type="dxa"/>
            <w:vAlign w:val="bottom"/>
          </w:tcPr>
          <w:p>
            <w:pPr>
              <w:ind w:left="320"/>
              <w:spacing w:after="0"/>
              <w:rPr>
                <w:sz w:val="20"/>
                <w:szCs w:val="20"/>
                <w:color w:val="auto"/>
              </w:rPr>
            </w:pPr>
            <w:r>
              <w:rPr>
                <w:rFonts w:ascii="Arial" w:cs="Arial" w:eastAsia="Arial" w:hAnsi="Arial"/>
                <w:sz w:val="18"/>
                <w:szCs w:val="18"/>
                <w:color w:val="auto"/>
              </w:rPr>
              <w:t>Savings accounts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35,004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0.16%</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36,872</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0.13%</w:t>
            </w:r>
          </w:p>
        </w:tc>
      </w:tr>
      <w:tr>
        <w:trPr>
          <w:trHeight w:val="216"/>
        </w:trPr>
        <w:tc>
          <w:tcPr>
            <w:tcW w:w="2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deposits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2,438</w:t>
            </w:r>
          </w:p>
        </w:tc>
        <w:tc>
          <w:tcPr>
            <w:tcW w:w="14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303,246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29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98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926,219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3,982</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777,670</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2,129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29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Federal Home Loan Bank advances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14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17,719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16"/>
        </w:trPr>
        <w:tc>
          <w:tcPr>
            <w:tcW w:w="2980" w:type="dxa"/>
            <w:vAlign w:val="bottom"/>
          </w:tcPr>
          <w:p>
            <w:pPr>
              <w:ind w:left="320"/>
              <w:spacing w:after="0"/>
              <w:rPr>
                <w:sz w:val="20"/>
                <w:szCs w:val="20"/>
                <w:color w:val="auto"/>
              </w:rPr>
            </w:pPr>
            <w:r>
              <w:rPr>
                <w:rFonts w:ascii="Arial" w:cs="Arial" w:eastAsia="Arial" w:hAnsi="Arial"/>
                <w:sz w:val="18"/>
                <w:szCs w:val="18"/>
                <w:color w:val="auto"/>
              </w:rPr>
              <w:t>Subordinated debt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24,087</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573</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9.44%</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23,745</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517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8.64%</w:t>
            </w:r>
          </w:p>
        </w:tc>
      </w:tr>
      <w:tr>
        <w:trPr>
          <w:trHeight w:val="216"/>
        </w:trPr>
        <w:tc>
          <w:tcPr>
            <w:tcW w:w="2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lease obligations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4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0"/>
        </w:trPr>
        <w:tc>
          <w:tcPr>
            <w:tcW w:w="29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980" w:type="dxa"/>
            <w:vAlign w:val="bottom"/>
          </w:tcPr>
          <w:p>
            <w:pPr>
              <w:spacing w:after="0"/>
              <w:rPr>
                <w:sz w:val="20"/>
                <w:szCs w:val="20"/>
                <w:color w:val="auto"/>
              </w:rPr>
            </w:pPr>
            <w:r>
              <w:rPr>
                <w:rFonts w:ascii="Arial" w:cs="Arial" w:eastAsia="Arial" w:hAnsi="Arial"/>
                <w:sz w:val="18"/>
                <w:szCs w:val="18"/>
                <w:color w:val="auto"/>
              </w:rPr>
              <w:t>Total interest-bearing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965,796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4,686</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819,898</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2,803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10"/>
        </w:trPr>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w w:val="94"/>
              </w:rPr>
              <w:t>Demand deposits and escrow accounts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81,223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83,855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5,676</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1,053,532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909,429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145,878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128,491</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liabilities and shareholders' equity</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1,199,410</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1,037,920</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97"/>
        </w:trPr>
        <w:tc>
          <w:tcPr>
            <w:tcW w:w="29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56"/>
        </w:trPr>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15,643</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12,457</w:t>
            </w:r>
          </w:p>
        </w:tc>
        <w:tc>
          <w:tcPr>
            <w:tcW w:w="10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197"/>
        </w:trPr>
        <w:tc>
          <w:tcPr>
            <w:tcW w:w="29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Net interest margin (5)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5.33%</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4.93%</w:t>
            </w:r>
          </w:p>
        </w:tc>
      </w:tr>
    </w:tbl>
    <w:p>
      <w:pPr>
        <w:spacing w:after="0" w:line="214"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the statutory tax rate.</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32"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9"/>
          </w:tcPr>
          <w:p>
            <w:pPr>
              <w:jc w:val="right"/>
              <w:ind w:right="420"/>
              <w:spacing w:after="0"/>
              <w:rPr>
                <w:sz w:val="20"/>
                <w:szCs w:val="20"/>
                <w:color w:val="auto"/>
              </w:rPr>
            </w:pPr>
            <w:r>
              <w:rPr>
                <w:rFonts w:ascii="Arial" w:cs="Arial" w:eastAsia="Arial" w:hAnsi="Arial"/>
                <w:sz w:val="18"/>
                <w:szCs w:val="18"/>
                <w:color w:val="auto"/>
                <w:w w:val="93"/>
              </w:rPr>
              <w:t>Three Months Ended December 31, 2018 Compared to 2017</w:t>
            </w:r>
          </w:p>
        </w:tc>
      </w:tr>
      <w:tr>
        <w:trPr>
          <w:trHeight w:val="195"/>
        </w:trPr>
        <w:tc>
          <w:tcPr>
            <w:tcW w:w="3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40"/>
              <w:spacing w:after="0" w:line="195" w:lineRule="exact"/>
              <w:rPr>
                <w:sz w:val="20"/>
                <w:szCs w:val="20"/>
                <w:color w:val="auto"/>
              </w:rPr>
            </w:pPr>
            <w:r>
              <w:rPr>
                <w:rFonts w:ascii="Arial" w:cs="Arial" w:eastAsia="Arial" w:hAnsi="Arial"/>
                <w:sz w:val="18"/>
                <w:szCs w:val="18"/>
                <w:color w:val="auto"/>
                <w:w w:val="94"/>
              </w:rPr>
              <w:t>Change Due to</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Volume</w:t>
            </w:r>
          </w:p>
        </w:tc>
        <w:tc>
          <w:tcPr>
            <w:tcW w:w="100" w:type="dxa"/>
            <w:vAlign w:val="bottom"/>
          </w:tcPr>
          <w:p>
            <w:pPr>
              <w:spacing w:after="0"/>
              <w:rPr>
                <w:sz w:val="20"/>
                <w:szCs w:val="20"/>
                <w:color w:val="auto"/>
              </w:rPr>
            </w:pP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w w:val="90"/>
              </w:rPr>
              <w:t>Change Due to Rate</w:t>
            </w:r>
          </w:p>
        </w:tc>
        <w:tc>
          <w:tcPr>
            <w:tcW w:w="18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Total Change</w:t>
            </w:r>
          </w:p>
        </w:tc>
      </w:tr>
      <w:tr>
        <w:trPr>
          <w:trHeight w:val="210"/>
        </w:trPr>
        <w:tc>
          <w:tcPr>
            <w:tcW w:w="3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1,420</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Federal Home Loan Bank stock</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r>
      <w:tr>
        <w:trPr>
          <w:trHeight w:val="20"/>
        </w:trPr>
        <w:tc>
          <w:tcPr>
            <w:tcW w:w="39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940" w:type="dxa"/>
            <w:vAlign w:val="bottom"/>
          </w:tcPr>
          <w:p>
            <w:pPr>
              <w:ind w:left="320"/>
              <w:spacing w:after="0"/>
              <w:rPr>
                <w:sz w:val="20"/>
                <w:szCs w:val="20"/>
                <w:color w:val="auto"/>
              </w:rPr>
            </w:pPr>
            <w:r>
              <w:rPr>
                <w:rFonts w:ascii="Arial" w:cs="Arial" w:eastAsia="Arial" w:hAnsi="Arial"/>
                <w:sz w:val="18"/>
                <w:szCs w:val="18"/>
                <w:color w:val="auto"/>
              </w:rPr>
              <w:t>Total interest-earning assets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1,998</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5,069</w:t>
            </w:r>
          </w:p>
        </w:tc>
        <w:tc>
          <w:tcPr>
            <w:tcW w:w="100" w:type="dxa"/>
            <w:vAlign w:val="bottom"/>
          </w:tcPr>
          <w:p>
            <w:pPr>
              <w:spacing w:after="0"/>
              <w:rPr>
                <w:sz w:val="18"/>
                <w:szCs w:val="18"/>
                <w:color w:val="auto"/>
              </w:rPr>
            </w:pPr>
          </w:p>
        </w:tc>
      </w:tr>
      <w:tr>
        <w:trPr>
          <w:trHeight w:val="210"/>
        </w:trPr>
        <w:tc>
          <w:tcPr>
            <w:tcW w:w="3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1,258</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debt</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Arial" w:cs="Arial" w:eastAsia="Arial" w:hAnsi="Arial"/>
                <w:sz w:val="18"/>
                <w:szCs w:val="18"/>
                <w:color w:val="auto"/>
              </w:rPr>
              <w:t>Capital lease obligations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3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interest-bearing liabilities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1,307</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00" w:type="dxa"/>
            <w:vAlign w:val="bottom"/>
            <w:shd w:val="clear" w:color="auto" w:fill="CCEEFF"/>
          </w:tcPr>
          <w:p>
            <w:pPr>
              <w:spacing w:after="0"/>
              <w:rPr>
                <w:sz w:val="18"/>
                <w:szCs w:val="18"/>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ectPr>
          <w:pgSz w:w="11900" w:h="16838" w:orient="portrait"/>
          <w:cols w:equalWidth="0" w:num="1">
            <w:col w:w="11420"/>
          </w:cols>
          <w:pgMar w:left="240" w:top="118" w:right="239" w:bottom="0" w:gutter="0" w:footer="0" w:header="0"/>
        </w:sectPr>
      </w:pPr>
    </w:p>
    <w:bookmarkStart w:id="44" w:name="page45"/>
    <w:bookmarkEnd w:id="44"/>
    <w:p>
      <w:pPr>
        <w:spacing w:after="0"/>
        <w:tabs>
          <w:tab w:leader="none" w:pos="4800" w:val="left"/>
          <w:tab w:leader="none" w:pos="5940" w:val="left"/>
          <w:tab w:leader="none" w:pos="6560" w:val="left"/>
          <w:tab w:leader="none" w:pos="7840" w:val="left"/>
          <w:tab w:leader="none" w:pos="8300" w:val="left"/>
          <w:tab w:leader="none" w:pos="9420" w:val="left"/>
        </w:tabs>
        <w:rPr>
          <w:sz w:val="20"/>
          <w:szCs w:val="20"/>
          <w:color w:val="auto"/>
        </w:rPr>
      </w:pPr>
      <w:r>
        <w:rPr>
          <w:rFonts w:ascii="Arial" w:cs="Arial" w:eastAsia="Arial" w:hAnsi="Arial"/>
          <w:sz w:val="18"/>
          <w:szCs w:val="18"/>
          <w:color w:val="auto"/>
        </w:rPr>
        <w:t>Total change in net interest income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2,495</w:t>
        <w:tab/>
        <w:t>$</w:t>
      </w:r>
      <w:r>
        <w:rPr>
          <w:sz w:val="20"/>
          <w:szCs w:val="20"/>
          <w:color w:val="auto"/>
        </w:rPr>
        <w:tab/>
      </w:r>
      <w:r>
        <w:rPr>
          <w:rFonts w:ascii="Arial" w:cs="Arial" w:eastAsia="Arial" w:hAnsi="Arial"/>
          <w:sz w:val="18"/>
          <w:szCs w:val="18"/>
          <w:color w:val="auto"/>
        </w:rPr>
        <w:t>691</w:t>
        <w:tab/>
        <w:t>$</w:t>
      </w:r>
      <w:r>
        <w:rPr>
          <w:sz w:val="20"/>
          <w:szCs w:val="20"/>
          <w:color w:val="auto"/>
        </w:rPr>
        <w:tab/>
      </w:r>
      <w:r>
        <w:rPr>
          <w:rFonts w:ascii="Arial" w:cs="Arial" w:eastAsia="Arial" w:hAnsi="Arial"/>
          <w:sz w:val="15"/>
          <w:szCs w:val="15"/>
          <w:color w:val="auto"/>
        </w:rPr>
        <w:t>3,186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14605</wp:posOffset>
            </wp:positionV>
            <wp:extent cx="319024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90240" cy="26035"/>
                    </a:xfrm>
                    <a:prstGeom prst="rect">
                      <a:avLst/>
                    </a:prstGeom>
                    <a:noFill/>
                  </pic:spPr>
                </pic:pic>
              </a:graphicData>
            </a:graphic>
          </wp:anchor>
        </w:drawing>
      </w:r>
    </w:p>
    <w:p>
      <w:pPr>
        <w:sectPr>
          <w:pgSz w:w="11900" w:h="16838" w:orient="portrait"/>
          <w:cols w:equalWidth="0" w:num="1">
            <w:col w:w="9840"/>
          </w:cols>
          <w:pgMar w:left="900" w:top="125" w:right="1159" w:bottom="1440" w:gutter="0" w:footer="0" w:header="0"/>
        </w:sectPr>
      </w:pPr>
    </w:p>
    <w:p>
      <w:pPr>
        <w:spacing w:after="0" w:line="266"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97790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40"/>
          </w:cols>
          <w:pgMar w:left="900" w:top="125" w:right="1159" w:bottom="1440" w:gutter="0" w:footer="0" w:header="0"/>
          <w:type w:val="continuous"/>
        </w:sectPr>
      </w:pPr>
    </w:p>
    <w:bookmarkStart w:id="45" w:name="page46"/>
    <w:bookmarkEnd w:id="4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2018 and 2017</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interest and dividend income before provision for loan losses increased by $4.2 million for the quarter ended December 31, 2018, compared to the quarter ended December 31, 2017. The increase was primarily due to higher average balances in the loan portfolio. These increases were partially offset by lower transactional income, higher funding costs and higher average deposit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interest income and related yields recognized on the loan portfolios: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color w:val="auto"/>
                <w:w w:val="91"/>
              </w:rPr>
              <w:t>Interest Income and Yield on Loans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color w:val="auto"/>
                <w:w w:val="90"/>
              </w:rPr>
              <w:t>Six Months Ended December 31,</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1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2018</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5"/>
        </w:trPr>
        <w:tc>
          <w:tcPr>
            <w:tcW w:w="1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6"/>
                <w:szCs w:val="16"/>
                <w:color w:val="auto"/>
              </w:rPr>
            </w:pPr>
          </w:p>
        </w:tc>
        <w:tc>
          <w:tcPr>
            <w:tcW w:w="118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0"/>
        </w:trPr>
        <w:tc>
          <w:tcPr>
            <w:tcW w:w="1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Balance (1)</w:t>
            </w:r>
          </w:p>
        </w:tc>
        <w:tc>
          <w:tcPr>
            <w:tcW w:w="20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Income</w:t>
            </w:r>
          </w:p>
        </w:tc>
        <w:tc>
          <w:tcPr>
            <w:tcW w:w="1440" w:type="dxa"/>
            <w:vAlign w:val="bottom"/>
            <w:gridSpan w:val="2"/>
          </w:tcPr>
          <w:p>
            <w:pPr>
              <w:jc w:val="right"/>
              <w:ind w:right="570"/>
              <w:spacing w:after="0"/>
              <w:rPr>
                <w:sz w:val="20"/>
                <w:szCs w:val="20"/>
                <w:color w:val="auto"/>
              </w:rPr>
            </w:pPr>
            <w:r>
              <w:rPr>
                <w:rFonts w:ascii="Arial" w:cs="Arial" w:eastAsia="Arial" w:hAnsi="Arial"/>
                <w:sz w:val="18"/>
                <w:szCs w:val="18"/>
                <w:color w:val="auto"/>
              </w:rPr>
              <w:t>Yield</w:t>
            </w: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Balance (1)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Yield</w:t>
            </w:r>
          </w:p>
        </w:tc>
      </w:tr>
      <w:tr>
        <w:trPr>
          <w:trHeight w:val="210"/>
        </w:trPr>
        <w:tc>
          <w:tcPr>
            <w:tcW w:w="1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71"/>
              </w:rPr>
              <w:t>in</w:t>
            </w: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114,342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2,970</w:t>
            </w:r>
          </w:p>
        </w:tc>
        <w:tc>
          <w:tcPr>
            <w:tcW w:w="14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145,832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SBA</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72,316</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2,726</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7.48%</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51,499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1,756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6.76%</w:t>
            </w: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LASG:</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960" w:type="dxa"/>
            <w:vAlign w:val="bottom"/>
          </w:tcPr>
          <w:p>
            <w:pPr>
              <w:ind w:left="160"/>
              <w:spacing w:after="0"/>
              <w:rPr>
                <w:sz w:val="20"/>
                <w:szCs w:val="20"/>
                <w:color w:val="auto"/>
              </w:rPr>
            </w:pPr>
            <w:r>
              <w:rPr>
                <w:rFonts w:ascii="Arial" w:cs="Arial" w:eastAsia="Arial" w:hAnsi="Arial"/>
                <w:sz w:val="18"/>
                <w:szCs w:val="18"/>
                <w:color w:val="auto"/>
              </w:rPr>
              <w:t>Originated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409,575</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15,541</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7.53%</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334,507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10,831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6.42%</w:t>
            </w:r>
          </w:p>
        </w:tc>
      </w:tr>
      <w:tr>
        <w:trPr>
          <w:trHeight w:val="216"/>
        </w:trPr>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15,223</w:t>
            </w:r>
          </w:p>
        </w:tc>
        <w:tc>
          <w:tcPr>
            <w:tcW w:w="14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9.88%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234,928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11.65%</w:t>
            </w:r>
          </w:p>
        </w:tc>
      </w:tr>
      <w:tr>
        <w:trPr>
          <w:trHeight w:val="20"/>
        </w:trPr>
        <w:tc>
          <w:tcPr>
            <w:tcW w:w="19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1960" w:type="dxa"/>
            <w:vAlign w:val="bottom"/>
          </w:tcPr>
          <w:p>
            <w:pPr>
              <w:ind w:left="320"/>
              <w:spacing w:after="0"/>
              <w:rPr>
                <w:sz w:val="20"/>
                <w:szCs w:val="20"/>
                <w:color w:val="auto"/>
              </w:rPr>
            </w:pPr>
            <w:r>
              <w:rPr>
                <w:rFonts w:ascii="Arial" w:cs="Arial" w:eastAsia="Arial" w:hAnsi="Arial"/>
                <w:sz w:val="18"/>
                <w:szCs w:val="18"/>
                <w:color w:val="auto"/>
              </w:rPr>
              <w:t>Total LASG</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715,175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30,764</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8.53%</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569,435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24,631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8.58%</w:t>
            </w:r>
          </w:p>
        </w:tc>
      </w:tr>
      <w:tr>
        <w:trPr>
          <w:trHeight w:val="20"/>
        </w:trPr>
        <w:tc>
          <w:tcPr>
            <w:tcW w:w="1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1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901,833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36,460</w:t>
            </w:r>
          </w:p>
        </w:tc>
        <w:tc>
          <w:tcPr>
            <w:tcW w:w="14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766,766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29,883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0"/>
        </w:trPr>
        <w:tc>
          <w:tcPr>
            <w:tcW w:w="1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140"/>
        <w:spacing w:after="0"/>
        <w:tabs>
          <w:tab w:leader="none" w:pos="15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Includes loans held for sale.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table details the “Total Return” on purchased loans. When compared to the six months ended December 31, 2017, transactional income for the six months ended December 31, 2018 decreased by $1.1 million. This decrease over the prior comparable period was primarily due to lower accelerated accretion and loan fees in the six months ended December 31, 2018. The total return on purchased loans for the six months ended December 31, 2018 was 9.9%. The following table details the total return on purchased loans: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rPr>
              <w:t>Total Return on Purchased Loans</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rPr>
              <w:t>Six Months Ended December 31,</w:t>
            </w: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2018</w:t>
            </w:r>
          </w:p>
        </w:tc>
        <w:tc>
          <w:tcPr>
            <w:tcW w:w="11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2017</w:t>
            </w: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ind w:right="660"/>
              <w:spacing w:after="0"/>
              <w:rPr>
                <w:sz w:val="20"/>
                <w:szCs w:val="20"/>
                <w:color w:val="auto"/>
              </w:rPr>
            </w:pPr>
            <w:r>
              <w:rPr>
                <w:rFonts w:ascii="Arial" w:cs="Arial" w:eastAsia="Arial" w:hAnsi="Arial"/>
                <w:sz w:val="18"/>
                <w:szCs w:val="18"/>
                <w:color w:val="auto"/>
              </w:rPr>
              <w:t>Income</w:t>
            </w:r>
          </w:p>
        </w:tc>
        <w:tc>
          <w:tcPr>
            <w:tcW w:w="1120" w:type="dxa"/>
            <w:vAlign w:val="bottom"/>
          </w:tcPr>
          <w:p>
            <w:pPr>
              <w:ind w:left="120"/>
              <w:spacing w:after="0"/>
              <w:rPr>
                <w:sz w:val="20"/>
                <w:szCs w:val="20"/>
                <w:color w:val="auto"/>
              </w:rPr>
            </w:pPr>
            <w:r>
              <w:rPr>
                <w:rFonts w:ascii="Arial" w:cs="Arial" w:eastAsia="Arial" w:hAnsi="Arial"/>
                <w:sz w:val="18"/>
                <w:szCs w:val="18"/>
                <w:color w:val="auto"/>
              </w:rPr>
              <w:t>Return (1)</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71"/>
              </w:rPr>
              <w:t>in</w:t>
            </w:r>
          </w:p>
        </w:tc>
        <w:tc>
          <w:tcPr>
            <w:tcW w:w="240" w:type="dxa"/>
            <w:vAlign w:val="bottom"/>
          </w:tcPr>
          <w:p>
            <w:pPr>
              <w:spacing w:after="0"/>
              <w:rPr>
                <w:sz w:val="18"/>
                <w:szCs w:val="18"/>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8"/>
                <w:szCs w:val="18"/>
                <w:color w:val="auto"/>
              </w:rPr>
              <w:t>Income</w:t>
            </w:r>
          </w:p>
        </w:tc>
        <w:tc>
          <w:tcPr>
            <w:tcW w:w="1100" w:type="dxa"/>
            <w:vAlign w:val="bottom"/>
          </w:tcPr>
          <w:p>
            <w:pPr>
              <w:ind w:left="100"/>
              <w:spacing w:after="0"/>
              <w:rPr>
                <w:sz w:val="20"/>
                <w:szCs w:val="20"/>
                <w:color w:val="auto"/>
              </w:rPr>
            </w:pPr>
            <w:r>
              <w:rPr>
                <w:rFonts w:ascii="Arial" w:cs="Arial" w:eastAsia="Arial" w:hAnsi="Arial"/>
                <w:sz w:val="18"/>
                <w:szCs w:val="18"/>
                <w:color w:val="auto"/>
              </w:rPr>
              <w:t>Return (1)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(Dollars</w:t>
            </w:r>
          </w:p>
        </w:tc>
        <w:tc>
          <w:tcPr>
            <w:tcW w:w="240" w:type="dxa"/>
            <w:vAlign w:val="bottom"/>
            <w:vMerge w:val="continue"/>
          </w:tcPr>
          <w:p>
            <w:pPr>
              <w:spacing w:after="0"/>
              <w:rPr>
                <w:sz w:val="18"/>
                <w:szCs w:val="18"/>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Transactional income: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loan sales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Gain on sale of real estate owned</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 (expense)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Accelerated accretion and loan fees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4,721</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transactional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9.88%</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13,800</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260" w:hanging="324"/>
        <w:spacing w:after="0" w:line="259"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gains on real estate owned and other noninterest income recorded during the period divided by the average invested balance, which includes purchased loans held for sale, on an annualized basis. The total return does not include the effect of purchased loan charge-offs or recoveries in the quarter. Total return is considered a non-GAAP financial measure.</w:t>
      </w:r>
    </w:p>
    <w:p>
      <w:pPr>
        <w:spacing w:after="0" w:line="18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Company’s interest rate spread increased by one basis point and net interest margin increased by 10 basis points for the six months ended December 31, 2018 compared to the six months ended December 31, 2017. The increase was principally due to higher average balances in the loan portfolio, offset by higher deposit rates and average deposit balances, as well as lower transactional income recognized in the six months ended December 31, 2018.</w:t>
      </w:r>
    </w:p>
    <w:p>
      <w:pPr>
        <w:spacing w:after="0" w:line="14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sets forth the average balance sheets, interest income and interest expense, and average yields and costs for the six months ended December 31, 2018 and 2017.</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8"/>
                <w:szCs w:val="18"/>
                <w:color w:val="auto"/>
                <w:w w:val="90"/>
              </w:rPr>
              <w:t>Six Months Ended December 31,</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2018</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5"/>
        </w:trPr>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89"/>
              </w:rPr>
              <w:t>Interest</w:t>
            </w:r>
          </w:p>
        </w:tc>
        <w:tc>
          <w:tcPr>
            <w:tcW w:w="1080" w:type="dxa"/>
            <w:vAlign w:val="bottom"/>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9"/>
              </w:rPr>
              <w:t>Interest</w:t>
            </w:r>
          </w:p>
        </w:tc>
        <w:tc>
          <w:tcPr>
            <w:tcW w:w="1080" w:type="dxa"/>
            <w:vAlign w:val="bottom"/>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6"/>
                <w:szCs w:val="16"/>
                <w:color w:val="auto"/>
              </w:rPr>
            </w:pPr>
          </w:p>
        </w:tc>
      </w:tr>
      <w:tr>
        <w:trPr>
          <w:trHeight w:val="216"/>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Average</w:t>
            </w:r>
          </w:p>
        </w:tc>
        <w:tc>
          <w:tcPr>
            <w:tcW w:w="1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Income/</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Yield/</w:t>
            </w: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Average</w:t>
            </w:r>
          </w:p>
        </w:tc>
        <w:tc>
          <w:tcPr>
            <w:tcW w:w="16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Income/</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Yield/</w:t>
            </w:r>
          </w:p>
        </w:tc>
      </w:tr>
      <w:tr>
        <w:trPr>
          <w:trHeight w:val="230"/>
        </w:trPr>
        <w:tc>
          <w:tcPr>
            <w:tcW w:w="2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Expense</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Rate</w:t>
            </w:r>
          </w:p>
        </w:tc>
        <w:tc>
          <w:tcPr>
            <w:tcW w:w="18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Balance</w:t>
            </w:r>
          </w:p>
        </w:tc>
        <w:tc>
          <w:tcPr>
            <w:tcW w:w="16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Expense</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Rate</w:t>
            </w: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securities</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86,599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w:t>
            </w:r>
          </w:p>
        </w:tc>
        <w:tc>
          <w:tcPr>
            <w:tcW w:w="1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2980" w:type="dxa"/>
            <w:vAlign w:val="bottom"/>
          </w:tcPr>
          <w:p>
            <w:pPr>
              <w:ind w:left="320"/>
              <w:spacing w:after="0"/>
              <w:rPr>
                <w:sz w:val="20"/>
                <w:szCs w:val="20"/>
                <w:color w:val="auto"/>
              </w:rPr>
            </w:pPr>
            <w:r>
              <w:rPr>
                <w:rFonts w:ascii="Arial" w:cs="Arial" w:eastAsia="Arial" w:hAnsi="Arial"/>
                <w:sz w:val="18"/>
                <w:szCs w:val="18"/>
                <w:color w:val="auto"/>
              </w:rPr>
              <w:t>Loans (1) (2) (3)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901,833</w:t>
            </w: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36,460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8.02%</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766,766</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29,893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7.73%</w:t>
            </w:r>
          </w:p>
        </w:tc>
      </w:tr>
      <w:tr>
        <w:trPr>
          <w:trHeight w:val="216"/>
        </w:trPr>
        <w:tc>
          <w:tcPr>
            <w:tcW w:w="2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Home Loan Bank stock</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16"/>
        </w:trPr>
        <w:tc>
          <w:tcPr>
            <w:tcW w:w="2980" w:type="dxa"/>
            <w:vAlign w:val="bottom"/>
          </w:tcPr>
          <w:p>
            <w:pPr>
              <w:ind w:left="320"/>
              <w:spacing w:after="0"/>
              <w:rPr>
                <w:sz w:val="20"/>
                <w:szCs w:val="20"/>
                <w:color w:val="auto"/>
              </w:rPr>
            </w:pPr>
            <w:r>
              <w:rPr>
                <w:rFonts w:ascii="Arial" w:cs="Arial" w:eastAsia="Arial" w:hAnsi="Arial"/>
                <w:sz w:val="18"/>
                <w:szCs w:val="18"/>
                <w:color w:val="auto"/>
              </w:rPr>
              <w:t>Short-term investments (4)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170,705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1,802</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152,830</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981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1,160,789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39,095</w:t>
            </w:r>
          </w:p>
        </w:tc>
        <w:tc>
          <w:tcPr>
            <w:tcW w:w="1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1,016,381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31,448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0"/>
        </w:trPr>
        <w:tc>
          <w:tcPr>
            <w:tcW w:w="29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9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2,933</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32,025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98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1,194,663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1,051,339</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Liabilities &amp; Shareholders' Equity: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80" w:type="dxa"/>
            <w:vAlign w:val="bottom"/>
          </w:tcPr>
          <w:p>
            <w:pPr>
              <w:ind w:left="320"/>
              <w:spacing w:after="0"/>
              <w:rPr>
                <w:sz w:val="20"/>
                <w:szCs w:val="20"/>
                <w:color w:val="auto"/>
              </w:rPr>
            </w:pPr>
            <w:r>
              <w:rPr>
                <w:rFonts w:ascii="Arial" w:cs="Arial" w:eastAsia="Arial" w:hAnsi="Arial"/>
                <w:sz w:val="18"/>
                <w:szCs w:val="18"/>
                <w:color w:val="auto"/>
              </w:rPr>
              <w:t>NOW accounts</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71,866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0.34%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69,931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0.29%</w:t>
            </w:r>
          </w:p>
        </w:tc>
      </w:tr>
      <w:tr>
        <w:trPr>
          <w:trHeight w:val="216"/>
        </w:trPr>
        <w:tc>
          <w:tcPr>
            <w:tcW w:w="2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accounts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389,757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3,008</w:t>
            </w:r>
          </w:p>
        </w:tc>
        <w:tc>
          <w:tcPr>
            <w:tcW w:w="1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377,449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2980" w:type="dxa"/>
            <w:vAlign w:val="bottom"/>
          </w:tcPr>
          <w:p>
            <w:pPr>
              <w:ind w:left="320"/>
              <w:spacing w:after="0"/>
              <w:rPr>
                <w:sz w:val="20"/>
                <w:szCs w:val="20"/>
                <w:color w:val="auto"/>
              </w:rPr>
            </w:pPr>
            <w:r>
              <w:rPr>
                <w:rFonts w:ascii="Arial" w:cs="Arial" w:eastAsia="Arial" w:hAnsi="Arial"/>
                <w:sz w:val="18"/>
                <w:szCs w:val="18"/>
                <w:color w:val="auto"/>
              </w:rPr>
              <w:t>Savings accounts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35,590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0.16%</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36,953</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0.13%</w:t>
            </w:r>
          </w:p>
        </w:tc>
      </w:tr>
      <w:tr>
        <w:trPr>
          <w:trHeight w:val="216"/>
        </w:trPr>
        <w:tc>
          <w:tcPr>
            <w:tcW w:w="2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deposits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4,504</w:t>
            </w:r>
          </w:p>
        </w:tc>
        <w:tc>
          <w:tcPr>
            <w:tcW w:w="1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307,865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29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98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922,178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7,664</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792,198</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4,305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29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Federal Home Loan Bank advances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1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18,863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16"/>
        </w:trPr>
        <w:tc>
          <w:tcPr>
            <w:tcW w:w="2980" w:type="dxa"/>
            <w:vAlign w:val="bottom"/>
          </w:tcPr>
          <w:p>
            <w:pPr>
              <w:ind w:left="320"/>
              <w:spacing w:after="0"/>
              <w:rPr>
                <w:sz w:val="20"/>
                <w:szCs w:val="20"/>
                <w:color w:val="auto"/>
              </w:rPr>
            </w:pPr>
            <w:r>
              <w:rPr>
                <w:rFonts w:ascii="Arial" w:cs="Arial" w:eastAsia="Arial" w:hAnsi="Arial"/>
                <w:sz w:val="18"/>
                <w:szCs w:val="18"/>
                <w:color w:val="auto"/>
              </w:rPr>
              <w:t>Subordinated debt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24,042</w:t>
            </w: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1,174</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9.69%</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23,703</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1,025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8.58%</w:t>
            </w:r>
          </w:p>
        </w:tc>
      </w:tr>
      <w:tr>
        <w:trPr>
          <w:trHeight w:val="216"/>
        </w:trPr>
        <w:tc>
          <w:tcPr>
            <w:tcW w:w="2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lease obligations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0"/>
        </w:trPr>
        <w:tc>
          <w:tcPr>
            <w:tcW w:w="29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980" w:type="dxa"/>
            <w:vAlign w:val="bottom"/>
          </w:tcPr>
          <w:p>
            <w:pPr>
              <w:spacing w:after="0"/>
              <w:rPr>
                <w:sz w:val="20"/>
                <w:szCs w:val="20"/>
                <w:color w:val="auto"/>
              </w:rPr>
            </w:pPr>
            <w:r>
              <w:rPr>
                <w:rFonts w:ascii="Arial" w:cs="Arial" w:eastAsia="Arial" w:hAnsi="Arial"/>
                <w:sz w:val="18"/>
                <w:szCs w:val="18"/>
                <w:color w:val="auto"/>
              </w:rPr>
              <w:t>Total interest-bearing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961,745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9,094</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835,561</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5,670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1.35%</w:t>
            </w:r>
          </w:p>
        </w:tc>
      </w:tr>
      <w:tr>
        <w:trPr>
          <w:trHeight w:val="210"/>
        </w:trPr>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w w:val="94"/>
              </w:rPr>
              <w:t>Demand deposits and escrow accounts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81,615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82,210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8,126</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7,071</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1,051,486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924,842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143,177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126,497</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liabilities and shareholders' equity</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1,194,663</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1,051,339</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97"/>
        </w:trPr>
        <w:tc>
          <w:tcPr>
            <w:tcW w:w="29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56"/>
        </w:trPr>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 (5)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30,001</w:t>
            </w:r>
          </w:p>
        </w:tc>
        <w:tc>
          <w:tcPr>
            <w:tcW w:w="108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25,778</w:t>
            </w:r>
          </w:p>
        </w:tc>
        <w:tc>
          <w:tcPr>
            <w:tcW w:w="10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197"/>
        </w:trPr>
        <w:tc>
          <w:tcPr>
            <w:tcW w:w="29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Net interest margin (6)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5.03%</w:t>
            </w:r>
          </w:p>
        </w:tc>
      </w:tr>
    </w:tbl>
    <w:p>
      <w:pPr>
        <w:spacing w:after="0" w:line="214"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the statutory tax rate.</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32"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tax exempt interest income of $10 thousand for the six months ended December 31, 2017.</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9"/>
          </w:tcPr>
          <w:p>
            <w:pPr>
              <w:jc w:val="right"/>
              <w:ind w:right="520"/>
              <w:spacing w:after="0"/>
              <w:rPr>
                <w:sz w:val="20"/>
                <w:szCs w:val="20"/>
                <w:color w:val="auto"/>
              </w:rPr>
            </w:pPr>
            <w:r>
              <w:rPr>
                <w:rFonts w:ascii="Arial" w:cs="Arial" w:eastAsia="Arial" w:hAnsi="Arial"/>
                <w:sz w:val="18"/>
                <w:szCs w:val="18"/>
                <w:color w:val="auto"/>
                <w:w w:val="95"/>
              </w:rPr>
              <w:t>Six Months Ended December 31, 2018 Compared to 2017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40"/>
              <w:spacing w:after="0" w:line="195" w:lineRule="exact"/>
              <w:rPr>
                <w:sz w:val="20"/>
                <w:szCs w:val="20"/>
                <w:color w:val="auto"/>
              </w:rPr>
            </w:pPr>
            <w:r>
              <w:rPr>
                <w:rFonts w:ascii="Arial" w:cs="Arial" w:eastAsia="Arial" w:hAnsi="Arial"/>
                <w:sz w:val="18"/>
                <w:szCs w:val="18"/>
                <w:color w:val="auto"/>
                <w:w w:val="94"/>
              </w:rPr>
              <w:t>Change Due to</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Volume</w:t>
            </w:r>
          </w:p>
        </w:tc>
        <w:tc>
          <w:tcPr>
            <w:tcW w:w="100" w:type="dxa"/>
            <w:vAlign w:val="bottom"/>
          </w:tcPr>
          <w:p>
            <w:pPr>
              <w:spacing w:after="0"/>
              <w:rPr>
                <w:sz w:val="20"/>
                <w:szCs w:val="20"/>
                <w:color w:val="auto"/>
              </w:rPr>
            </w:pP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w w:val="90"/>
              </w:rPr>
              <w:t>Change Due to Rate</w:t>
            </w:r>
          </w:p>
        </w:tc>
        <w:tc>
          <w:tcPr>
            <w:tcW w:w="18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Total Change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381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Federal Home Loan Bank stock</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interest-earning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2,238</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7,647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2,363</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debt</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Capital lease obligations</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2,484</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change in net interest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4,469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4,223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ind w:right="8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Quarterly, the Company determines the amount of the allowance for loan losses that is appropriate to provide for losses inherent in the Company’s loan portfolios, with the provision for loan losses determined by the net change in the allowance for loan losses. For loans accounted for under ASC 310-30, a provision for loan loss is recorded when estimates of future cash flows are lower than had been previously expected. See Part I. Item I. “Notes to Unaudited Consolidated Financial Statements — Note 4: Loans, Allowance for Loan Losses and Credit Quality” for further discussion.</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provision for loan losses for periods subsequent to the merger with FHB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2018 and 2017</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provision for loan losses for the three months ended December 31, 2018 and 2017 was $101 thousand and $437 thousand, respectively. The decrease in the Company’s provision for loan losses was primarily due to changes in the composition of the loan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2018 and 2017</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provision for loan losses for the six months ended December 31, 2018 and 2017 was $633 thousand and $792 thousand, respectively. The decrease in the Company’s provision for loan losses was primarily due to changes in the composition of the loan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2018 and 2017</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Noninterest income increased by $317 thousand for the quarter ended December 31, 2018, compared to the quarter ended December 31, 2017, principally due to the following:</w:t>
      </w:r>
    </w:p>
    <w:p>
      <w:pPr>
        <w:spacing w:after="0" w:line="1"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increase in gain on sale of SBA loans of $601 thousand, due to larger guarantee balances sold in the quarter; partially offset by,</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decrease in gain on sale of residential loans of $151 thousand, due to lower volume of residential loans sold in the quarter; and</w:t>
      </w:r>
    </w:p>
    <w:p>
      <w:pPr>
        <w:spacing w:after="0" w:line="9" w:lineRule="exact"/>
        <w:rPr>
          <w:rFonts w:ascii="Arial" w:cs="Arial" w:eastAsia="Arial" w:hAnsi="Arial"/>
          <w:sz w:val="18"/>
          <w:szCs w:val="18"/>
          <w:color w:val="auto"/>
        </w:rPr>
      </w:pPr>
    </w:p>
    <w:p>
      <w:pPr>
        <w:ind w:left="980" w:right="180" w:hanging="324"/>
        <w:spacing w:after="0" w:line="261"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decrease in fees for other services to customers of $135 thousand, due to lower commercial loan servicing fees as a result of the write-off of servicing assets related to SBA loans that paid off during the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2018 and 2017</w:t>
      </w:r>
    </w:p>
    <w:p>
      <w:pPr>
        <w:spacing w:after="0" w:line="225" w:lineRule="exact"/>
        <w:rPr>
          <w:sz w:val="20"/>
          <w:szCs w:val="20"/>
          <w:color w:val="auto"/>
        </w:rPr>
      </w:pPr>
    </w:p>
    <w:p>
      <w:pPr>
        <w:ind w:right="640"/>
        <w:spacing w:after="0" w:line="258" w:lineRule="auto"/>
        <w:rPr>
          <w:sz w:val="20"/>
          <w:szCs w:val="20"/>
          <w:color w:val="auto"/>
        </w:rPr>
      </w:pPr>
      <w:r>
        <w:rPr>
          <w:rFonts w:ascii="Arial" w:cs="Arial" w:eastAsia="Arial" w:hAnsi="Arial"/>
          <w:sz w:val="18"/>
          <w:szCs w:val="18"/>
          <w:color w:val="auto"/>
        </w:rPr>
        <w:t>Noninterest income decreased by $88 thousand for the six months ended December 31, 2018, compared to the six months ended December 31, 2017, principally due to the following:</w:t>
      </w:r>
    </w:p>
    <w:p>
      <w:pPr>
        <w:spacing w:after="0" w:line="1"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decrease in gain on sale of residential loans of $266 thousand, due to lower volume of residential loans sold in the period; and</w:t>
      </w:r>
    </w:p>
    <w:p>
      <w:pPr>
        <w:spacing w:after="0" w:line="9" w:lineRule="exact"/>
        <w:rPr>
          <w:rFonts w:ascii="Arial" w:cs="Arial" w:eastAsia="Arial" w:hAnsi="Arial"/>
          <w:sz w:val="18"/>
          <w:szCs w:val="18"/>
          <w:color w:val="auto"/>
        </w:rPr>
      </w:pPr>
    </w:p>
    <w:p>
      <w:pPr>
        <w:ind w:left="980" w:right="180" w:hanging="324"/>
        <w:spacing w:after="0" w:line="250"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decrease in fees for other services to customers of $170 thousand, due to lower commercial loan servicing fees as a result of the write-off of servicing assets related to SBA loans that paid off during the quarter.; offset by,</w:t>
      </w: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gain on sale of SBA loans of $432 thousand, due to a higher volume of SBA guarantees sold.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2018 and 2017</w:t>
      </w:r>
    </w:p>
    <w:p>
      <w:pPr>
        <w:spacing w:after="0" w:line="22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Noninterest expense increased by $1.3 million for the quarter ended December 31, 2018 compared to the quarter ended December 31, 2017, primarily due to the following:</w:t>
      </w:r>
    </w:p>
    <w:p>
      <w:pPr>
        <w:spacing w:after="0" w:line="1" w:lineRule="exact"/>
        <w:rPr>
          <w:sz w:val="20"/>
          <w:szCs w:val="20"/>
          <w:color w:val="auto"/>
        </w:rPr>
      </w:pPr>
    </w:p>
    <w:p>
      <w:pPr>
        <w:ind w:left="980" w:right="260" w:hanging="324"/>
        <w:spacing w:after="0" w:line="250"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salaries and employee benefits expense of $526 thousand, primarily due to increases in base salary, stock-based compensation expense, incentive compensation, and a decrease in deferred salaries expense;</w:t>
      </w:r>
    </w:p>
    <w:p>
      <w:pPr>
        <w:ind w:left="980" w:right="600" w:hanging="324"/>
        <w:spacing w:after="0" w:line="250"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other noninterest expense of $292 thousand, primarily due to a $141 thousand increase in expense related to the quarterly valuation of SBA servicing rights, and increases in travel expense and employee recruitment expense;</w:t>
      </w:r>
    </w:p>
    <w:p>
      <w:pPr>
        <w:ind w:left="980" w:right="220" w:hanging="324"/>
        <w:spacing w:after="0" w:line="250"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professional fees of $231 thousand, primarily due to increased legal expense related to the anticipated reorganization and other consulting costs; and</w:t>
      </w:r>
    </w:p>
    <w:p>
      <w:pPr>
        <w:ind w:left="980" w:right="360" w:hanging="324"/>
        <w:spacing w:after="0" w:line="261"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loan acquisition and collection expense of $217 thousand, largely driven by increased loan expenses and collection expenses incurred on the increased SBA and purchased loan activity during the quarter.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2018 and 2017</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Noninterest expense increased by $2.0 million for the six months ended December 31, 2018, compared to the six months ended December 31, 2017, primarily due to the following:</w:t>
      </w:r>
    </w:p>
    <w:p>
      <w:pPr>
        <w:spacing w:after="0" w:line="1" w:lineRule="exact"/>
        <w:rPr>
          <w:sz w:val="20"/>
          <w:szCs w:val="20"/>
          <w:color w:val="auto"/>
        </w:rPr>
      </w:pPr>
    </w:p>
    <w:p>
      <w:pPr>
        <w:ind w:left="980" w:right="120" w:hanging="324"/>
        <w:spacing w:after="0" w:line="250"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salaries and employee benefits expense of $781 thousand, primarily due to increases in incentive compensation and stock-based compensation expense;</w:t>
      </w: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other noninterest expense of $459 thousand, primarily due to the quarterly valuation of SBA servicing rights;</w:t>
      </w:r>
    </w:p>
    <w:p>
      <w:pPr>
        <w:spacing w:after="0" w:line="9" w:lineRule="exact"/>
        <w:rPr>
          <w:rFonts w:ascii="Arial" w:cs="Arial" w:eastAsia="Arial" w:hAnsi="Arial"/>
          <w:sz w:val="18"/>
          <w:szCs w:val="18"/>
          <w:color w:val="auto"/>
        </w:rPr>
      </w:pPr>
    </w:p>
    <w:p>
      <w:pPr>
        <w:ind w:left="980" w:right="220" w:hanging="324"/>
        <w:spacing w:after="0" w:line="250"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professional fees of $323 thousand, primarily due to increased legal expense related to the anticipated reorganization and other consulting costs; and</w:t>
      </w:r>
    </w:p>
    <w:p>
      <w:pPr>
        <w:ind w:left="980" w:right="360" w:hanging="324"/>
        <w:spacing w:after="0" w:line="261"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loan acquisition and collection expense of $291 thousand, largely driven by increased loan expenses and collection expenses incurred on the increased SBA and purchased loan activity during the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2018 and 2017</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Income tax expense increased by $678 thousand to $2.1 million, or an effective tax rate of 28.7%, for the quarter ended December 31, 2018, compared to $1.4 million, or an effective tax rate of 29.5%, for the quarter ended December 31, 2017. The increase in expense was primarily due to the increase in earnings. The decrease in the effective tax rate was primarily due to the following:</w:t>
      </w:r>
    </w:p>
    <w:p>
      <w:pPr>
        <w:ind w:left="980" w:right="320" w:hanging="324"/>
        <w:spacing w:after="0" w:line="250"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new federal corporate income tax rate of 21.0% for the quarter ended December 31, 2018, as compared to the blended federal corporate income tax rate of 28.0% for the quarter ended December 31, 2017; and</w:t>
      </w:r>
    </w:p>
    <w:p>
      <w:pPr>
        <w:ind w:left="980" w:right="320" w:hanging="324"/>
        <w:spacing w:after="0" w:line="250"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$498 thousand revaluation of the deferred tax asset as a result of the Tax Cuts and Jobs Act recorded in the quarter ended December 31, 2017; partially offset by,</w:t>
      </w:r>
    </w:p>
    <w:p>
      <w:pPr>
        <w:ind w:left="980" w:right="20" w:hanging="324"/>
        <w:spacing w:after="0" w:line="277" w:lineRule="auto"/>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A decrease in the income tax benefit recognized of $275 thousand arising from the treatment of vested restricted stock awards under ASU 2016-09, </w:t>
      </w:r>
      <w:r>
        <w:rPr>
          <w:rFonts w:ascii="Arial" w:cs="Arial" w:eastAsia="Arial" w:hAnsi="Arial"/>
          <w:sz w:val="17"/>
          <w:szCs w:val="17"/>
          <w:i w:val="1"/>
          <w:iCs w:val="1"/>
          <w:color w:val="auto"/>
        </w:rPr>
        <w:t>Compensation–Stock Compensation (Topic 718): Improvements to Employee Share-Based Payment Accounting</w:t>
      </w:r>
      <w:r>
        <w:rPr>
          <w:rFonts w:ascii="Arial" w:cs="Arial" w:eastAsia="Arial" w:hAnsi="Arial"/>
          <w:sz w:val="17"/>
          <w:szCs w:val="17"/>
          <w:color w:val="auto"/>
        </w:rPr>
        <w:t>, whereby the tax effects of vested awards or exercised options are treated as a discrete item in the reporting period in which they occur.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2018 and 2017</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Income tax expense increased by $555 thousand to $3.6 million, or an effective tax rate of 26.9%, for the six months ended December 31, 2018, compared to $3.0 million, or an effective tax rate of 27.5%, the six months ended December 31, 2017. The increase in expense was primarily due to the increase in earnings. The decrease in the effective tax rate was primarily due to the following:</w:t>
      </w:r>
    </w:p>
    <w:p>
      <w:pPr>
        <w:ind w:left="980" w:right="60" w:hanging="324"/>
        <w:spacing w:after="0" w:line="250"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new federal corporate income tax rate of 21.0% for the six months ended December 31, 2018, as compared to the blended federal corporate income tax rate of 28.0% for the six months ended December 31, 2017; and</w:t>
      </w:r>
    </w:p>
    <w:p>
      <w:pPr>
        <w:ind w:left="980" w:right="60" w:hanging="324"/>
        <w:spacing w:after="0" w:line="250"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$498 thousand revaluation of the deferred tax asset as a result of the Tax Cuts and Jobs Act recorded in the six months ended December 31, 2017; partially offset by,</w:t>
      </w:r>
    </w:p>
    <w:p>
      <w:pPr>
        <w:ind w:left="980" w:right="20" w:hanging="324"/>
        <w:spacing w:after="0" w:line="277"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A decrease in the income tax benefit recognized of $905 thousand arising from the treatment of vested restricted stock awards under ASU 2016-09, </w:t>
      </w:r>
      <w:r>
        <w:rPr>
          <w:rFonts w:ascii="Arial" w:cs="Arial" w:eastAsia="Arial" w:hAnsi="Arial"/>
          <w:sz w:val="17"/>
          <w:szCs w:val="17"/>
          <w:i w:val="1"/>
          <w:iCs w:val="1"/>
          <w:color w:val="auto"/>
        </w:rPr>
        <w:t>Compensation–Stock Compensation (Topic 718): Improvements to Employee Share-Based Payment Accounting,</w:t>
      </w:r>
      <w:r>
        <w:rPr>
          <w:rFonts w:ascii="Arial" w:cs="Arial" w:eastAsia="Arial" w:hAnsi="Arial"/>
          <w:sz w:val="17"/>
          <w:szCs w:val="17"/>
          <w:color w:val="auto"/>
        </w:rPr>
        <w:t xml:space="preserve"> whereby the tax effects of vested awards or exercised stock options are treated as a discrete item in the reporting period in which they occur.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maintains controls and procedures designed to ensure that information required to be disclosed in the reports the Company files or submits under the Securities Exchange Act of 1934 (“Exchange Act”) is recorded, processed, summarized and reported within the time periods specified in the rules and forms of the SEC, and that such information is accumulated and communicated to the Company’s management, including the Chief Executive Officer and Chief Financial Officer (the Company’s principal executive officer and principal financial officer, respectively), as appropriate to allow for timely decisions regarding timely disclosure. In designing and evaluating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7"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The Company’s management, with the participation of the Chief Executive Officer and Chief Financial Officer, has evaluated the effectiveness of its disclosure controls and procedures (as defined in Rules 13a-15(e) and 15d-15(e) under the Exchange Act) as of the end of the period covered by this Quarterly Report on Form 10-Q.</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this evaluation of the Company’s disclosure controls and procedures, the Chief Executive Officer and Chief Financial Officer have concluded that these disclosure controls and procedures were effective as of December 31, 2018.</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 were no changes in the Company’s internal controls over financial reporting (as defined in Rule 13a-15(f) of the Exchange Act) that occurred during the quarter ended December 31, 2018 that have materially affected, or is reasonably likely to materially affect, the Company’s internal controls over financial reporting.</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60" w:type="dxa"/>
            <w:vAlign w:val="bottom"/>
            <w:gridSpan w:val="8"/>
          </w:tcPr>
          <w:p>
            <w:pPr>
              <w:ind w:left="1200"/>
              <w:spacing w:after="0"/>
              <w:rPr>
                <w:sz w:val="20"/>
                <w:szCs w:val="20"/>
                <w:color w:val="auto"/>
              </w:rPr>
            </w:pPr>
            <w:r>
              <w:rPr>
                <w:rFonts w:ascii="Arial" w:cs="Arial" w:eastAsia="Arial" w:hAnsi="Arial"/>
                <w:sz w:val="18"/>
                <w:szCs w:val="18"/>
                <w:b w:val="1"/>
                <w:bCs w:val="1"/>
                <w:color w:val="auto"/>
              </w:rPr>
              <w:t>PART II – OTHER INFORMATION</w:t>
            </w: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980" w:type="dxa"/>
            <w:vAlign w:val="bottom"/>
            <w:gridSpan w:val="14"/>
          </w:tcPr>
          <w:p>
            <w:pPr>
              <w:ind w:left="200"/>
              <w:spacing w:after="0"/>
              <w:rPr>
                <w:sz w:val="20"/>
                <w:szCs w:val="20"/>
                <w:color w:val="auto"/>
              </w:rPr>
            </w:pPr>
            <w:r>
              <w:rPr>
                <w:rFonts w:ascii="Arial" w:cs="Arial" w:eastAsia="Arial" w:hAnsi="Arial"/>
                <w:sz w:val="18"/>
                <w:szCs w:val="18"/>
                <w:b w:val="1"/>
                <w:bCs w:val="1"/>
                <w:color w:val="auto"/>
              </w:rPr>
              <w:t>Legal Proceedings</w:t>
            </w:r>
          </w:p>
        </w:tc>
      </w:tr>
      <w:tr>
        <w:trPr>
          <w:trHeight w:val="432"/>
        </w:trPr>
        <w:tc>
          <w:tcPr>
            <w:tcW w:w="860" w:type="dxa"/>
            <w:vAlign w:val="bottom"/>
          </w:tcPr>
          <w:p>
            <w:pPr>
              <w:spacing w:after="0"/>
              <w:rPr>
                <w:sz w:val="24"/>
                <w:szCs w:val="24"/>
                <w:color w:val="auto"/>
              </w:rPr>
            </w:pPr>
          </w:p>
        </w:tc>
        <w:tc>
          <w:tcPr>
            <w:tcW w:w="1380" w:type="dxa"/>
            <w:vAlign w:val="bottom"/>
            <w:gridSpan w:val="3"/>
          </w:tcPr>
          <w:p>
            <w:pPr>
              <w:ind w:left="200"/>
              <w:spacing w:after="0"/>
              <w:rPr>
                <w:sz w:val="20"/>
                <w:szCs w:val="20"/>
                <w:color w:val="auto"/>
              </w:rPr>
            </w:pPr>
            <w:r>
              <w:rPr>
                <w:rFonts w:ascii="Arial" w:cs="Arial" w:eastAsia="Arial" w:hAnsi="Arial"/>
                <w:sz w:val="18"/>
                <w:szCs w:val="18"/>
                <w:color w:val="auto"/>
              </w:rPr>
              <w:t>None.</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380" w:type="dxa"/>
            <w:vAlign w:val="bottom"/>
            <w:gridSpan w:val="3"/>
          </w:tcPr>
          <w:p>
            <w:pPr>
              <w:ind w:left="200"/>
              <w:spacing w:after="0"/>
              <w:rPr>
                <w:sz w:val="20"/>
                <w:szCs w:val="20"/>
                <w:color w:val="auto"/>
              </w:rPr>
            </w:pPr>
            <w:r>
              <w:rPr>
                <w:rFonts w:ascii="Arial" w:cs="Arial" w:eastAsia="Arial" w:hAnsi="Arial"/>
                <w:sz w:val="18"/>
                <w:szCs w:val="18"/>
                <w:b w:val="1"/>
                <w:bCs w:val="1"/>
                <w:color w:val="auto"/>
              </w:rPr>
              <w:t>Risk Factors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860" w:type="dxa"/>
            <w:vAlign w:val="bottom"/>
          </w:tcPr>
          <w:p>
            <w:pPr>
              <w:spacing w:after="0"/>
              <w:rPr>
                <w:sz w:val="24"/>
                <w:szCs w:val="24"/>
                <w:color w:val="auto"/>
              </w:rPr>
            </w:pPr>
          </w:p>
        </w:tc>
        <w:tc>
          <w:tcPr>
            <w:tcW w:w="9980" w:type="dxa"/>
            <w:vAlign w:val="bottom"/>
            <w:gridSpan w:val="14"/>
          </w:tcPr>
          <w:p>
            <w:pPr>
              <w:ind w:left="200"/>
              <w:spacing w:after="0"/>
              <w:rPr>
                <w:sz w:val="20"/>
                <w:szCs w:val="20"/>
                <w:color w:val="auto"/>
              </w:rPr>
            </w:pPr>
            <w:r>
              <w:rPr>
                <w:rFonts w:ascii="Arial" w:cs="Arial" w:eastAsia="Arial" w:hAnsi="Arial"/>
                <w:sz w:val="18"/>
                <w:szCs w:val="18"/>
                <w:color w:val="auto"/>
              </w:rPr>
              <w:t>Not required for smaller reporting companies.</w:t>
            </w: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980" w:type="dxa"/>
            <w:vAlign w:val="bottom"/>
            <w:gridSpan w:val="14"/>
          </w:tcPr>
          <w:p>
            <w:pPr>
              <w:ind w:left="200"/>
              <w:spacing w:after="0"/>
              <w:rPr>
                <w:sz w:val="20"/>
                <w:szCs w:val="20"/>
                <w:color w:val="auto"/>
              </w:rPr>
            </w:pPr>
            <w:r>
              <w:rPr>
                <w:rFonts w:ascii="Arial" w:cs="Arial" w:eastAsia="Arial" w:hAnsi="Arial"/>
                <w:sz w:val="18"/>
                <w:szCs w:val="18"/>
                <w:b w:val="1"/>
                <w:bCs w:val="1"/>
                <w:color w:val="auto"/>
              </w:rPr>
              <w:t>Unregistered Sales of Equity Securities and Use of Proceeds</w:t>
            </w:r>
          </w:p>
        </w:tc>
      </w:tr>
      <w:tr>
        <w:trPr>
          <w:trHeight w:val="418"/>
        </w:trPr>
        <w:tc>
          <w:tcPr>
            <w:tcW w:w="860" w:type="dxa"/>
            <w:vAlign w:val="bottom"/>
          </w:tcPr>
          <w:p>
            <w:pPr>
              <w:spacing w:after="0"/>
              <w:rPr>
                <w:sz w:val="24"/>
                <w:szCs w:val="24"/>
                <w:color w:val="auto"/>
              </w:rPr>
            </w:pPr>
          </w:p>
        </w:tc>
        <w:tc>
          <w:tcPr>
            <w:tcW w:w="9980" w:type="dxa"/>
            <w:vAlign w:val="bottom"/>
            <w:gridSpan w:val="14"/>
          </w:tcPr>
          <w:p>
            <w:pPr>
              <w:ind w:left="200"/>
              <w:spacing w:after="0"/>
              <w:rPr>
                <w:sz w:val="20"/>
                <w:szCs w:val="20"/>
                <w:color w:val="auto"/>
              </w:rPr>
            </w:pPr>
            <w:r>
              <w:rPr>
                <w:rFonts w:ascii="Arial" w:cs="Arial" w:eastAsia="Arial" w:hAnsi="Arial"/>
                <w:sz w:val="18"/>
                <w:szCs w:val="18"/>
                <w:color w:val="auto"/>
                <w:w w:val="94"/>
              </w:rPr>
              <w:t>(c) There were no purchases made by the Company of its common stock during the three months ended December 31, 2018. The</w:t>
            </w:r>
          </w:p>
        </w:tc>
      </w:tr>
      <w:tr>
        <w:trPr>
          <w:trHeight w:val="230"/>
        </w:trPr>
        <w:tc>
          <w:tcPr>
            <w:tcW w:w="860" w:type="dxa"/>
            <w:vAlign w:val="bottom"/>
          </w:tcPr>
          <w:p>
            <w:pPr>
              <w:spacing w:after="0"/>
              <w:rPr>
                <w:sz w:val="20"/>
                <w:szCs w:val="20"/>
                <w:color w:val="auto"/>
              </w:rPr>
            </w:pPr>
          </w:p>
        </w:tc>
        <w:tc>
          <w:tcPr>
            <w:tcW w:w="9980" w:type="dxa"/>
            <w:vAlign w:val="bottom"/>
            <w:gridSpan w:val="14"/>
          </w:tcPr>
          <w:p>
            <w:pPr>
              <w:ind w:left="200"/>
              <w:spacing w:after="0"/>
              <w:rPr>
                <w:sz w:val="20"/>
                <w:szCs w:val="20"/>
                <w:color w:val="auto"/>
              </w:rPr>
            </w:pPr>
            <w:r>
              <w:rPr>
                <w:rFonts w:ascii="Arial" w:cs="Arial" w:eastAsia="Arial" w:hAnsi="Arial"/>
                <w:sz w:val="18"/>
                <w:szCs w:val="18"/>
                <w:color w:val="auto"/>
              </w:rPr>
              <w:t>Company’s amended stock repurchase program expired on October 21, 2018.</w:t>
            </w: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980" w:type="dxa"/>
            <w:vAlign w:val="bottom"/>
            <w:gridSpan w:val="14"/>
          </w:tcPr>
          <w:p>
            <w:pPr>
              <w:ind w:left="200"/>
              <w:spacing w:after="0"/>
              <w:rPr>
                <w:sz w:val="20"/>
                <w:szCs w:val="20"/>
                <w:color w:val="auto"/>
              </w:rPr>
            </w:pPr>
            <w:r>
              <w:rPr>
                <w:rFonts w:ascii="Arial" w:cs="Arial" w:eastAsia="Arial" w:hAnsi="Arial"/>
                <w:sz w:val="18"/>
                <w:szCs w:val="18"/>
                <w:b w:val="1"/>
                <w:bCs w:val="1"/>
                <w:color w:val="auto"/>
              </w:rPr>
              <w:t>Defaults Upon Senior Securities</w:t>
            </w:r>
          </w:p>
        </w:tc>
      </w:tr>
      <w:tr>
        <w:trPr>
          <w:trHeight w:val="432"/>
        </w:trPr>
        <w:tc>
          <w:tcPr>
            <w:tcW w:w="860" w:type="dxa"/>
            <w:vAlign w:val="bottom"/>
          </w:tcPr>
          <w:p>
            <w:pPr>
              <w:spacing w:after="0"/>
              <w:rPr>
                <w:sz w:val="24"/>
                <w:szCs w:val="24"/>
                <w:color w:val="auto"/>
              </w:rPr>
            </w:pPr>
          </w:p>
        </w:tc>
        <w:tc>
          <w:tcPr>
            <w:tcW w:w="1380" w:type="dxa"/>
            <w:vAlign w:val="bottom"/>
            <w:gridSpan w:val="3"/>
          </w:tcPr>
          <w:p>
            <w:pPr>
              <w:ind w:left="200"/>
              <w:spacing w:after="0"/>
              <w:rPr>
                <w:sz w:val="20"/>
                <w:szCs w:val="20"/>
                <w:color w:val="auto"/>
              </w:rPr>
            </w:pPr>
            <w:r>
              <w:rPr>
                <w:rFonts w:ascii="Arial" w:cs="Arial" w:eastAsia="Arial" w:hAnsi="Arial"/>
                <w:sz w:val="18"/>
                <w:szCs w:val="18"/>
                <w:color w:val="auto"/>
              </w:rPr>
              <w:t>None.</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980" w:type="dxa"/>
            <w:vAlign w:val="bottom"/>
            <w:gridSpan w:val="14"/>
          </w:tcPr>
          <w:p>
            <w:pPr>
              <w:ind w:left="200"/>
              <w:spacing w:after="0"/>
              <w:rPr>
                <w:sz w:val="20"/>
                <w:szCs w:val="20"/>
                <w:color w:val="auto"/>
              </w:rPr>
            </w:pPr>
            <w:r>
              <w:rPr>
                <w:rFonts w:ascii="Arial" w:cs="Arial" w:eastAsia="Arial" w:hAnsi="Arial"/>
                <w:sz w:val="18"/>
                <w:szCs w:val="18"/>
                <w:b w:val="1"/>
                <w:bCs w:val="1"/>
                <w:color w:val="auto"/>
              </w:rPr>
              <w:t>Mine Safety Disclosures</w:t>
            </w:r>
          </w:p>
        </w:tc>
      </w:tr>
      <w:tr>
        <w:trPr>
          <w:trHeight w:val="432"/>
        </w:trPr>
        <w:tc>
          <w:tcPr>
            <w:tcW w:w="860" w:type="dxa"/>
            <w:vAlign w:val="bottom"/>
          </w:tcPr>
          <w:p>
            <w:pPr>
              <w:spacing w:after="0"/>
              <w:rPr>
                <w:sz w:val="24"/>
                <w:szCs w:val="24"/>
                <w:color w:val="auto"/>
              </w:rPr>
            </w:pPr>
          </w:p>
        </w:tc>
        <w:tc>
          <w:tcPr>
            <w:tcW w:w="1380" w:type="dxa"/>
            <w:vAlign w:val="bottom"/>
            <w:gridSpan w:val="3"/>
          </w:tcPr>
          <w:p>
            <w:pPr>
              <w:ind w:left="200"/>
              <w:spacing w:after="0"/>
              <w:rPr>
                <w:sz w:val="20"/>
                <w:szCs w:val="20"/>
                <w:color w:val="auto"/>
              </w:rPr>
            </w:pPr>
            <w:r>
              <w:rPr>
                <w:rFonts w:ascii="Arial" w:cs="Arial" w:eastAsia="Arial" w:hAnsi="Arial"/>
                <w:sz w:val="18"/>
                <w:szCs w:val="18"/>
                <w:color w:val="auto"/>
                <w:w w:val="97"/>
              </w:rPr>
              <w:t>Not applicable.</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980" w:type="dxa"/>
            <w:vAlign w:val="bottom"/>
            <w:gridSpan w:val="14"/>
          </w:tcPr>
          <w:p>
            <w:pPr>
              <w:ind w:left="200"/>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860" w:type="dxa"/>
            <w:vAlign w:val="bottom"/>
          </w:tcPr>
          <w:p>
            <w:pPr>
              <w:spacing w:after="0"/>
              <w:rPr>
                <w:sz w:val="24"/>
                <w:szCs w:val="24"/>
                <w:color w:val="auto"/>
              </w:rPr>
            </w:pPr>
          </w:p>
        </w:tc>
        <w:tc>
          <w:tcPr>
            <w:tcW w:w="1380" w:type="dxa"/>
            <w:vAlign w:val="bottom"/>
            <w:gridSpan w:val="3"/>
          </w:tcPr>
          <w:p>
            <w:pPr>
              <w:ind w:left="200"/>
              <w:spacing w:after="0"/>
              <w:rPr>
                <w:sz w:val="20"/>
                <w:szCs w:val="20"/>
                <w:color w:val="auto"/>
              </w:rPr>
            </w:pPr>
            <w:r>
              <w:rPr>
                <w:rFonts w:ascii="Arial" w:cs="Arial" w:eastAsia="Arial" w:hAnsi="Arial"/>
                <w:sz w:val="18"/>
                <w:szCs w:val="18"/>
                <w:color w:val="auto"/>
              </w:rPr>
              <w:t>None.</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380" w:type="dxa"/>
            <w:vAlign w:val="bottom"/>
            <w:gridSpan w:val="3"/>
          </w:tcPr>
          <w:p>
            <w:pPr>
              <w:ind w:left="200"/>
              <w:spacing w:after="0"/>
              <w:rPr>
                <w:sz w:val="20"/>
                <w:szCs w:val="20"/>
                <w:color w:val="auto"/>
              </w:rPr>
            </w:pPr>
            <w:r>
              <w:rPr>
                <w:rFonts w:ascii="Arial" w:cs="Arial" w:eastAsia="Arial" w:hAnsi="Arial"/>
                <w:sz w:val="18"/>
                <w:szCs w:val="18"/>
                <w:b w:val="1"/>
                <w:bCs w:val="1"/>
                <w:color w:val="auto"/>
              </w:rPr>
              <w:t>Exhibits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92"/>
        </w:trPr>
        <w:tc>
          <w:tcPr>
            <w:tcW w:w="860" w:type="dxa"/>
            <w:vAlign w:val="bottom"/>
          </w:tcPr>
          <w:p>
            <w:pPr>
              <w:spacing w:after="0"/>
              <w:rPr>
                <w:sz w:val="24"/>
                <w:szCs w:val="24"/>
                <w:color w:val="auto"/>
              </w:rPr>
            </w:pPr>
          </w:p>
        </w:tc>
        <w:tc>
          <w:tcPr>
            <w:tcW w:w="1380" w:type="dxa"/>
            <w:vAlign w:val="bottom"/>
            <w:gridSpan w:val="3"/>
          </w:tcPr>
          <w:p>
            <w:pPr>
              <w:ind w:left="240"/>
              <w:spacing w:after="0"/>
              <w:rPr>
                <w:sz w:val="20"/>
                <w:szCs w:val="20"/>
                <w:color w:val="auto"/>
              </w:rPr>
            </w:pPr>
            <w:r>
              <w:rPr>
                <w:rFonts w:ascii="Arial" w:cs="Arial" w:eastAsia="Arial" w:hAnsi="Arial"/>
                <w:sz w:val="18"/>
                <w:szCs w:val="18"/>
                <w:color w:val="auto"/>
              </w:rPr>
              <w:t>Exhibits No.</w:t>
            </w:r>
          </w:p>
        </w:tc>
        <w:tc>
          <w:tcPr>
            <w:tcW w:w="8600" w:type="dxa"/>
            <w:vAlign w:val="bottom"/>
            <w:gridSpan w:val="11"/>
          </w:tcPr>
          <w:p>
            <w:pPr>
              <w:spacing w:after="0"/>
              <w:rPr>
                <w:sz w:val="20"/>
                <w:szCs w:val="20"/>
                <w:color w:val="auto"/>
              </w:rPr>
            </w:pPr>
            <w:r>
              <w:rPr>
                <w:rFonts w:ascii="Arial" w:cs="Arial" w:eastAsia="Arial" w:hAnsi="Arial"/>
                <w:sz w:val="18"/>
                <w:szCs w:val="18"/>
                <w:color w:val="auto"/>
              </w:rPr>
              <w:t>Description</w:t>
            </w:r>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ind w:left="300"/>
              <w:spacing w:after="0" w:line="196"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7"/>
                <w:szCs w:val="17"/>
                <w:color w:val="auto"/>
              </w:rPr>
            </w:pPr>
          </w:p>
        </w:tc>
        <w:tc>
          <w:tcPr>
            <w:tcW w:w="83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63">
              <w:r>
                <w:rPr>
                  <w:rFonts w:ascii="Arial" w:cs="Arial" w:eastAsia="Arial" w:hAnsi="Arial"/>
                  <w:sz w:val="18"/>
                  <w:szCs w:val="18"/>
                  <w:color w:val="0000EE"/>
                  <w:w w:val="89"/>
                </w:rPr>
                <w:t>Agreement and Plan of Merger, dated as of January 7, 2019, by and between Northeast Bancorp and Northeast Bank</w:t>
              </w:r>
            </w:hyperlink>
          </w:p>
        </w:tc>
        <w:tc>
          <w:tcPr>
            <w:tcW w:w="22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0" w:type="dxa"/>
            <w:vAlign w:val="bottom"/>
            <w:gridSpan w:val="11"/>
          </w:tcPr>
          <w:p>
            <w:pPr>
              <w:spacing w:after="0" w:line="196" w:lineRule="exact"/>
              <w:rPr>
                <w:rFonts w:ascii="Arial" w:cs="Arial" w:eastAsia="Arial" w:hAnsi="Arial"/>
                <w:sz w:val="18"/>
                <w:szCs w:val="18"/>
                <w:color w:val="0000EE"/>
                <w:w w:val="96"/>
              </w:rPr>
            </w:pPr>
            <w:hyperlink r:id="rId63">
              <w:r>
                <w:rPr>
                  <w:rFonts w:ascii="Arial" w:cs="Arial" w:eastAsia="Arial" w:hAnsi="Arial"/>
                  <w:sz w:val="18"/>
                  <w:szCs w:val="18"/>
                  <w:color w:val="0000EE"/>
                  <w:w w:val="96"/>
                </w:rPr>
                <w:t>(incorporated by reference to Exhibit 2.1 of Northeast Bancorp’s Current Report on Form 8-K filed on January 7,</w:t>
              </w:r>
            </w:hyperlink>
          </w:p>
        </w:tc>
      </w:tr>
      <w:tr>
        <w:trPr>
          <w:trHeight w:val="196"/>
        </w:trPr>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63">
              <w:r>
                <w:rPr>
                  <w:rFonts w:ascii="Arial" w:cs="Arial" w:eastAsia="Arial" w:hAnsi="Arial"/>
                  <w:sz w:val="18"/>
                  <w:szCs w:val="18"/>
                  <w:color w:val="0000EE"/>
                  <w:w w:val="86"/>
                </w:rPr>
                <w:t>2019).</w:t>
              </w:r>
            </w:hyperlink>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7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3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100" w:type="dxa"/>
            <w:vAlign w:val="bottom"/>
            <w:gridSpan w:val="2"/>
          </w:tcPr>
          <w:p>
            <w:pPr>
              <w:ind w:left="540"/>
              <w:spacing w:after="0" w:line="196" w:lineRule="exact"/>
              <w:rPr>
                <w:sz w:val="20"/>
                <w:szCs w:val="20"/>
                <w:color w:val="auto"/>
              </w:rPr>
            </w:pPr>
            <w:r>
              <w:rPr>
                <w:rFonts w:ascii="Arial" w:cs="Arial" w:eastAsia="Arial" w:hAnsi="Arial"/>
                <w:sz w:val="18"/>
                <w:szCs w:val="18"/>
                <w:color w:val="auto"/>
              </w:rPr>
              <w:t>31.1</w:t>
            </w:r>
          </w:p>
        </w:tc>
        <w:tc>
          <w:tcPr>
            <w:tcW w:w="280" w:type="dxa"/>
            <w:vAlign w:val="bottom"/>
          </w:tcPr>
          <w:p>
            <w:pPr>
              <w:spacing w:after="0"/>
              <w:rPr>
                <w:sz w:val="17"/>
                <w:szCs w:val="17"/>
                <w:color w:val="auto"/>
              </w:rPr>
            </w:pPr>
          </w:p>
        </w:tc>
        <w:tc>
          <w:tcPr>
            <w:tcW w:w="82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Certification of the Chief Executive Officer pursuant to Section 302 of the Sarbanes-Oxley Act of 2002 (Rule 13a-</w:t>
              </w:r>
            </w:hyperlink>
          </w:p>
        </w:tc>
        <w:tc>
          <w:tcPr>
            <w:tcW w:w="34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14(a)). *</w:t>
              </w:r>
            </w:hyperlink>
          </w:p>
        </w:tc>
        <w:tc>
          <w:tcPr>
            <w:tcW w:w="7980" w:type="dxa"/>
            <w:vAlign w:val="bottom"/>
            <w:gridSpan w:val="9"/>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100" w:type="dxa"/>
            <w:vAlign w:val="bottom"/>
            <w:gridSpan w:val="2"/>
          </w:tcPr>
          <w:p>
            <w:pPr>
              <w:ind w:left="540"/>
              <w:spacing w:after="0" w:line="196" w:lineRule="exact"/>
              <w:rPr>
                <w:sz w:val="20"/>
                <w:szCs w:val="20"/>
                <w:color w:val="auto"/>
              </w:rPr>
            </w:pPr>
            <w:r>
              <w:rPr>
                <w:rFonts w:ascii="Arial" w:cs="Arial" w:eastAsia="Arial" w:hAnsi="Arial"/>
                <w:sz w:val="18"/>
                <w:szCs w:val="18"/>
                <w:color w:val="auto"/>
              </w:rPr>
              <w:t>31.2</w:t>
            </w:r>
          </w:p>
        </w:tc>
        <w:tc>
          <w:tcPr>
            <w:tcW w:w="280" w:type="dxa"/>
            <w:vAlign w:val="bottom"/>
          </w:tcPr>
          <w:p>
            <w:pPr>
              <w:spacing w:after="0"/>
              <w:rPr>
                <w:sz w:val="17"/>
                <w:szCs w:val="17"/>
                <w:color w:val="auto"/>
              </w:rPr>
            </w:pPr>
          </w:p>
        </w:tc>
        <w:tc>
          <w:tcPr>
            <w:tcW w:w="8600" w:type="dxa"/>
            <w:vAlign w:val="bottom"/>
            <w:gridSpan w:val="11"/>
          </w:tcPr>
          <w:p>
            <w:pPr>
              <w:spacing w:after="0" w:line="196"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Certification of the Chief Financial Officer pursuant to Section 302 of the Sarbanes-Oxley Act of 2002 (Rule 13a-</w:t>
              </w:r>
            </w:hyperlink>
          </w:p>
        </w:tc>
      </w:tr>
      <w:tr>
        <w:trPr>
          <w:trHeight w:val="196"/>
        </w:trPr>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14(a)). *</w:t>
              </w:r>
            </w:hyperlink>
          </w:p>
        </w:tc>
        <w:tc>
          <w:tcPr>
            <w:tcW w:w="7580" w:type="dxa"/>
            <w:vAlign w:val="bottom"/>
            <w:tcBorders>
              <w:top w:val="single" w:sz="8" w:color="0000EE"/>
            </w:tcBorders>
            <w:gridSpan w:val="5"/>
          </w:tcPr>
          <w:p>
            <w:pPr>
              <w:spacing w:after="0"/>
              <w:rPr>
                <w:sz w:val="17"/>
                <w:szCs w:val="17"/>
                <w:color w:val="auto"/>
              </w:rPr>
            </w:pPr>
          </w:p>
        </w:tc>
        <w:tc>
          <w:tcPr>
            <w:tcW w:w="400" w:type="dxa"/>
            <w:vAlign w:val="bottom"/>
            <w:gridSpan w:val="4"/>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100" w:type="dxa"/>
            <w:vAlign w:val="bottom"/>
            <w:gridSpan w:val="2"/>
          </w:tcPr>
          <w:p>
            <w:pPr>
              <w:ind w:left="540"/>
              <w:spacing w:after="0" w:line="196" w:lineRule="exact"/>
              <w:rPr>
                <w:sz w:val="20"/>
                <w:szCs w:val="20"/>
                <w:color w:val="auto"/>
              </w:rPr>
            </w:pPr>
            <w:r>
              <w:rPr>
                <w:rFonts w:ascii="Arial" w:cs="Arial" w:eastAsia="Arial" w:hAnsi="Arial"/>
                <w:sz w:val="18"/>
                <w:szCs w:val="18"/>
                <w:color w:val="auto"/>
              </w:rPr>
              <w:t>32.1</w:t>
            </w:r>
          </w:p>
        </w:tc>
        <w:tc>
          <w:tcPr>
            <w:tcW w:w="280" w:type="dxa"/>
            <w:vAlign w:val="bottom"/>
          </w:tcPr>
          <w:p>
            <w:pPr>
              <w:spacing w:after="0"/>
              <w:rPr>
                <w:sz w:val="17"/>
                <w:szCs w:val="17"/>
                <w:color w:val="auto"/>
              </w:rPr>
            </w:pPr>
          </w:p>
        </w:tc>
        <w:tc>
          <w:tcPr>
            <w:tcW w:w="84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Certificate of the Chief Executive Officer Pursuant to 18 U.S.C. Section 1350, as adopted pursuant to Section 906 of</w:t>
              </w:r>
            </w:hyperlink>
          </w:p>
        </w:tc>
        <w:tc>
          <w:tcPr>
            <w:tcW w:w="20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0" w:type="dxa"/>
            <w:vAlign w:val="bottom"/>
            <w:gridSpan w:val="1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the Sarbanes-Oxley Act of 2002 (Rule 13a-14(b)). **</w:t>
              </w:r>
            </w:hyperlink>
          </w:p>
        </w:tc>
      </w:tr>
      <w:tr>
        <w:trPr>
          <w:trHeight w:val="20"/>
        </w:trPr>
        <w:tc>
          <w:tcPr>
            <w:tcW w:w="8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100" w:type="dxa"/>
            <w:vAlign w:val="bottom"/>
            <w:gridSpan w:val="2"/>
          </w:tcPr>
          <w:p>
            <w:pPr>
              <w:ind w:left="540"/>
              <w:spacing w:after="0" w:line="196" w:lineRule="exact"/>
              <w:rPr>
                <w:sz w:val="20"/>
                <w:szCs w:val="20"/>
                <w:color w:val="auto"/>
              </w:rPr>
            </w:pPr>
            <w:r>
              <w:rPr>
                <w:rFonts w:ascii="Arial" w:cs="Arial" w:eastAsia="Arial" w:hAnsi="Arial"/>
                <w:sz w:val="18"/>
                <w:szCs w:val="18"/>
                <w:color w:val="auto"/>
              </w:rPr>
              <w:t>32.2</w:t>
            </w:r>
          </w:p>
        </w:tc>
        <w:tc>
          <w:tcPr>
            <w:tcW w:w="28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Certificate of the Chief Financial Officer Pursuant to 18 U.S.C. Section 1350, as adopted pursuant to Section 906 of the</w:t>
              </w:r>
            </w:hyperlink>
          </w:p>
        </w:tc>
      </w:tr>
      <w:tr>
        <w:trPr>
          <w:trHeight w:val="196"/>
        </w:trPr>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0" w:type="dxa"/>
            <w:vAlign w:val="bottom"/>
            <w:gridSpan w:val="1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Sarbanes-Oxley Act of 2002 (Rule 13a-14(b)). **</w:t>
              </w:r>
            </w:hyperlink>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3" w:lineRule="exact"/>
        <w:rPr>
          <w:sz w:val="20"/>
          <w:szCs w:val="20"/>
          <w:color w:val="auto"/>
        </w:rPr>
      </w:pPr>
    </w:p>
    <w:p>
      <w:pPr>
        <w:ind w:left="2240" w:right="20" w:hanging="821"/>
        <w:spacing w:after="0" w:line="272" w:lineRule="auto"/>
        <w:tabs>
          <w:tab w:leader="none" w:pos="2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following materials from Northeast Bancorp’s Quarterly Report on Form 10-Q for the quarter ended December 31, 2018 formatted in XBRL: (i) Consolidated Balance Sheets as of December 31, 2018 and June 30, 2018; (ii) Consolidated Statements of Income for the three and six months ended December 31, 2018 and 2017; (iii) Consolidated Statements of Comprehensive Income for the three and six months ended December 31, 2018 and 2017; (iv) Consolidated Statements of Changes in Shareholders’ Equity for the six months ended December 31, 2018 and 2017; (v) Consolidated Statements of Cash Flows for the six months ended December 31, 2018 and 2017; and (v) Notes to Unaudited Consolidated Financial Statements. *</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240" w:top="118" w:right="81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7120" w:val="left"/>
        </w:tabs>
        <w:rPr>
          <w:sz w:val="20"/>
          <w:szCs w:val="20"/>
          <w:color w:val="auto"/>
        </w:rPr>
      </w:pPr>
      <w:r>
        <w:rPr>
          <w:rFonts w:ascii="Arial" w:cs="Arial" w:eastAsia="Arial" w:hAnsi="Arial"/>
          <w:sz w:val="18"/>
          <w:szCs w:val="18"/>
          <w:color w:val="auto"/>
        </w:rPr>
        <w:t>Date: February 8, 2019</w:t>
      </w:r>
      <w:r>
        <w:rPr>
          <w:sz w:val="20"/>
          <w:szCs w:val="20"/>
          <w:color w:val="auto"/>
        </w:rPr>
        <w:tab/>
      </w:r>
      <w:r>
        <w:rPr>
          <w:rFonts w:ascii="Arial" w:cs="Arial" w:eastAsia="Arial" w:hAnsi="Arial"/>
          <w:sz w:val="17"/>
          <w:szCs w:val="17"/>
          <w:b w:val="1"/>
          <w:bCs w:val="1"/>
          <w:color w:val="auto"/>
        </w:rPr>
        <w:t>NORTHEAST BANCORP</w:t>
      </w:r>
    </w:p>
    <w:p>
      <w:pPr>
        <w:spacing w:after="0" w:line="22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Richard Wayne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Richard Wayne</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Jean-Pierre Lapointe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Jean-Pierre Lapointe</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118" w:right="41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Exhibit 31.1 Certification of the Chief Executive Officer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Wayne, certify that:</w:t>
      </w:r>
    </w:p>
    <w:p>
      <w:pPr>
        <w:spacing w:after="0" w:line="225" w:lineRule="exact"/>
        <w:rPr>
          <w:sz w:val="20"/>
          <w:szCs w:val="20"/>
          <w:color w:val="auto"/>
        </w:rPr>
      </w:pPr>
    </w:p>
    <w:p>
      <w:pPr>
        <w:ind w:left="620" w:hanging="376"/>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jc w:val="both"/>
        <w:ind w:left="620" w:right="280" w:hanging="376"/>
        <w:spacing w:after="0" w:line="264"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20" w:right="240" w:hanging="376"/>
        <w:spacing w:after="0" w:line="308"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260" w:hanging="376"/>
        <w:spacing w:after="0" w:line="264"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hanging="4"/>
        <w:spacing w:after="0" w:line="264" w:lineRule="auto"/>
        <w:tabs>
          <w:tab w:leader="none" w:pos="91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20" w:right="220" w:hanging="4"/>
        <w:spacing w:after="0" w:line="264" w:lineRule="auto"/>
        <w:tabs>
          <w:tab w:leader="none" w:pos="87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20" w:right="760" w:hanging="4"/>
        <w:spacing w:after="0" w:line="342" w:lineRule="auto"/>
        <w:tabs>
          <w:tab w:leader="none" w:pos="91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20" w:right="260" w:hanging="4"/>
        <w:spacing w:after="0" w:line="264" w:lineRule="auto"/>
        <w:tabs>
          <w:tab w:leader="none" w:pos="9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20" w:right="180" w:hanging="376"/>
        <w:spacing w:after="0" w:line="308"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20" w:right="160" w:hanging="4"/>
        <w:spacing w:after="0" w:line="277"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20" w:right="120" w:hanging="4"/>
        <w:spacing w:after="0" w:line="277" w:lineRule="auto"/>
        <w:tabs>
          <w:tab w:leader="none" w:pos="91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8, 2019</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u w:val="single" w:color="auto"/>
          <w:color w:val="auto"/>
        </w:rPr>
        <w:t>/s/ Richard Wayne</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Richard Wayne</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360"/>
          </w:cols>
          <w:pgMar w:left="240" w:top="121" w:right="299" w:bottom="1440" w:gutter="0" w:footer="0" w:header="0"/>
        </w:sectPr>
      </w:pPr>
    </w:p>
    <w:bookmarkStart w:id="54" w:name="page55"/>
    <w:bookmarkEnd w:id="54"/>
    <w:p>
      <w:pPr>
        <w:spacing w:after="0"/>
        <w:tabs>
          <w:tab w:leader="none" w:pos="1140" w:val="left"/>
        </w:tabs>
        <w:rPr>
          <w:sz w:val="20"/>
          <w:szCs w:val="20"/>
          <w:color w:val="auto"/>
        </w:rPr>
      </w:pPr>
      <w:r>
        <w:rPr>
          <w:rFonts w:ascii="Arial" w:cs="Arial" w:eastAsia="Arial" w:hAnsi="Arial"/>
          <w:sz w:val="18"/>
          <w:szCs w:val="18"/>
          <w:b w:val="1"/>
          <w:bCs w:val="1"/>
          <w:color w:val="auto"/>
        </w:rPr>
        <w:t>Exhibit 31.2</w:t>
      </w:r>
      <w:r>
        <w:rPr>
          <w:sz w:val="20"/>
          <w:szCs w:val="20"/>
          <w:color w:val="auto"/>
        </w:rPr>
        <w:tab/>
      </w:r>
      <w:r>
        <w:rPr>
          <w:rFonts w:ascii="Arial" w:cs="Arial" w:eastAsia="Arial" w:hAnsi="Arial"/>
          <w:sz w:val="16"/>
          <w:szCs w:val="16"/>
          <w:b w:val="1"/>
          <w:bCs w:val="1"/>
          <w:color w:val="auto"/>
        </w:rPr>
        <w:t>Certification of the Chief Financial Officer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Jean-Pierre Lapointe, certify that:</w:t>
      </w:r>
    </w:p>
    <w:p>
      <w:pPr>
        <w:spacing w:after="0" w:line="225" w:lineRule="exact"/>
        <w:rPr>
          <w:sz w:val="20"/>
          <w:szCs w:val="20"/>
          <w:color w:val="auto"/>
        </w:rPr>
      </w:pPr>
    </w:p>
    <w:p>
      <w:pPr>
        <w:ind w:left="620" w:hanging="376"/>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jc w:val="both"/>
        <w:ind w:left="620" w:right="280" w:hanging="376"/>
        <w:spacing w:after="0" w:line="264"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20" w:right="240" w:hanging="376"/>
        <w:spacing w:after="0" w:line="308"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260" w:hanging="376"/>
        <w:spacing w:after="0" w:line="264"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hanging="4"/>
        <w:spacing w:after="0" w:line="264" w:lineRule="auto"/>
        <w:tabs>
          <w:tab w:leader="none" w:pos="91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20" w:right="220" w:hanging="4"/>
        <w:spacing w:after="0" w:line="264" w:lineRule="auto"/>
        <w:tabs>
          <w:tab w:leader="none" w:pos="87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20" w:right="760" w:hanging="4"/>
        <w:spacing w:after="0" w:line="342" w:lineRule="auto"/>
        <w:tabs>
          <w:tab w:leader="none" w:pos="91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20" w:right="260" w:hanging="4"/>
        <w:spacing w:after="0" w:line="264" w:lineRule="auto"/>
        <w:tabs>
          <w:tab w:leader="none" w:pos="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20" w:right="180" w:hanging="376"/>
        <w:spacing w:after="0" w:line="308"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20" w:right="160" w:hanging="4"/>
        <w:spacing w:after="0" w:line="277"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20" w:right="120" w:hanging="4"/>
        <w:spacing w:after="0" w:line="277" w:lineRule="auto"/>
        <w:tabs>
          <w:tab w:leader="none" w:pos="91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20"/>
                <w:szCs w:val="20"/>
                <w:color w:val="auto"/>
              </w:rPr>
            </w:pPr>
            <w:r>
              <w:rPr>
                <w:rFonts w:ascii="Arial" w:cs="Arial" w:eastAsia="Arial" w:hAnsi="Arial"/>
                <w:sz w:val="18"/>
                <w:szCs w:val="18"/>
                <w:color w:val="auto"/>
              </w:rPr>
              <w:t>February 8, 2019</w:t>
            </w:r>
          </w:p>
        </w:tc>
        <w:tc>
          <w:tcPr>
            <w:tcW w:w="2260" w:type="dxa"/>
            <w:vAlign w:val="bottom"/>
          </w:tcPr>
          <w:p>
            <w:pPr>
              <w:spacing w:after="0"/>
              <w:rPr>
                <w:sz w:val="18"/>
                <w:szCs w:val="18"/>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Jean-Pierre Lapointe</w:t>
            </w:r>
          </w:p>
        </w:tc>
        <w:tc>
          <w:tcPr>
            <w:tcW w:w="1220" w:type="dxa"/>
            <w:vAlign w:val="bottom"/>
          </w:tcPr>
          <w:p>
            <w:pPr>
              <w:spacing w:after="0"/>
              <w:rPr>
                <w:sz w:val="18"/>
                <w:szCs w:val="18"/>
                <w:color w:val="auto"/>
              </w:rPr>
            </w:pPr>
          </w:p>
        </w:tc>
      </w:tr>
      <w:tr>
        <w:trPr>
          <w:trHeight w:val="222"/>
        </w:trPr>
        <w:tc>
          <w:tcPr>
            <w:tcW w:w="3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940" w:type="dxa"/>
            <w:vAlign w:val="bottom"/>
            <w:gridSpan w:val="2"/>
          </w:tcPr>
          <w:p>
            <w:pPr>
              <w:ind w:left="240"/>
              <w:spacing w:after="0"/>
              <w:rPr>
                <w:sz w:val="20"/>
                <w:szCs w:val="20"/>
                <w:color w:val="auto"/>
              </w:rPr>
            </w:pPr>
            <w:r>
              <w:rPr>
                <w:rFonts w:ascii="Arial" w:cs="Arial" w:eastAsia="Arial" w:hAnsi="Arial"/>
                <w:sz w:val="18"/>
                <w:szCs w:val="18"/>
                <w:color w:val="auto"/>
              </w:rPr>
              <w:t>Jean-Pierre Lapointe</w:t>
            </w:r>
          </w:p>
        </w:tc>
      </w:tr>
      <w:tr>
        <w:trPr>
          <w:trHeight w:val="230"/>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940" w:type="dxa"/>
            <w:vAlign w:val="bottom"/>
            <w:gridSpan w:val="2"/>
          </w:tcPr>
          <w:p>
            <w:pPr>
              <w:ind w:left="240"/>
              <w:spacing w:after="0"/>
              <w:rPr>
                <w:sz w:val="20"/>
                <w:szCs w:val="20"/>
                <w:color w:val="auto"/>
              </w:rPr>
            </w:pPr>
            <w:r>
              <w:rPr>
                <w:rFonts w:ascii="Arial" w:cs="Arial" w:eastAsia="Arial" w:hAnsi="Arial"/>
                <w:sz w:val="18"/>
                <w:szCs w:val="18"/>
                <w:color w:val="auto"/>
                <w:w w:val="90"/>
              </w:rPr>
              <w:t>Chief Financial Officer and Treasurer</w:t>
            </w:r>
          </w:p>
        </w:tc>
      </w:tr>
    </w:tbl>
    <w:p>
      <w:pPr>
        <w:sectPr>
          <w:pgSz w:w="11900" w:h="16838" w:orient="portrait"/>
          <w:cols w:equalWidth="0" w:num="1">
            <w:col w:w="11360"/>
          </w:cols>
          <w:pgMar w:left="240" w:top="121" w:right="299" w:bottom="1440" w:gutter="0" w:footer="0" w:header="0"/>
        </w:sectPr>
      </w:pPr>
    </w:p>
    <w:bookmarkStart w:id="55" w:name="page56"/>
    <w:bookmarkEnd w:id="55"/>
    <w:p>
      <w:pPr>
        <w:spacing w:after="0"/>
        <w:tabs>
          <w:tab w:leader="none" w:pos="1180" w:val="left"/>
        </w:tabs>
        <w:rPr>
          <w:sz w:val="20"/>
          <w:szCs w:val="20"/>
          <w:color w:val="auto"/>
        </w:rPr>
      </w:pPr>
      <w:r>
        <w:rPr>
          <w:rFonts w:ascii="Arial" w:cs="Arial" w:eastAsia="Arial" w:hAnsi="Arial"/>
          <w:sz w:val="18"/>
          <w:szCs w:val="18"/>
          <w:b w:val="1"/>
          <w:bCs w:val="1"/>
          <w:color w:val="auto"/>
        </w:rPr>
        <w:t>Exhibit 32.1.</w:t>
      </w:r>
      <w:r>
        <w:rPr>
          <w:sz w:val="20"/>
          <w:szCs w:val="20"/>
          <w:color w:val="auto"/>
        </w:rPr>
        <w:tab/>
      </w:r>
      <w:r>
        <w:rPr>
          <w:rFonts w:ascii="Arial" w:cs="Arial" w:eastAsia="Arial" w:hAnsi="Arial"/>
          <w:sz w:val="16"/>
          <w:szCs w:val="16"/>
          <w:b w:val="1"/>
          <w:bCs w:val="1"/>
          <w:color w:val="auto"/>
        </w:rPr>
        <w:t>Certificate of the Chief Executive Officer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December 31, 2018 as filed with the Securities and Exchange Commission on the date hereof (the "Report"), I, Richard Wayne, as Chief Executive Officer of the Company, hereby certify pursuant to 18 U.S.C. 1350, as adopted pursuant to 906 of the Sarbanes-Oxley Act of 2002, that:</w:t>
      </w:r>
    </w:p>
    <w:p>
      <w:pPr>
        <w:spacing w:after="0" w:line="181" w:lineRule="exact"/>
        <w:rPr>
          <w:sz w:val="20"/>
          <w:szCs w:val="20"/>
          <w:color w:val="auto"/>
        </w:rPr>
      </w:pPr>
    </w:p>
    <w:p>
      <w:pPr>
        <w:ind w:left="680" w:hanging="294"/>
        <w:spacing w:after="0"/>
        <w:tabs>
          <w:tab w:leader="none" w:pos="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380" w:right="80" w:firstLine="6"/>
        <w:spacing w:after="0" w:line="277" w:lineRule="auto"/>
        <w:tabs>
          <w:tab w:leader="none" w:pos="67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20"/>
                <w:szCs w:val="20"/>
                <w:color w:val="auto"/>
              </w:rPr>
            </w:pPr>
            <w:r>
              <w:rPr>
                <w:rFonts w:ascii="Arial" w:cs="Arial" w:eastAsia="Arial" w:hAnsi="Arial"/>
                <w:sz w:val="18"/>
                <w:szCs w:val="18"/>
                <w:color w:val="auto"/>
              </w:rPr>
              <w:t>February 8, 2019</w:t>
            </w:r>
          </w:p>
        </w:tc>
        <w:tc>
          <w:tcPr>
            <w:tcW w:w="2260" w:type="dxa"/>
            <w:vAlign w:val="bottom"/>
          </w:tcPr>
          <w:p>
            <w:pPr>
              <w:spacing w:after="0"/>
              <w:rPr>
                <w:sz w:val="17"/>
                <w:szCs w:val="17"/>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Richard Wayne</w:t>
            </w:r>
          </w:p>
        </w:tc>
        <w:tc>
          <w:tcPr>
            <w:tcW w:w="62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960" w:type="dxa"/>
            <w:vAlign w:val="bottom"/>
            <w:gridSpan w:val="2"/>
          </w:tcPr>
          <w:p>
            <w:pPr>
              <w:ind w:left="240"/>
              <w:spacing w:after="0"/>
              <w:rPr>
                <w:sz w:val="20"/>
                <w:szCs w:val="20"/>
                <w:color w:val="auto"/>
              </w:rPr>
            </w:pPr>
            <w:r>
              <w:rPr>
                <w:rFonts w:ascii="Arial" w:cs="Arial" w:eastAsia="Arial" w:hAnsi="Arial"/>
                <w:sz w:val="18"/>
                <w:szCs w:val="18"/>
                <w:color w:val="auto"/>
              </w:rPr>
              <w:t>Richard Wayne</w:t>
            </w:r>
          </w:p>
        </w:tc>
      </w:tr>
      <w:tr>
        <w:trPr>
          <w:trHeight w:val="230"/>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960" w:type="dxa"/>
            <w:vAlign w:val="bottom"/>
            <w:gridSpan w:val="2"/>
          </w:tcPr>
          <w:p>
            <w:pPr>
              <w:ind w:left="240"/>
              <w:spacing w:after="0"/>
              <w:rPr>
                <w:sz w:val="20"/>
                <w:szCs w:val="20"/>
                <w:color w:val="auto"/>
              </w:rPr>
            </w:pPr>
            <w:r>
              <w:rPr>
                <w:rFonts w:ascii="Arial" w:cs="Arial" w:eastAsia="Arial" w:hAnsi="Arial"/>
                <w:sz w:val="18"/>
                <w:szCs w:val="18"/>
                <w:color w:val="auto"/>
                <w:w w:val="92"/>
              </w:rPr>
              <w:t>Chief Executive Officer</w:t>
            </w:r>
          </w:p>
        </w:tc>
      </w:tr>
    </w:tbl>
    <w:p>
      <w:pPr>
        <w:sectPr>
          <w:pgSz w:w="11900" w:h="16838" w:orient="portrait"/>
          <w:cols w:equalWidth="0" w:num="1">
            <w:col w:w="11420"/>
          </w:cols>
          <w:pgMar w:left="240" w:top="121" w:right="239" w:bottom="1440" w:gutter="0" w:footer="0" w:header="0"/>
        </w:sectPr>
      </w:pPr>
    </w:p>
    <w:bookmarkStart w:id="56" w:name="page57"/>
    <w:bookmarkEnd w:id="56"/>
    <w:p>
      <w:pPr>
        <w:spacing w:after="0"/>
        <w:tabs>
          <w:tab w:leader="none" w:pos="1180" w:val="left"/>
        </w:tabs>
        <w:rPr>
          <w:sz w:val="20"/>
          <w:szCs w:val="20"/>
          <w:color w:val="auto"/>
        </w:rPr>
      </w:pPr>
      <w:r>
        <w:rPr>
          <w:rFonts w:ascii="Arial" w:cs="Arial" w:eastAsia="Arial" w:hAnsi="Arial"/>
          <w:sz w:val="18"/>
          <w:szCs w:val="18"/>
          <w:b w:val="1"/>
          <w:bCs w:val="1"/>
          <w:color w:val="auto"/>
        </w:rPr>
        <w:t>Exhibit 32.2.</w:t>
      </w:r>
      <w:r>
        <w:rPr>
          <w:sz w:val="20"/>
          <w:szCs w:val="20"/>
          <w:color w:val="auto"/>
        </w:rPr>
        <w:tab/>
      </w:r>
      <w:r>
        <w:rPr>
          <w:rFonts w:ascii="Arial" w:cs="Arial" w:eastAsia="Arial" w:hAnsi="Arial"/>
          <w:sz w:val="16"/>
          <w:szCs w:val="16"/>
          <w:b w:val="1"/>
          <w:bCs w:val="1"/>
          <w:color w:val="auto"/>
        </w:rPr>
        <w:t>Certificate of the Chief Financial Officer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December 31, 2018 as filed with the Securities and Exchange Commission on the date hereof (the "Report"), I, Jean-Pierre Lapointe, as Chief Financial Officer of the Company, hereby certify pursuant to 18 U.S.C. 1350, as adopted pursuant to 906 of the Sarbanes-Oxley Act of 2002, that:</w:t>
      </w:r>
    </w:p>
    <w:p>
      <w:pPr>
        <w:spacing w:after="0" w:line="181" w:lineRule="exact"/>
        <w:rPr>
          <w:sz w:val="20"/>
          <w:szCs w:val="20"/>
          <w:color w:val="auto"/>
        </w:rPr>
      </w:pPr>
    </w:p>
    <w:p>
      <w:pPr>
        <w:ind w:left="680" w:hanging="294"/>
        <w:spacing w:after="0"/>
        <w:tabs>
          <w:tab w:leader="none" w:pos="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380" w:firstLine="6"/>
        <w:spacing w:after="0" w:line="277" w:lineRule="auto"/>
        <w:tabs>
          <w:tab w:leader="none" w:pos="67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20"/>
                <w:szCs w:val="20"/>
                <w:color w:val="auto"/>
              </w:rPr>
            </w:pPr>
            <w:r>
              <w:rPr>
                <w:rFonts w:ascii="Arial" w:cs="Arial" w:eastAsia="Arial" w:hAnsi="Arial"/>
                <w:sz w:val="18"/>
                <w:szCs w:val="18"/>
                <w:color w:val="auto"/>
              </w:rPr>
              <w:t>February 8, 2019</w:t>
            </w:r>
          </w:p>
        </w:tc>
        <w:tc>
          <w:tcPr>
            <w:tcW w:w="2260" w:type="dxa"/>
            <w:vAlign w:val="bottom"/>
          </w:tcPr>
          <w:p>
            <w:pPr>
              <w:spacing w:after="0"/>
              <w:rPr>
                <w:sz w:val="17"/>
                <w:szCs w:val="17"/>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Jean-Pierre Lapointe</w:t>
            </w:r>
          </w:p>
        </w:tc>
        <w:tc>
          <w:tcPr>
            <w:tcW w:w="122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940" w:type="dxa"/>
            <w:vAlign w:val="bottom"/>
            <w:gridSpan w:val="2"/>
          </w:tcPr>
          <w:p>
            <w:pPr>
              <w:ind w:left="240"/>
              <w:spacing w:after="0"/>
              <w:rPr>
                <w:sz w:val="20"/>
                <w:szCs w:val="20"/>
                <w:color w:val="auto"/>
              </w:rPr>
            </w:pPr>
            <w:r>
              <w:rPr>
                <w:rFonts w:ascii="Arial" w:cs="Arial" w:eastAsia="Arial" w:hAnsi="Arial"/>
                <w:sz w:val="18"/>
                <w:szCs w:val="18"/>
                <w:color w:val="auto"/>
              </w:rPr>
              <w:t>Jean-Pierre Lapointe</w:t>
            </w:r>
          </w:p>
        </w:tc>
      </w:tr>
      <w:tr>
        <w:trPr>
          <w:trHeight w:val="230"/>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940" w:type="dxa"/>
            <w:vAlign w:val="bottom"/>
            <w:gridSpan w:val="2"/>
          </w:tcPr>
          <w:p>
            <w:pPr>
              <w:ind w:left="240"/>
              <w:spacing w:after="0"/>
              <w:rPr>
                <w:sz w:val="20"/>
                <w:szCs w:val="20"/>
                <w:color w:val="auto"/>
              </w:rPr>
            </w:pPr>
            <w:r>
              <w:rPr>
                <w:rFonts w:ascii="Arial" w:cs="Arial" w:eastAsia="Arial" w:hAnsi="Arial"/>
                <w:sz w:val="18"/>
                <w:szCs w:val="18"/>
                <w:color w:val="auto"/>
                <w:w w:val="90"/>
              </w:rPr>
              <w:t>Chief Financial Officer and Treasurer</w:t>
            </w:r>
          </w:p>
        </w:tc>
      </w:tr>
    </w:tbl>
    <w:p>
      <w:pPr>
        <w:spacing w:after="0" w:line="1" w:lineRule="exact"/>
        <w:rPr>
          <w:sz w:val="20"/>
          <w:szCs w:val="20"/>
          <w:color w:val="auto"/>
        </w:rPr>
      </w:pPr>
    </w:p>
    <w:sectPr>
      <w:pgSz w:w="11900" w:h="16838" w:orient="portrait"/>
      <w:cols w:equalWidth="0" w:num="1">
        <w:col w:w="11340"/>
      </w:cols>
      <w:pgMar w:left="24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1."/>
      <w:numFmt w:val="decimal"/>
      <w:start w:val="2"/>
    </w:lvl>
  </w:abstractNum>
  <w:abstractNum w:abstractNumId="2">
    <w:nsid w:val="721DA317"/>
    <w:multiLevelType w:val="hybridMultilevel"/>
    <w:lvl w:ilvl="0">
      <w:lvlJc w:val="left"/>
      <w:lvlText w:val="%1."/>
      <w:numFmt w:val="decimal"/>
      <w:start w:val="606"/>
    </w:lvl>
  </w:abstractNum>
  <w:abstractNum w:abstractNumId="3">
    <w:nsid w:val="2443A858"/>
    <w:multiLevelType w:val="hybridMultilevel"/>
    <w:lvl w:ilvl="0">
      <w:lvlJc w:val="left"/>
      <w:lvlText w:val="%1."/>
      <w:numFmt w:val="decimal"/>
      <w:start w:val="3"/>
    </w:lvl>
  </w:abstractNum>
  <w:abstractNum w:abstractNumId="4">
    <w:nsid w:val="2D1D5AE9"/>
    <w:multiLevelType w:val="hybridMultilevel"/>
    <w:lvl w:ilvl="0">
      <w:lvlJc w:val="left"/>
      <w:lvlText w:val="%1."/>
      <w:numFmt w:val="decimal"/>
      <w:start w:val="4"/>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5"/>
    </w:lvl>
  </w:abstractNum>
  <w:abstractNum w:abstractNumId="9">
    <w:nsid w:val="4353D0CD"/>
    <w:multiLevelType w:val="hybridMultilevel"/>
    <w:lvl w:ilvl="0">
      <w:lvlJc w:val="left"/>
      <w:lvlText w:val="%1."/>
      <w:numFmt w:val="decimal"/>
      <w:start w:val="6"/>
    </w:lvl>
  </w:abstractNum>
  <w:abstractNum w:abstractNumId="10">
    <w:nsid w:val="B03E0C6"/>
    <w:multiLevelType w:val="hybridMultilevel"/>
    <w:lvl w:ilvl="0">
      <w:lvlJc w:val="left"/>
      <w:lvlText w:val="%1."/>
      <w:numFmt w:val="decimal"/>
      <w:start w:val="7"/>
    </w:lvl>
  </w:abstractNum>
  <w:abstractNum w:abstractNumId="11">
    <w:nsid w:val="189A769B"/>
    <w:multiLevelType w:val="hybridMultilevel"/>
    <w:lvl w:ilvl="0">
      <w:lvlJc w:val="left"/>
      <w:lvlText w:val="%1."/>
      <w:numFmt w:val="decimal"/>
      <w:start w:val="10"/>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lvl w:ilvl="1">
      <w:lvlJc w:val="left"/>
      <w:lvlText w:val="(%2)"/>
      <w:numFmt w:val="decimal"/>
      <w:start w:val="1"/>
    </w:lvl>
  </w:abstractNum>
  <w:abstractNum w:abstractNumId="15">
    <w:nsid w:val="836C40E"/>
    <w:multiLevelType w:val="hybridMultilevel"/>
    <w:lvl w:ilvl="0">
      <w:lvlJc w:val="left"/>
      <w:lvlText w:val="%1."/>
      <w:numFmt w:val="decimal"/>
      <w:start w:val="11"/>
    </w:lvl>
    <w:lvl w:ilvl="1">
      <w:lvlJc w:val="left"/>
      <w:lvlText w:val="%2"/>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99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lowerRoman"/>
      <w:start w:val="3"/>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2"/>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0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3" Type="http://schemas.openxmlformats.org/officeDocument/2006/relationships/hyperlink" Target="http://www.sec.gov/Archives/edgar/data/811831/000143774919000404/ex_1324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2019-12-28T16:37:37Z</dcterms:created>
  <dcterms:modified xsi:type="dcterms:W3CDTF">2019-12-28T16:37:37Z</dcterms:modified>
</cp:coreProperties>
</file>