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1-14588</w:t>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Maine</w:t>
            </w:r>
          </w:p>
        </w:tc>
        <w:tc>
          <w:tcPr>
            <w:tcW w:w="374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01-0425066</w:t>
            </w:r>
          </w:p>
        </w:tc>
      </w:tr>
      <w:tr>
        <w:trPr>
          <w:trHeight w:val="232"/>
        </w:trPr>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2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 Canal Street, Lewiston, Maine</w:t>
            </w:r>
          </w:p>
        </w:tc>
        <w:tc>
          <w:tcPr>
            <w:tcW w:w="37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04240</w:t>
            </w:r>
          </w:p>
        </w:tc>
      </w:tr>
      <w:tr>
        <w:trPr>
          <w:trHeight w:val="232"/>
        </w:trPr>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(207) 786-3245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jc w:val="both"/>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___</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___</w:t>
      </w:r>
    </w:p>
    <w:p>
      <w:pPr>
        <w:spacing w:after="0" w:line="179"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 Large accelerated filer __ Accelerated filer __ Non-accelerated filer ___ Smaller Reporting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February 1, 2016, the registrant had outstanding 8,482,819 shares of voting common stock, $1.00 par value per share and 1,029,110 shares of non-voting common stock, $1.00 par value per share.</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20" w:type="dxa"/>
            <w:vAlign w:val="bottom"/>
            <w:tcBorders>
              <w:bottom w:val="single" w:sz="8" w:color="0000EE"/>
            </w:tcBorders>
            <w:gridSpan w:val="5"/>
            <w:shd w:val="clear" w:color="auto" w:fill="CCEEFF"/>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Financial Information</w:t>
              </w:r>
            </w:hyperlink>
          </w:p>
        </w:tc>
        <w:tc>
          <w:tcPr>
            <w:tcW w:w="7320" w:type="dxa"/>
            <w:vAlign w:val="bottom"/>
            <w:tcBorders>
              <w:bottom w:val="single" w:sz="8" w:color="CCEEFF"/>
            </w:tcBorders>
            <w:gridSpan w:val="19"/>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 (unaudited)</w:t>
              </w:r>
            </w:hyperlink>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120" w:type="dxa"/>
            <w:vAlign w:val="bottom"/>
            <w:gridSpan w:val="23"/>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Consolidated Balance Sheets</w:t>
              </w:r>
            </w:hyperlink>
          </w:p>
        </w:tc>
        <w:tc>
          <w:tcPr>
            <w:tcW w:w="14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120" w:type="dxa"/>
            <w:vAlign w:val="bottom"/>
            <w:gridSpan w:val="23"/>
          </w:tcPr>
          <w:p>
            <w:pPr>
              <w:ind w:left="160"/>
              <w:spacing w:after="0" w:line="17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December 31, 2015 and June 30, 2015</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Consolidated Statements of Income</w:t>
              </w:r>
            </w:hyperlink>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60" w:type="dxa"/>
            <w:vAlign w:val="bottom"/>
            <w:gridSpan w:val="2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Three Months Ended December 31, 2015 and 2014</w:t>
              </w:r>
            </w:hyperlink>
          </w:p>
        </w:tc>
        <w:tc>
          <w:tcPr>
            <w:tcW w:w="14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8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Six Months Ended December 31, 2015 and 2014</w:t>
              </w:r>
            </w:hyperlink>
          </w:p>
        </w:tc>
        <w:tc>
          <w:tcPr>
            <w:tcW w:w="4080" w:type="dxa"/>
            <w:vAlign w:val="bottom"/>
            <w:tcBorders>
              <w:top w:val="single" w:sz="8" w:color="CCEEFF"/>
            </w:tcBorders>
            <w:gridSpan w:val="5"/>
          </w:tcPr>
          <w:p>
            <w:pPr>
              <w:spacing w:after="0"/>
              <w:rPr>
                <w:sz w:val="15"/>
                <w:szCs w:val="15"/>
                <w:color w:val="auto"/>
              </w:rPr>
            </w:pPr>
          </w:p>
        </w:tc>
        <w:tc>
          <w:tcPr>
            <w:tcW w:w="14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Consolidated Statements of Comprehensive Income</w:t>
              </w:r>
            </w:hyperlink>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60" w:type="dxa"/>
            <w:vAlign w:val="bottom"/>
            <w:gridSpan w:val="2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Three Months Ended December 31, 2015 and 2014</w:t>
              </w:r>
            </w:hyperlink>
          </w:p>
        </w:tc>
        <w:tc>
          <w:tcPr>
            <w:tcW w:w="14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8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Six Months Ended December 31, 2015 and 2014</w:t>
              </w:r>
            </w:hyperlink>
          </w:p>
        </w:tc>
        <w:tc>
          <w:tcPr>
            <w:tcW w:w="4080" w:type="dxa"/>
            <w:vAlign w:val="bottom"/>
            <w:tcBorders>
              <w:top w:val="single" w:sz="8" w:color="CCEEFF"/>
            </w:tcBorders>
            <w:gridSpan w:val="5"/>
          </w:tcPr>
          <w:p>
            <w:pPr>
              <w:spacing w:after="0"/>
              <w:rPr>
                <w:sz w:val="15"/>
                <w:szCs w:val="15"/>
                <w:color w:val="auto"/>
              </w:rPr>
            </w:pPr>
          </w:p>
        </w:tc>
        <w:tc>
          <w:tcPr>
            <w:tcW w:w="14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Consolidated Statements of Changes in Stockholders' Equity</w:t>
              </w:r>
            </w:hyperlink>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120" w:type="dxa"/>
            <w:vAlign w:val="bottom"/>
            <w:gridSpan w:val="23"/>
            <w:shd w:val="clear" w:color="auto" w:fill="CCEEFF"/>
          </w:tcPr>
          <w:p>
            <w:pPr>
              <w:ind w:left="160"/>
              <w:spacing w:after="0" w:line="17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Six Months Ended December 31, 2015 and 2014</w:t>
              </w:r>
            </w:hyperlink>
          </w:p>
        </w:tc>
        <w:tc>
          <w:tcPr>
            <w:tcW w:w="1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b w:val="1"/>
                <w:bCs w:val="1"/>
                <w:color w:val="0000EE"/>
                <w:w w:val="99"/>
              </w:rPr>
            </w:pPr>
            <w:hyperlink w:anchor="page7">
              <w:r>
                <w:rPr>
                  <w:rFonts w:ascii="Times New Roman" w:cs="Times New Roman" w:eastAsia="Times New Roman" w:hAnsi="Times New Roman"/>
                  <w:sz w:val="18"/>
                  <w:szCs w:val="18"/>
                  <w:b w:val="1"/>
                  <w:bCs w:val="1"/>
                  <w:color w:val="0000EE"/>
                  <w:w w:val="99"/>
                </w:rPr>
                <w:t>Consolidated Statements of Cash Flows</w:t>
              </w:r>
            </w:hyperlink>
          </w:p>
        </w:tc>
        <w:tc>
          <w:tcPr>
            <w:tcW w:w="5080" w:type="dxa"/>
            <w:vAlign w:val="bottom"/>
            <w:tcBorders>
              <w:bottom w:val="single" w:sz="8" w:color="CCEEFF"/>
            </w:tcBorders>
            <w:gridSpan w:val="9"/>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120" w:type="dxa"/>
            <w:vAlign w:val="bottom"/>
            <w:gridSpan w:val="23"/>
          </w:tcPr>
          <w:p>
            <w:pPr>
              <w:ind w:left="160"/>
              <w:spacing w:after="0" w:line="176"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Six Months Ended December 31, 2015 and 2014</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Notes to Consolidated Financial Statements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Quantitative and Qualitative Disclosure about Market Risk</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Controls and Procedures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040" w:type="dxa"/>
            <w:vAlign w:val="bottom"/>
            <w:gridSpan w:val="24"/>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Other Information</w:t>
              </w:r>
            </w:hyperlink>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Legal Proceedings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Risk Factors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Unregistered Sales of Equity Securities and Use of Proceeds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Defaults Upon Senior Securities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Mine Safety Disclosures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Other Information</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Exhibits</w:t>
              </w:r>
            </w:hyperlink>
          </w:p>
        </w:tc>
        <w:tc>
          <w:tcPr>
            <w:tcW w:w="1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sz w:val="24"/>
                <w:szCs w:val="24"/>
                <w:color w:val="auto"/>
              </w:rPr>
            </w:pPr>
          </w:p>
        </w:tc>
        <w:tc>
          <w:tcPr>
            <w:tcW w:w="3320" w:type="dxa"/>
            <w:vAlign w:val="bottom"/>
            <w:gridSpan w:val="14"/>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1-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20" w:type="dxa"/>
            <w:vAlign w:val="bottom"/>
          </w:tcPr>
          <w:p>
            <w:pPr>
              <w:spacing w:after="0"/>
              <w:rPr>
                <w:sz w:val="22"/>
                <w:szCs w:val="22"/>
                <w:color w:val="auto"/>
              </w:rPr>
            </w:pPr>
          </w:p>
        </w:tc>
        <w:tc>
          <w:tcPr>
            <w:tcW w:w="1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2015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June 30,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at fair value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 loans held for sale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loans held for sale</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loans held for sale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owned and other possessed collateral,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stock, at cost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Demand</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Savings and interest checking</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debentures issued to affiliated trusts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779,488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$1.00 par value, 1,000,000 shares authorized; no shares issued and outstanding at December</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2015 and June 30, 2015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Voting common stock, $1.00 par value, 25,000,000 shares authorized; 8,490,619 and 8,575,144 shares issued</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outstanding at December 31, 2015 and June 30, 2015, respectively</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Non-voting common stock, $1.00 par value, 3,000,000 shares authorized; 1,029,110 and 1,012,739 shares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December 31, 2015 and June 30, 2015, respectively</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84,525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1" w:right="239" w:bottom="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w w:val="99"/>
              </w:rPr>
              <w:t>Three Months Ended December</w:t>
            </w:r>
          </w:p>
        </w:tc>
        <w:tc>
          <w:tcPr>
            <w:tcW w:w="2600" w:type="dxa"/>
            <w:vAlign w:val="bottom"/>
            <w:gridSpan w:val="7"/>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vMerge w:val="continue"/>
          </w:tcPr>
          <w:p>
            <w:pPr>
              <w:spacing w:after="0"/>
              <w:rPr>
                <w:sz w:val="18"/>
                <w:szCs w:val="18"/>
                <w:color w:val="auto"/>
              </w:rPr>
            </w:pPr>
          </w:p>
        </w:tc>
        <w:tc>
          <w:tcPr>
            <w:tcW w:w="260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22,509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available-for-sale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interest and dividend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 issued to affiliated trusts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 under capital lease agreements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interest and dividend income before provision for loan 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10,172</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interest and dividend income after provision for loan 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Fees for other services to customers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sales of residential loans held for sale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sales of portfolio loans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recognized on real estate owned and other repossessed collateral,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 and equipment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Data processing fees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acquisition and collection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FDIC insurance premiums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9,559,369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10,132,349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9,560,913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9,569,585</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10,132,349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9,567,138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10,155,598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2"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20"/>
                <w:szCs w:val="20"/>
                <w:color w:val="auto"/>
              </w:rPr>
            </w:pPr>
          </w:p>
        </w:tc>
        <w:tc>
          <w:tcPr>
            <w:tcW w:w="264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w w:val="99"/>
              </w:rPr>
              <w:t>Three Months Ended December</w:t>
            </w:r>
          </w:p>
        </w:tc>
        <w:tc>
          <w:tcPr>
            <w:tcW w:w="260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vMerge w:val="continue"/>
          </w:tcPr>
          <w:p>
            <w:pPr>
              <w:spacing w:after="0"/>
              <w:rPr>
                <w:sz w:val="18"/>
                <w:szCs w:val="18"/>
                <w:color w:val="auto"/>
              </w:rPr>
            </w:pPr>
          </w:p>
        </w:tc>
        <w:tc>
          <w:tcPr>
            <w:tcW w:w="26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net unrealized (loss) gain on available-for-sale securities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Derivatives and hedging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accumulated gain (loss) on effective cash flow hedges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Reclassification adjustments for net gains included in net income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derivatives and hedging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 before tax</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(loss)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ind w:right="48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STOCKHOLDERS’ EQUITY </w:t>
      </w:r>
      <w:r>
        <w:rPr>
          <w:rFonts w:ascii="Times New Roman" w:cs="Times New Roman" w:eastAsia="Times New Roman" w:hAnsi="Times New Roman"/>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Non-voting Common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gridSpan w:val="4"/>
            <w:vMerge w:val="continue"/>
          </w:tcPr>
          <w:p>
            <w:pPr>
              <w:spacing w:after="0"/>
              <w:rPr>
                <w:sz w:val="17"/>
                <w:szCs w:val="17"/>
                <w:color w:val="auto"/>
              </w:rPr>
            </w:pPr>
          </w:p>
        </w:tc>
        <w:tc>
          <w:tcPr>
            <w:tcW w:w="9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7"/>
              </w:rPr>
              <w:t>Other</w:t>
            </w:r>
          </w:p>
        </w:tc>
        <w:tc>
          <w:tcPr>
            <w:tcW w:w="240" w:type="dxa"/>
            <w:vAlign w:val="bottom"/>
          </w:tcPr>
          <w:p>
            <w:pPr>
              <w:spacing w:after="0"/>
              <w:rPr>
                <w:sz w:val="17"/>
                <w:szCs w:val="17"/>
                <w:color w:val="auto"/>
              </w:rPr>
            </w:pPr>
          </w:p>
        </w:tc>
        <w:tc>
          <w:tcPr>
            <w:tcW w:w="90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Voting Common Stock</w:t>
            </w: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Stock</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Paid-in</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Capital</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30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9,260,331</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9,260</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880,963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90,914</w:t>
            </w:r>
          </w:p>
        </w:tc>
        <w:tc>
          <w:tcPr>
            <w:tcW w:w="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12,294</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net of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(448,686)</w:t>
            </w:r>
          </w:p>
        </w:tc>
        <w:tc>
          <w:tcPr>
            <w:tcW w:w="2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Conversion of voting</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to</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 voting common</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Dividends on common</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at $0.02 per</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168,000</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Forfeiture of restricted</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2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8,965,424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8,965</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880,963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87,404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15,314</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110,923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2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2014</w:t>
            </w:r>
          </w:p>
        </w:tc>
        <w:tc>
          <w:tcPr>
            <w:tcW w:w="6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8,575,144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8,575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1,012,739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85,506</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18,921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net of tax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repurchased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(125,100)</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Conversion of voting</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to</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 voting common</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2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16,371</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Dividends on common</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at $0.02 per</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Forfeiture of restricted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(43,054)</w:t>
            </w:r>
          </w:p>
        </w:tc>
        <w:tc>
          <w:tcPr>
            <w:tcW w:w="220" w:type="dxa"/>
            <w:vAlign w:val="bottom"/>
          </w:tcPr>
          <w:p>
            <w:pPr>
              <w:spacing w:after="0"/>
              <w:rPr>
                <w:sz w:val="17"/>
                <w:szCs w:val="17"/>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8,490,619</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8,491</w:t>
            </w: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1,029,110</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84,525</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22,340</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Borders>
              <w:bottom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2015</w:t>
            </w: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gridSpan w:val="2"/>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r>
              <w:rPr>
                <w:rFonts w:ascii="Times New Roman" w:cs="Times New Roman" w:eastAsia="Times New Roman" w:hAnsi="Times New Roman"/>
                <w:sz w:val="18"/>
                <w:szCs w:val="18"/>
                <w:color w:val="auto"/>
              </w:rPr>
              <w:t>(Unaudited)</w:t>
            </w: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720" w:type="dxa"/>
            <w:vAlign w:val="bottom"/>
          </w:tcPr>
          <w:p>
            <w:pPr>
              <w:spacing w:after="0"/>
              <w:rPr>
                <w:sz w:val="23"/>
                <w:szCs w:val="23"/>
                <w:color w:val="auto"/>
              </w:rPr>
            </w:pPr>
          </w:p>
        </w:tc>
        <w:tc>
          <w:tcPr>
            <w:tcW w:w="3300" w:type="dxa"/>
            <w:vAlign w:val="bottom"/>
            <w:gridSpan w:val="7"/>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sale and impairment of real estate owned and other repossessed collateral, net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sale of premises and equipment, net</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of fair value adjustments on loans, net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Accretion of fair value adjustments on deposits, net</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of fair value adjustments on borrowings, net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(49,640)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proceeds from sales of loans held for sale</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sales of residential loans held for sale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sales of portfolio loans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Bank-owned life insurance income, net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of premises and equipment</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available-for-sale securities, net</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(17,548)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maturities and principal payments on available-for-sale securities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purchases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(59,311)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portfolio loans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originations, principal collections, and purchased loan paydowns, net</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(15,424)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and disposals of premises and equipment, net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of Federal Home Loan Bank stock</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real estate owned and other repossessed collateral</w:t>
            </w:r>
          </w:p>
        </w:tc>
        <w:tc>
          <w:tcPr>
            <w:tcW w:w="7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(62,004)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deposits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(decrease) in short-term borrowings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FHLB advances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wholesale repurchase agreements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capital lease obligation</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(23,487)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83,269</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Transfers from loans to real estate owned and other repossessed collateral</w:t>
            </w:r>
          </w:p>
        </w:tc>
        <w:tc>
          <w:tcPr>
            <w:tcW w:w="16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 from real estate owned and other repossessed collateral to loans</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2015</w:t>
      </w:r>
    </w:p>
    <w:p>
      <w:pPr>
        <w:spacing w:after="0" w:line="203"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2015 (“Fiscal 2015”) included in the Company's Annual Report on Form 10-K filed with the Securities and Exchange Commission.</w:t>
      </w:r>
    </w:p>
    <w:p>
      <w:pPr>
        <w:spacing w:after="0" w:line="185"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January 2014, the FASB issued ASU No. 2014-01, Investments—Equity Method and Joint Ventures (Topic 323): Accounting for Investments in Qualified Affordable Housing Projects ("ASU 2014-01"). The amendments in ASU 2014-01 provide guidance on accounting for investments by a reporting entity in 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15, 2014 and should be applied retrospectively to all periods presented. Early adoption is permitted. The Company adopted the standard in the current period. See Part I. Item I. “Notes to Unaudited Consolidated Financial Statements – Note 6: Investments in Qualified Affordable Housing Projects” for further discussion and related effect.</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w:t>
      </w:r>
      <w:r>
        <w:rPr>
          <w:rFonts w:ascii="Times New Roman" w:cs="Times New Roman" w:eastAsia="Times New Roman" w:hAnsi="Times New Roman"/>
          <w:sz w:val="18"/>
          <w:szCs w:val="18"/>
          <w:color w:val="auto"/>
        </w:rPr>
        <w:t>(“ASU 2015-14”) was issued in August 2015 which defers adoption to annual reporting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2017.</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June 2014, the FASB issued ASU 2014-11, Transfers and Servicing (Topic 860): Repurchase-to-Maturity Transactions, Repurchase Financings, and Disclosures (“ASU 2014-11”). ASU 2014-11 requires that repurchase-to-maturity transactions be accounted for as secured borrowings consistent with the 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was effective July 1, 2015 and did not have a significant impact on the Company’s financial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August 2014, the FASB issued ASU 2014-14, Receivables - Troubled Debt Restructurings by Creditors (Subtopic 310-40): Classification of Certain Government-Guaranteed Mortgage Loans upon Foreclosure (“ASU 2014-14”). ASU 2014-14 affects creditors that hold government-guaranteed mortgage 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did not have a significant impact on the Company’s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May 2015, the FASB issued ASU 2015-07, Disclosures for Investments in Certain Entities That Calculate Net Asset Value per Share (or Its Equivalent) (“ASU 2015-07”). The amendment affects reporting entities that elect to measure the fair value of an investment using the net asset value per share as a practical expedient. The Company adopted the standard in the current period. See Part I. Item I. “Notes to Unaudited Consolidated Financial Statements – Note 11: Fair Value Measurements” for further discussion and related effect.</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(“ASU 2016-01”). This guidance changes how entities account for equity investments that do not result in consolidation and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The Company is currently evaluating the impact of the adoption of ASU 2016-01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 summary of the amortized cost, gross unrealized holding gains and losses, and fair value of securities available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6"/>
                <w:szCs w:val="16"/>
                <w:color w:val="auto"/>
              </w:rPr>
            </w:pPr>
          </w:p>
        </w:tc>
        <w:tc>
          <w:tcPr>
            <w:tcW w:w="100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16"/>
                <w:szCs w:val="16"/>
                <w:color w:val="auto"/>
              </w:rPr>
            </w:pPr>
          </w:p>
        </w:tc>
        <w:tc>
          <w:tcPr>
            <w:tcW w:w="9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51,572</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51,495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48,785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105,401</w:t>
            </w:r>
          </w:p>
        </w:tc>
        <w:tc>
          <w:tcPr>
            <w:tcW w:w="100" w:type="dxa"/>
            <w:vAlign w:val="bottom"/>
          </w:tcPr>
          <w:p>
            <w:pPr>
              <w:spacing w:after="0"/>
              <w:rPr>
                <w:sz w:val="18"/>
                <w:szCs w:val="18"/>
                <w:color w:val="auto"/>
              </w:rPr>
            </w:pPr>
          </w:p>
        </w:tc>
        <w:tc>
          <w:tcPr>
            <w:tcW w:w="11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104,339</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June 30, 2015</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6"/>
                <w:szCs w:val="16"/>
                <w:color w:val="auto"/>
              </w:rPr>
            </w:pPr>
          </w:p>
        </w:tc>
        <w:tc>
          <w:tcPr>
            <w:tcW w:w="100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16"/>
                <w:szCs w:val="16"/>
                <w:color w:val="auto"/>
              </w:rPr>
            </w:pPr>
          </w:p>
        </w:tc>
        <w:tc>
          <w:tcPr>
            <w:tcW w:w="9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48,191</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48,230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53,678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102,744</w:t>
            </w:r>
          </w:p>
        </w:tc>
        <w:tc>
          <w:tcPr>
            <w:tcW w:w="100" w:type="dxa"/>
            <w:vAlign w:val="bottom"/>
          </w:tcPr>
          <w:p>
            <w:pPr>
              <w:spacing w:after="0"/>
              <w:rPr>
                <w:sz w:val="18"/>
                <w:szCs w:val="18"/>
                <w:color w:val="auto"/>
              </w:rPr>
            </w:pPr>
          </w:p>
        </w:tc>
        <w:tc>
          <w:tcPr>
            <w:tcW w:w="11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101,908</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When securities are sold, the adjusted cost of the specific security sold is used to compute the gain or loss on sale. There were no securities sold during the three and six months ended December 31, 2015 or 2014. At December 31, 2015, investment securities with a fair value of approximately $3.0 million were pledged as collateral to secure outstanding borrowings.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42,495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8"/>
                <w:szCs w:val="18"/>
                <w:color w:val="auto"/>
                <w:w w:val="99"/>
              </w:rPr>
              <w:t>June 30,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41,349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other-than-temporary impairment losses on securities during the three and six months ended December 31, 2015 or 2014.</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At December 31, 2015, the Company had sixteen securities in a continuous loss position for greater than twelve months. At December 31, 2015, all of the Company’s available-for-sale securities were issued or guaranteed by either government agencies or government-sponsored enterprises. The decline in fair value of the Company’s available-for-sale securities at December 31, 2015 is attributable to changes in interest rates.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December 31, 2015, it is more likely than not that the Company will not sell or be required to sell the investment securities before recovery of its amortized cost. As such, management does not believe any of the Company’s available-for-sale securities are other-than-temporarily impaired at December 31, 2015.</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investment measured at net asset value is a fund that seeks to invest in securities either issued or guaranteed by the U.S. government or its agencies. The underlying composition of the fund is primarily government agencies or other investment-grade investments. The effective duration of the investments is 4.55 years.</w:t>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type w:val="continuous"/>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values of available-for-sale debt securities by contractual maturity are shown below as of December 31, 2015. Actual maturities may differ from contractual maturities because borrowers may have the right to call or prepay obligations with or without call or prepayment penalties.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Fair</w:t>
            </w:r>
          </w:p>
        </w:tc>
        <w:tc>
          <w:tcPr>
            <w:tcW w:w="232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(Dollars in thousands)</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39,082</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39,067</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12,428</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22,620</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25,222</w:t>
            </w:r>
          </w:p>
        </w:tc>
        <w:tc>
          <w:tcPr>
            <w:tcW w:w="2320" w:type="dxa"/>
            <w:vAlign w:val="bottom"/>
          </w:tcPr>
          <w:p>
            <w:pPr>
              <w:spacing w:after="0"/>
              <w:rPr>
                <w:sz w:val="18"/>
                <w:szCs w:val="18"/>
                <w:color w:val="auto"/>
              </w:rPr>
            </w:pPr>
          </w:p>
        </w:tc>
      </w:tr>
      <w:tr>
        <w:trPr>
          <w:trHeight w:val="250"/>
        </w:trPr>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99,337</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656"/>
        </w:trPr>
        <w:tc>
          <w:tcPr>
            <w:tcW w:w="4180" w:type="dxa"/>
            <w:vAlign w:val="bottom"/>
          </w:tcPr>
          <w:p>
            <w:pPr>
              <w:spacing w:after="0"/>
              <w:rPr>
                <w:sz w:val="24"/>
                <w:szCs w:val="24"/>
                <w:color w:val="auto"/>
              </w:rPr>
            </w:pPr>
          </w:p>
        </w:tc>
        <w:tc>
          <w:tcPr>
            <w:tcW w:w="18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4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41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Allowance for Loan Losses and Credit Quality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Loans purchased by the Company are accounted for under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9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2015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Originated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106,275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108,343</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24,326</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148,425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348,676</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122,860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123,133</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7,659</w:t>
            </w:r>
          </w:p>
        </w:tc>
        <w:tc>
          <w:tcPr>
            <w:tcW w:w="40" w:type="dxa"/>
            <w:vAlign w:val="bottom"/>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453,422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679,436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409,545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202,592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612,137</w:t>
            </w: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3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Past Due and 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December 31, 2015</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Accrual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Days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w:t>
            </w:r>
          </w:p>
        </w:tc>
        <w:tc>
          <w:tcPr>
            <w:tcW w:w="860" w:type="dxa"/>
            <w:vAlign w:val="bottom"/>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177,248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148,930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1,186</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211,751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213,445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June 30, 2015</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Accrual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Days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973</w:t>
            </w:r>
          </w:p>
        </w:tc>
        <w:tc>
          <w:tcPr>
            <w:tcW w:w="860" w:type="dxa"/>
            <w:vAlign w:val="bottom"/>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147,421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122,858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405,724</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197,456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199,797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Loan Losses and Impaired Loans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and industrial, consumer, residential real estate, and purchased loans. Risk characteristics relevant to each portfolio segment are as follows:</w:t>
      </w:r>
    </w:p>
    <w:p>
      <w:pPr>
        <w:spacing w:after="0" w:line="184" w:lineRule="exact"/>
        <w:rPr>
          <w:sz w:val="20"/>
          <w:szCs w:val="20"/>
          <w:color w:val="auto"/>
        </w:rPr>
      </w:pPr>
    </w:p>
    <w:p>
      <w:pPr>
        <w:ind w:left="480" w:right="80"/>
        <w:spacing w:after="0" w:line="261" w:lineRule="auto"/>
        <w:rPr>
          <w:sz w:val="20"/>
          <w:szCs w:val="20"/>
          <w:color w:val="auto"/>
        </w:rPr>
      </w:pPr>
      <w:r>
        <w:rPr>
          <w:rFonts w:ascii="Times New Roman" w:cs="Times New Roman" w:eastAsia="Times New Roman" w:hAnsi="Times New Roman"/>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0" w:lineRule="exact"/>
        <w:rPr>
          <w:sz w:val="20"/>
          <w:szCs w:val="20"/>
          <w:color w:val="auto"/>
        </w:rPr>
      </w:pPr>
    </w:p>
    <w:p>
      <w:pPr>
        <w:ind w:left="480" w:right="60"/>
        <w:spacing w:after="0" w:line="258" w:lineRule="auto"/>
        <w:rPr>
          <w:sz w:val="20"/>
          <w:szCs w:val="20"/>
          <w:color w:val="auto"/>
        </w:rPr>
      </w:pPr>
      <w:r>
        <w:rPr>
          <w:rFonts w:ascii="Times New Roman" w:cs="Times New Roman" w:eastAsia="Times New Roman" w:hAnsi="Times New Roman"/>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type w:val="continuous"/>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80" w:right="320"/>
        <w:spacing w:after="0" w:line="266" w:lineRule="auto"/>
        <w:rPr>
          <w:sz w:val="20"/>
          <w:szCs w:val="20"/>
          <w:color w:val="auto"/>
        </w:rPr>
      </w:pPr>
      <w:r>
        <w:rPr>
          <w:rFonts w:ascii="Times New Roman" w:cs="Times New Roman" w:eastAsia="Times New Roman" w:hAnsi="Times New Roman"/>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76" w:lineRule="exact"/>
        <w:rPr>
          <w:sz w:val="20"/>
          <w:szCs w:val="20"/>
          <w:color w:val="auto"/>
        </w:rPr>
      </w:pPr>
    </w:p>
    <w:p>
      <w:pPr>
        <w:ind w:left="480" w:right="320"/>
        <w:spacing w:after="0" w:line="313" w:lineRule="auto"/>
        <w:rPr>
          <w:sz w:val="20"/>
          <w:szCs w:val="20"/>
          <w:color w:val="auto"/>
        </w:rPr>
      </w:pPr>
      <w:r>
        <w:rPr>
          <w:rFonts w:ascii="Times New Roman" w:cs="Times New Roman" w:eastAsia="Times New Roman" w:hAnsi="Times New Roman"/>
          <w:sz w:val="17"/>
          <w:szCs w:val="17"/>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38" w:lineRule="exact"/>
        <w:rPr>
          <w:sz w:val="20"/>
          <w:szCs w:val="20"/>
          <w:color w:val="auto"/>
        </w:rPr>
      </w:pPr>
    </w:p>
    <w:p>
      <w:pPr>
        <w:ind w:left="480" w:right="20"/>
        <w:spacing w:after="0" w:line="273" w:lineRule="auto"/>
        <w:rPr>
          <w:sz w:val="20"/>
          <w:szCs w:val="20"/>
          <w:color w:val="auto"/>
        </w:rPr>
      </w:pPr>
      <w:r>
        <w:rPr>
          <w:rFonts w:ascii="Times New Roman" w:cs="Times New Roman" w:eastAsia="Times New Roman" w:hAnsi="Times New Roman"/>
          <w:sz w:val="17"/>
          <w:szCs w:val="17"/>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and trends in delinquencies and nonperforming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volume and nature of loans</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credit terms and policies, including underwriting standards, procedures and practices, and the experience and ability of lending management and staff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portfolio concentration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local economic trends and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or trends in internal risk ratings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resulting from trends in the valuation of underlying collateral</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allocated component of the allowance for loan losses relates to loans that are classified as impaired. Impairment is measured on a loan-by-loan basis for commercial and industrial,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9"/>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 December 31, 2015</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38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6"/>
                <w:szCs w:val="16"/>
                <w:color w:val="auto"/>
              </w:rPr>
            </w:pPr>
          </w:p>
        </w:tc>
        <w:tc>
          <w:tcPr>
            <w:tcW w:w="1240" w:type="dxa"/>
            <w:vAlign w:val="bottom"/>
            <w:gridSpan w:val="2"/>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and Industrial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Purchased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Unallocated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3"/>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w:t>
            </w:r>
          </w:p>
        </w:tc>
      </w:tr>
      <w:tr>
        <w:trPr>
          <w:trHeight w:val="250"/>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13"/>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 December 31, 2014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700" w:type="dxa"/>
            <w:vAlign w:val="bottom"/>
          </w:tcPr>
          <w:p>
            <w:pPr>
              <w:spacing w:after="0"/>
              <w:rPr>
                <w:sz w:val="16"/>
                <w:szCs w:val="16"/>
                <w:color w:val="auto"/>
              </w:rPr>
            </w:pPr>
          </w:p>
        </w:tc>
        <w:tc>
          <w:tcPr>
            <w:tcW w:w="1340" w:type="dxa"/>
            <w:vAlign w:val="bottom"/>
            <w:gridSpan w:val="4"/>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ind w:left="4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5"/>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8"/>
              </w:rPr>
              <w:t>and Industrial</w:t>
            </w:r>
          </w:p>
        </w:tc>
        <w:tc>
          <w:tcPr>
            <w:tcW w:w="24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Consumer</w:t>
            </w:r>
          </w:p>
        </w:tc>
        <w:tc>
          <w:tcPr>
            <w:tcW w:w="22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Purchased</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Unallocated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84"/>
              </w:rPr>
              <w:t>(Dollars 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250"/>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413"/>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3"/>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December 31, 2015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Real Estate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Purchased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Unallocated</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83"/>
              </w:rPr>
              <w:t>(Dollars in thousands)</w:t>
            </w: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(890)</w:t>
            </w:r>
          </w:p>
        </w:tc>
        <w:tc>
          <w:tcPr>
            <w:tcW w:w="40" w:type="dxa"/>
            <w:vAlign w:val="bottom"/>
          </w:tcPr>
          <w:p>
            <w:pPr>
              <w:spacing w:after="0"/>
              <w:rPr>
                <w:sz w:val="18"/>
                <w:szCs w:val="18"/>
                <w:color w:val="auto"/>
              </w:rPr>
            </w:pPr>
          </w:p>
        </w:tc>
      </w:tr>
      <w:tr>
        <w:trPr>
          <w:trHeight w:val="250"/>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83"/>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3"/>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December 31, 2014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Real Estate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Purchased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Unallocated</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83"/>
              </w:rPr>
              <w:t>(Dollars in thousands)</w:t>
            </w: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8"/>
                <w:szCs w:val="18"/>
                <w:color w:val="auto"/>
              </w:rPr>
            </w:pPr>
          </w:p>
        </w:tc>
      </w:tr>
      <w:tr>
        <w:trPr>
          <w:trHeight w:val="250"/>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56"/>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7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1280" w:type="dxa"/>
            <w:vAlign w:val="bottom"/>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14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Unallocated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2"/>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114,591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119,769</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June 30, 2015</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1280" w:type="dxa"/>
            <w:vAlign w:val="bottom"/>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14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Unallocated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2"/>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2015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 2015</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8"/>
              </w:rPr>
              <w:t>Unpaid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Unpaid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Recorded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Related</w:t>
            </w: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Principal</w:t>
            </w:r>
          </w:p>
        </w:tc>
        <w:tc>
          <w:tcPr>
            <w:tcW w:w="1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Investment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Balance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Allowance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9,606</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Impaired loans with a valuation</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impaired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14,900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441"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441" w:gutter="0" w:footer="0" w:header="0"/>
          <w:type w:val="continuous"/>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Recorded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impaired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Recorded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impaired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Quality</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utilizes a ten-point internal loan rating system for commercial real estate, construction, commercial and industrial, and certain residential loans as follows: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Loans rated 7: Loans in this category are considered “special mention.” These loans show signs of potential weakness and are being closely monitored by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loans by risk rating.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December 31, 2015</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6"/>
                <w:szCs w:val="16"/>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Residential</w:t>
            </w:r>
            <w:r>
              <w:rPr>
                <w:rFonts w:ascii="Times New Roman" w:cs="Times New Roman" w:eastAsia="Times New Roman" w:hAnsi="Times New Roman"/>
                <w:sz w:val="30"/>
                <w:szCs w:val="30"/>
                <w:color w:val="auto"/>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and Industrial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Portfolio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9"/>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210,635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542,236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226,014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June 30, 2015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6"/>
                <w:szCs w:val="16"/>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Residential</w:t>
            </w:r>
            <w:r>
              <w:rPr>
                <w:rFonts w:ascii="Times New Roman" w:cs="Times New Roman" w:eastAsia="Times New Roman" w:hAnsi="Times New Roman"/>
                <w:sz w:val="30"/>
                <w:szCs w:val="30"/>
                <w:color w:val="auto"/>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and Industrial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Portfolio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9"/>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190,193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463,392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202,592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483,012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right="1500" w:hanging="215"/>
        <w:spacing w:after="0" w:line="282" w:lineRule="auto"/>
        <w:rPr>
          <w:sz w:val="20"/>
          <w:szCs w:val="20"/>
          <w:color w:val="auto"/>
        </w:rPr>
      </w:pPr>
      <w:r>
        <w:rPr>
          <w:rFonts w:ascii="Times New Roman" w:cs="Times New Roman" w:eastAsia="Times New Roman" w:hAnsi="Times New Roman"/>
          <w:sz w:val="18"/>
          <w:szCs w:val="18"/>
          <w:color w:val="auto"/>
        </w:rPr>
        <w:t>(1)Certain of the Company’s loans made for commercial purposes, but secured by residential collateral, are rated under the Company’s risk-rating system.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line="8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Troubled Debt Restructurings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350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8"/>
                <w:szCs w:val="18"/>
                <w:color w:val="auto"/>
                <w:w w:val="99"/>
              </w:rPr>
              <w:t>Three Months Ended December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2014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2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420" w:type="dxa"/>
            <w:vAlign w:val="bottom"/>
          </w:tcPr>
          <w:p>
            <w:pPr>
              <w:spacing w:after="0"/>
              <w:rPr>
                <w:sz w:val="16"/>
                <w:szCs w:val="16"/>
                <w:color w:val="auto"/>
              </w:rPr>
            </w:pPr>
          </w:p>
        </w:tc>
        <w:tc>
          <w:tcPr>
            <w:tcW w:w="1060" w:type="dxa"/>
            <w:vAlign w:val="bottom"/>
            <w:tcBorders>
              <w:top w:val="single" w:sz="8" w:color="auto"/>
            </w:tcBorders>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6"/>
                <w:szCs w:val="16"/>
                <w:color w:val="auto"/>
              </w:rPr>
            </w:pPr>
          </w:p>
        </w:tc>
        <w:tc>
          <w:tcPr>
            <w:tcW w:w="114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8"/>
              </w:rPr>
              <w:t>Recorded</w:t>
            </w:r>
          </w:p>
        </w:tc>
        <w:tc>
          <w:tcPr>
            <w:tcW w:w="20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8"/>
              </w:rPr>
              <w:t>Recorded</w:t>
            </w:r>
          </w:p>
        </w:tc>
        <w:tc>
          <w:tcPr>
            <w:tcW w:w="100" w:type="dxa"/>
            <w:vAlign w:val="bottom"/>
          </w:tcPr>
          <w:p>
            <w:pPr>
              <w:spacing w:after="0"/>
              <w:rPr>
                <w:sz w:val="16"/>
                <w:szCs w:val="16"/>
                <w:color w:val="auto"/>
              </w:rPr>
            </w:pPr>
          </w:p>
        </w:tc>
      </w:tr>
      <w:tr>
        <w:trPr>
          <w:trHeight w:val="234"/>
        </w:trPr>
        <w:tc>
          <w:tcPr>
            <w:tcW w:w="24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Investment</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Investment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Contracts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Investment</w:t>
            </w:r>
          </w:p>
        </w:tc>
      </w:tr>
      <w:tr>
        <w:trPr>
          <w:trHeight w:val="210"/>
        </w:trPr>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5"/>
              </w:rPr>
              <w:t>(Dollars in</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76"/>
              </w:rPr>
              <w:t>thousands)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Extended maturity</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Adjusted interest rate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and maturity</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Principal deferment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 ordered concession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Three Months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14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Contracts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Pre-Modification</w:t>
            </w:r>
          </w:p>
        </w:tc>
        <w:tc>
          <w:tcPr>
            <w:tcW w:w="1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Post-</w:t>
            </w:r>
          </w:p>
        </w:tc>
        <w:tc>
          <w:tcPr>
            <w:tcW w:w="1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Contracts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Pre-Modification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Post-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Modification</w:t>
            </w: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Modification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portfolio:</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and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originated</w:t>
            </w: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portfolio:</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1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purchased</w:t>
            </w:r>
          </w:p>
        </w:tc>
        <w:tc>
          <w:tcPr>
            <w:tcW w:w="1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6"/>
                <w:szCs w:val="16"/>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1"/>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portfolio</w:t>
            </w:r>
          </w:p>
        </w:tc>
        <w:tc>
          <w:tcPr>
            <w:tcW w:w="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14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Contracts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Pre-Modification</w:t>
            </w:r>
          </w:p>
        </w:tc>
        <w:tc>
          <w:tcPr>
            <w:tcW w:w="1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Post-</w:t>
            </w:r>
          </w:p>
        </w:tc>
        <w:tc>
          <w:tcPr>
            <w:tcW w:w="1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Contracts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Pre-Modification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Post-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Modification</w:t>
            </w: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Modification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portfolio:</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and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originated</w:t>
            </w: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portfolio:</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estate</w:t>
            </w:r>
          </w:p>
        </w:tc>
        <w:tc>
          <w:tcPr>
            <w:tcW w:w="1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purchased</w:t>
            </w:r>
          </w:p>
        </w:tc>
        <w:tc>
          <w:tcPr>
            <w:tcW w:w="1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6"/>
                <w:szCs w:val="16"/>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1"/>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portfolio</w:t>
            </w:r>
          </w:p>
        </w:tc>
        <w:tc>
          <w:tcPr>
            <w:tcW w:w="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920" w:orient="portrait"/>
          <w:cols w:equalWidth="0" w:num="1">
            <w:col w:w="11420"/>
          </w:cols>
          <w:pgMar w:left="240" w:top="112" w:right="239" w:bottom="0" w:gutter="0" w:footer="0" w:header="0"/>
        </w:sect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considers TDRs past due 90 days or more to be in payment default. Two loans modified in a TDR in the last twelve months defaulted during the three and six months ended December 31, 2015; the recorded investment of such loans was $216 thousand. As of December 31, 2015, there were no</w:t>
      </w:r>
    </w:p>
    <w:p>
      <w:pPr>
        <w:sectPr>
          <w:pgSz w:w="11900" w:h="16920" w:orient="portrait"/>
          <w:cols w:equalWidth="0" w:num="1">
            <w:col w:w="11420"/>
          </w:cols>
          <w:pgMar w:left="240" w:top="112" w:right="239"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further commitments to lend associated with loans modified in a TDR.</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ASC 310-30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loans accounted for under ASC 310-30 that were acquired by the Company during the period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7"/>
          </w:tcPr>
          <w:p>
            <w:pPr>
              <w:jc w:val="right"/>
              <w:ind w:right="11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60,153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66,662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Nonaccretable difference</w:t>
            </w:r>
          </w:p>
        </w:tc>
        <w:tc>
          <w:tcPr>
            <w:tcW w:w="10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expected to be collected</w:t>
            </w: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59,662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Accretable yield</w:t>
            </w:r>
          </w:p>
        </w:tc>
        <w:tc>
          <w:tcPr>
            <w:tcW w:w="10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(23,807)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(25,405)</w:t>
            </w:r>
          </w:p>
        </w:tc>
      </w:tr>
      <w:tr>
        <w:trPr>
          <w:trHeight w:val="250"/>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loans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94"/>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7"/>
          </w:tcPr>
          <w:p>
            <w:pPr>
              <w:jc w:val="right"/>
              <w:ind w:right="11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87,770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Nonaccretable difference</w:t>
            </w:r>
          </w:p>
        </w:tc>
        <w:tc>
          <w:tcPr>
            <w:tcW w:w="10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(1,929)</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expected to be collected</w:t>
            </w: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85,841</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Accretable yield</w:t>
            </w:r>
          </w:p>
        </w:tc>
        <w:tc>
          <w:tcPr>
            <w:tcW w:w="10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(33,365)</w:t>
            </w:r>
          </w:p>
        </w:tc>
      </w:tr>
      <w:tr>
        <w:trPr>
          <w:trHeight w:val="250"/>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loans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0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As of and for the Three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As of and for the Six</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Months Ended</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Months Ended</w:t>
            </w:r>
          </w:p>
        </w:tc>
      </w:tr>
      <w:tr>
        <w:trPr>
          <w:trHeight w:val="234"/>
        </w:trPr>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2015</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2015</w:t>
            </w: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acquired during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Loans at end of period</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9,047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108,352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25,405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non-accretable difference to accretable yield</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 and other changes</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(6,196)</w:t>
            </w:r>
          </w:p>
        </w:tc>
      </w:tr>
      <w:tr>
        <w:trPr>
          <w:trHeight w:val="210"/>
        </w:trPr>
        <w:tc>
          <w:tcPr>
            <w:tcW w:w="5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124,093</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123,275</w:t>
            </w:r>
          </w:p>
        </w:tc>
        <w:tc>
          <w:tcPr>
            <w:tcW w:w="80" w:type="dxa"/>
            <w:vAlign w:val="bottom"/>
            <w:tcBorders>
              <w:top w:val="single" w:sz="8" w:color="CCEEFF"/>
            </w:tcBorders>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111,449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109,040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33,365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non-accretable difference to accretable yield</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 and other changes</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(10,411)</w:t>
            </w:r>
          </w:p>
        </w:tc>
      </w:tr>
      <w:tr>
        <w:trPr>
          <w:trHeight w:val="210"/>
        </w:trPr>
        <w:tc>
          <w:tcPr>
            <w:tcW w:w="5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124,093</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123,275</w:t>
            </w:r>
          </w:p>
        </w:tc>
        <w:tc>
          <w:tcPr>
            <w:tcW w:w="80" w:type="dxa"/>
            <w:vAlign w:val="bottom"/>
            <w:tcBorders>
              <w:top w:val="single" w:sz="8" w:color="CCEEFF"/>
            </w:tcBorders>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2015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30, 2015</w:t>
            </w: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253,312</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235,716</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199,113</w:t>
            </w:r>
          </w:p>
        </w:tc>
      </w:tr>
    </w:tbl>
    <w:p>
      <w:pPr>
        <w:spacing w:after="0" w:line="200" w:lineRule="exact"/>
        <w:rPr>
          <w:sz w:val="20"/>
          <w:szCs w:val="20"/>
          <w:color w:val="auto"/>
        </w:rPr>
      </w:pPr>
    </w:p>
    <w:p>
      <w:pPr>
        <w:sectPr>
          <w:pgSz w:w="11900" w:h="16838" w:orient="portrait"/>
          <w:cols w:equalWidth="0" w:num="1">
            <w:col w:w="11360"/>
          </w:cols>
          <w:pgMar w:left="240" w:top="111" w:right="299" w:bottom="1440" w:gutter="0" w:footer="0" w:header="0"/>
        </w:sect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Transfers and Servicing of Financial Assets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Capitalized servicing rights as of December 31, 2015 totaled $1.4 million, compared to $1.1 million as of June 30, 2015, which are included in other assets in the accompanying consolidated balance sheets.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Mortgage loans sold in the quarter ended December 31, 2015 totaled $20.5 million, compared to $25.7 million in the quarter ended December 31, 2014. Mortgage loans sold in the six months ended December 31, 2015 totaled $49.4 million, compared to $56.5 million in the six months ended December 31, 2014. Mortgage loans serviced for others totaled $51.7 million at December 31, 2015 and $54.9 million at June 30, 2015. SBA loans sold during the quarter ended December 31, 2015 totaled $7.5 million, compared to $2.6 million in the quarter ended December 31, 2014. SBA loans sold in the six months ended December 31, 2015 totaled $13.0 million, compared to $3.2 million in the six months ended December 31, 2014. SBA loans serviced for others totaled $63.5 million at December 31, 2015 and $53.5 million at June 30, 2015.</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Contractually specified servicing fees were $167 thousand and $133 thousand for the quarters ended December 31, 2015 and 2014, respectively, and were included as a component of loan related fees within non-interest income. Contractually specified servicing fees were $316 thousand and $258 thousand for the six months ended December 31, 2015 and 2014, respectively.</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significant assumptions used in the valuation for mortgage servicing rights as of December 31, 2015 included a weighted average discount rate of 7.5% and a weighted average prepayment speed assumption of 12.4%. For the SBA servicing rights, the significant assumptions used in the valuation included a range of discount rates from 9.1% to 13.2% and a weighted average prepayment speed assumption of 7.2%</w:t>
      </w:r>
    </w:p>
    <w:p>
      <w:pPr>
        <w:spacing w:after="0" w:line="172"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Qualified Affordable Housing Projects</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On July 1, 2015, the Company adopted ASU 2014-01, </w:t>
      </w:r>
      <w:r>
        <w:rPr>
          <w:rFonts w:ascii="Times New Roman" w:cs="Times New Roman" w:eastAsia="Times New Roman" w:hAnsi="Times New Roman"/>
          <w:sz w:val="18"/>
          <w:szCs w:val="18"/>
          <w:i w:val="1"/>
          <w:iCs w:val="1"/>
          <w:color w:val="auto"/>
        </w:rPr>
        <w:t>Accounting for Investments in Qualified Affordable Housing Projects</w:t>
      </w:r>
      <w:r>
        <w:rPr>
          <w:rFonts w:ascii="Times New Roman" w:cs="Times New Roman" w:eastAsia="Times New Roman" w:hAnsi="Times New Roman"/>
          <w:sz w:val="18"/>
          <w:szCs w:val="18"/>
          <w:color w:val="auto"/>
        </w:rPr>
        <w:t>, which required retrospective application. Under the proportional amortization method in ASU 2014-01, the initial costs of investment in qualified affordable housing projects are amortized in proportion to tax credits and other tax benefits received, and are recognized as a component of the provision for income taxes in the consolidated statements of income. Prior to the implementation of ASU 2014-01, the Company’s investments in qualified affordable housing projects were amortized and included as a component of non-interest income in the consolidated statements of income. Further information regarding the Company's investments in affordable housing projects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affordable housing projects included in other assets</w:t>
            </w: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effective tax rate for the three and six months ended December 31, 2015 and 2014 is the effect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(Dollars 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amortization included in income tax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credit recognized as income tax benefit</w:t>
            </w:r>
          </w:p>
        </w:tc>
        <w:tc>
          <w:tcPr>
            <w:tcW w:w="10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39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80" w:type="dxa"/>
            <w:vAlign w:val="bottom"/>
          </w:tcPr>
          <w:p>
            <w:pPr>
              <w:spacing w:after="0"/>
              <w:rPr>
                <w:sz w:val="24"/>
                <w:szCs w:val="24"/>
                <w:color w:val="auto"/>
              </w:rPr>
            </w:pPr>
          </w:p>
        </w:tc>
        <w:tc>
          <w:tcPr>
            <w:tcW w:w="1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(Dollars 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amortization included in income tax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credit recognized as income tax benefit</w:t>
            </w:r>
          </w:p>
        </w:tc>
        <w:tc>
          <w:tcPr>
            <w:tcW w:w="10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ASU 2014-01 was applied retrospectively to all periods presented. The cumulative effect on retained earnings and other assets was $112 thousand at July 1,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 (EPS)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4" w:lineRule="exact"/>
        <w:rPr>
          <w:sz w:val="20"/>
          <w:szCs w:val="20"/>
          <w:color w:val="auto"/>
        </w:rPr>
      </w:pPr>
    </w:p>
    <w:p>
      <w:pPr>
        <w:ind w:left="6200"/>
        <w:spacing w:after="0"/>
        <w:tabs>
          <w:tab w:leader="none" w:pos="8860" w:val="left"/>
        </w:tabs>
        <w:rPr>
          <w:sz w:val="20"/>
          <w:szCs w:val="20"/>
          <w:color w:val="auto"/>
        </w:rPr>
      </w:pPr>
      <w:r>
        <w:rPr>
          <w:rFonts w:ascii="Times New Roman" w:cs="Times New Roman" w:eastAsia="Times New Roman" w:hAnsi="Times New Roman"/>
          <w:sz w:val="18"/>
          <w:szCs w:val="18"/>
          <w:color w:val="auto"/>
        </w:rPr>
        <w:t>Three months Ended December</w:t>
      </w:r>
      <w:r>
        <w:rPr>
          <w:sz w:val="20"/>
          <w:szCs w:val="20"/>
          <w:color w:val="auto"/>
        </w:rPr>
        <w:tab/>
      </w:r>
      <w:r>
        <w:rPr>
          <w:rFonts w:ascii="Times New Roman" w:cs="Times New Roman" w:eastAsia="Times New Roman" w:hAnsi="Times New Roman"/>
          <w:sz w:val="18"/>
          <w:szCs w:val="18"/>
          <w:color w:val="auto"/>
        </w:rPr>
        <w:t>Six months Ended December 31,</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60"/>
          </w:cols>
          <w:pgMar w:left="240" w:top="111" w:right="1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2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Weighted average shares used in calculation of basic EPS Incremental shares from assumed exercise of dilutive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used in calculation of diluted EPS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71"/>
              </w:rPr>
              <w:t>in</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(Dollars</w:t>
            </w:r>
          </w:p>
        </w:tc>
        <w:tc>
          <w:tcPr>
            <w:tcW w:w="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3860" w:type="dxa"/>
            <w:vAlign w:val="bottom"/>
            <w:gridSpan w:val="10"/>
          </w:tcPr>
          <w:p>
            <w:pPr>
              <w:ind w:left="60"/>
              <w:spacing w:after="0" w:line="191" w:lineRule="exact"/>
              <w:rPr>
                <w:sz w:val="20"/>
                <w:szCs w:val="20"/>
                <w:color w:val="auto"/>
              </w:rPr>
            </w:pPr>
            <w:r>
              <w:rPr>
                <w:rFonts w:ascii="Times New Roman" w:cs="Times New Roman" w:eastAsia="Times New Roman" w:hAnsi="Times New Roman"/>
                <w:sz w:val="18"/>
                <w:szCs w:val="18"/>
                <w:color w:val="auto"/>
              </w:rPr>
              <w:t>thousands, except share and per share data)</w:t>
            </w:r>
          </w:p>
        </w:tc>
        <w:tc>
          <w:tcPr>
            <w:tcW w:w="0" w:type="dxa"/>
            <w:vAlign w:val="bottom"/>
          </w:tcPr>
          <w:p>
            <w:pPr>
              <w:spacing w:after="0"/>
              <w:rPr>
                <w:sz w:val="1"/>
                <w:szCs w:val="1"/>
                <w:color w:val="auto"/>
              </w:rPr>
            </w:pPr>
          </w:p>
        </w:tc>
      </w:tr>
      <w:tr>
        <w:trPr>
          <w:trHeight w:val="234"/>
        </w:trPr>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9,559,369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10,132,349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9,560,913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10,155,598</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9,569,585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10,132,349</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-728345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80"/>
          </w:cols>
          <w:pgMar w:left="240" w:top="111"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2015,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2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714,545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1,086,599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714,545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1,105,694</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729"/>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5"/>
        </w:trPr>
        <w:tc>
          <w:tcPr>
            <w:tcW w:w="4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61"/>
        </w:trPr>
        <w:tc>
          <w:tcPr>
            <w:tcW w:w="40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type w:val="continuous"/>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seeks to manage the credit risk of its financial contracts through credit approvals, limits and monitoring procedures, and does not expect any counterparties to fail to meet their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holds derivative instruments that contain credit-risk related features that are in a net liability position, which may require that collateral be assigned to dealer banks. At December 31, 2015, the Company had posted cash collateral totaling $2.0 million with dealer banks related to derivative instruments in a net liability position.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Policies – Derivative Instruments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 Management – Cash Flow Hedging Instruments</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Inception</w:t>
            </w: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Notional</w:t>
            </w:r>
          </w:p>
        </w:tc>
        <w:tc>
          <w:tcPr>
            <w:tcW w:w="6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w w:val="98"/>
              </w:rPr>
              <w:t>Termination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Sheet</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21"/>
                <w:szCs w:val="21"/>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gridSpan w:val="2"/>
          </w:tcPr>
          <w:p>
            <w:pPr>
              <w:spacing w:after="0"/>
              <w:rPr>
                <w:sz w:val="21"/>
                <w:szCs w:val="21"/>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Index</w:t>
            </w:r>
          </w:p>
        </w:tc>
        <w:tc>
          <w:tcPr>
            <w:tcW w:w="120" w:type="dxa"/>
            <w:vAlign w:val="bottom"/>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Receive Rate</w:t>
            </w:r>
          </w:p>
        </w:tc>
        <w:tc>
          <w:tcPr>
            <w:tcW w:w="280" w:type="dxa"/>
            <w:vAlign w:val="bottom"/>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Pay Rate</w:t>
            </w:r>
          </w:p>
        </w:tc>
        <w:tc>
          <w:tcPr>
            <w:tcW w:w="260" w:type="dxa"/>
            <w:vAlign w:val="bottom"/>
          </w:tcPr>
          <w:p>
            <w:pPr>
              <w:spacing w:after="0"/>
              <w:rPr>
                <w:sz w:val="21"/>
                <w:szCs w:val="21"/>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Strike Rate</w:t>
            </w:r>
          </w:p>
        </w:tc>
        <w:tc>
          <w:tcPr>
            <w:tcW w:w="260" w:type="dxa"/>
            <w:vAlign w:val="bottom"/>
          </w:tcPr>
          <w:p>
            <w:pPr>
              <w:spacing w:after="0"/>
              <w:rPr>
                <w:sz w:val="21"/>
                <w:szCs w:val="2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Gain (Loss)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2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200" w:type="dxa"/>
            <w:vAlign w:val="bottom"/>
            <w:gridSpan w:val="9"/>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2033</w:t>
            </w:r>
          </w:p>
        </w:tc>
        <w:tc>
          <w:tcPr>
            <w:tcW w:w="10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July 2013</w:t>
            </w:r>
          </w:p>
        </w:tc>
        <w:tc>
          <w:tcPr>
            <w:tcW w:w="1020" w:type="dxa"/>
            <w:vAlign w:val="bottom"/>
            <w:gridSpan w:val="3"/>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2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08"/>
        </w:trPr>
        <w:tc>
          <w:tcPr>
            <w:tcW w:w="100" w:type="dxa"/>
            <w:vAlign w:val="bottom"/>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July 2028</w:t>
            </w:r>
          </w:p>
        </w:tc>
        <w:tc>
          <w:tcPr>
            <w:tcW w:w="10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July 2013</w:t>
            </w:r>
          </w:p>
        </w:tc>
        <w:tc>
          <w:tcPr>
            <w:tcW w:w="1020" w:type="dxa"/>
            <w:vAlign w:val="bottom"/>
            <w:gridSpan w:val="3"/>
            <w:vMerge w:val="continue"/>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2023</w:t>
            </w:r>
          </w:p>
        </w:tc>
        <w:tc>
          <w:tcPr>
            <w:tcW w:w="10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July 2013</w:t>
            </w:r>
          </w:p>
        </w:tc>
        <w:tc>
          <w:tcPr>
            <w:tcW w:w="1020" w:type="dxa"/>
            <w:vAlign w:val="bottom"/>
            <w:gridSpan w:val="3"/>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2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08"/>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Interest rate caps: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0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October 2014</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continue"/>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Assets</w:t>
            </w:r>
          </w:p>
        </w:tc>
        <w:tc>
          <w:tcPr>
            <w:tcW w:w="0" w:type="dxa"/>
            <w:vAlign w:val="bottom"/>
          </w:tcPr>
          <w:p>
            <w:pPr>
              <w:spacing w:after="0"/>
              <w:rPr>
                <w:sz w:val="1"/>
                <w:szCs w:val="1"/>
                <w:color w:val="auto"/>
              </w:rPr>
            </w:pPr>
          </w:p>
        </w:tc>
      </w:tr>
      <w:tr>
        <w:trPr>
          <w:trHeight w:val="108"/>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gridSpan w:val="4"/>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March 2015</w:t>
            </w:r>
          </w:p>
        </w:tc>
        <w:tc>
          <w:tcPr>
            <w:tcW w:w="102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February</w:t>
            </w:r>
          </w:p>
        </w:tc>
        <w:tc>
          <w:tcPr>
            <w:tcW w:w="10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7"/>
                <w:szCs w:val="17"/>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Assets</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June 30, 2015</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Notional</w:t>
            </w:r>
          </w:p>
        </w:tc>
        <w:tc>
          <w:tcPr>
            <w:tcW w:w="60" w:type="dxa"/>
            <w:vAlign w:val="bottom"/>
          </w:tcPr>
          <w:p>
            <w:pPr>
              <w:spacing w:after="0"/>
              <w:rPr>
                <w:sz w:val="16"/>
                <w:szCs w:val="16"/>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Inception</w:t>
            </w: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w w:val="96"/>
              </w:rPr>
              <w:t>Termination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Sheet</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9"/>
                <w:szCs w:val="9"/>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Date</w:t>
            </w:r>
          </w:p>
        </w:tc>
        <w:tc>
          <w:tcPr>
            <w:tcW w:w="10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Index</w:t>
            </w:r>
          </w:p>
        </w:tc>
        <w:tc>
          <w:tcPr>
            <w:tcW w:w="120" w:type="dxa"/>
            <w:vAlign w:val="bottom"/>
            <w:vMerge w:val="restart"/>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Receive Rate</w:t>
            </w:r>
          </w:p>
        </w:tc>
        <w:tc>
          <w:tcPr>
            <w:tcW w:w="280" w:type="dxa"/>
            <w:vAlign w:val="bottom"/>
            <w:vMerge w:val="restart"/>
          </w:tcPr>
          <w:p>
            <w:pPr>
              <w:spacing w:after="0"/>
              <w:rPr>
                <w:sz w:val="10"/>
                <w:szCs w:val="10"/>
                <w:color w:val="auto"/>
              </w:rPr>
            </w:pP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Pay Rate</w:t>
            </w:r>
          </w:p>
        </w:tc>
        <w:tc>
          <w:tcPr>
            <w:tcW w:w="260" w:type="dxa"/>
            <w:vAlign w:val="bottom"/>
            <w:vMerge w:val="restart"/>
          </w:tcPr>
          <w:p>
            <w:pPr>
              <w:spacing w:after="0"/>
              <w:rPr>
                <w:sz w:val="10"/>
                <w:szCs w:val="10"/>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Strike Rate</w:t>
            </w:r>
          </w:p>
        </w:tc>
        <w:tc>
          <w:tcPr>
            <w:tcW w:w="2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Loss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vMerge w:val="restart"/>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gridSpan w:val="8"/>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2013</w:t>
            </w: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2033</w:t>
            </w:r>
          </w:p>
        </w:tc>
        <w:tc>
          <w:tcPr>
            <w:tcW w:w="10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3"/>
            <w:vMerge w:val="continue"/>
            <w:shd w:val="clear" w:color="auto" w:fill="CCEEFF"/>
          </w:tcPr>
          <w:p>
            <w:pPr>
              <w:spacing w:after="0"/>
              <w:rPr>
                <w:sz w:val="10"/>
                <w:szCs w:val="10"/>
                <w:color w:val="auto"/>
              </w:rPr>
            </w:pPr>
          </w:p>
        </w:tc>
        <w:tc>
          <w:tcPr>
            <w:tcW w:w="1020" w:type="dxa"/>
            <w:vAlign w:val="bottom"/>
            <w:gridSpan w:val="3"/>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280" w:type="dxa"/>
            <w:vAlign w:val="bottom"/>
            <w:gridSpan w:val="2"/>
            <w:vMerge w:val="continue"/>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08"/>
        </w:trPr>
        <w:tc>
          <w:tcPr>
            <w:tcW w:w="100" w:type="dxa"/>
            <w:vAlign w:val="bottom"/>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July 2013</w:t>
            </w: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July 2028</w:t>
            </w:r>
          </w:p>
        </w:tc>
        <w:tc>
          <w:tcPr>
            <w:tcW w:w="10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80" w:type="dxa"/>
            <w:vAlign w:val="bottom"/>
            <w:gridSpan w:val="2"/>
            <w:vMerge w:val="continue"/>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2013</w:t>
            </w: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2023</w:t>
            </w:r>
          </w:p>
        </w:tc>
        <w:tc>
          <w:tcPr>
            <w:tcW w:w="10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3"/>
            <w:vMerge w:val="continue"/>
            <w:shd w:val="clear" w:color="auto" w:fill="CCEEFF"/>
          </w:tcPr>
          <w:p>
            <w:pPr>
              <w:spacing w:after="0"/>
              <w:rPr>
                <w:sz w:val="10"/>
                <w:szCs w:val="10"/>
                <w:color w:val="auto"/>
              </w:rPr>
            </w:pPr>
          </w:p>
        </w:tc>
        <w:tc>
          <w:tcPr>
            <w:tcW w:w="1020" w:type="dxa"/>
            <w:vAlign w:val="bottom"/>
            <w:gridSpan w:val="3"/>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280" w:type="dxa"/>
            <w:vAlign w:val="bottom"/>
            <w:gridSpan w:val="2"/>
            <w:vMerge w:val="continue"/>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08"/>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Interest rate caps: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October</w:t>
            </w:r>
          </w:p>
        </w:tc>
        <w:tc>
          <w:tcPr>
            <w:tcW w:w="102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0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continue"/>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Assets</w:t>
            </w:r>
          </w:p>
        </w:tc>
        <w:tc>
          <w:tcPr>
            <w:tcW w:w="0" w:type="dxa"/>
            <w:vAlign w:val="bottom"/>
          </w:tcPr>
          <w:p>
            <w:pPr>
              <w:spacing w:after="0"/>
              <w:rPr>
                <w:sz w:val="1"/>
                <w:szCs w:val="1"/>
                <w:color w:val="auto"/>
              </w:rPr>
            </w:pPr>
          </w:p>
        </w:tc>
      </w:tr>
      <w:tr>
        <w:trPr>
          <w:trHeight w:val="108"/>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8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March 2015</w:t>
            </w:r>
          </w:p>
        </w:tc>
        <w:tc>
          <w:tcPr>
            <w:tcW w:w="102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February</w:t>
            </w:r>
          </w:p>
        </w:tc>
        <w:tc>
          <w:tcPr>
            <w:tcW w:w="10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 Mo.</w:t>
            </w: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7"/>
                <w:szCs w:val="17"/>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LIBOR</w:t>
            </w:r>
          </w:p>
        </w:tc>
        <w:tc>
          <w:tcPr>
            <w:tcW w:w="128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Assets</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2015 and 2014, no interest rate cap or swap agreements were terminated prior to maturity. Changes in the fair value of interest rate caps and swaps designated as hedging instruments of the variability of cash flows associated with variable rate debt are reported</w:t>
      </w:r>
    </w:p>
    <w:p>
      <w:pPr>
        <w:sectPr>
          <w:pgSz w:w="11900" w:h="16838" w:orient="portrait"/>
          <w:cols w:equalWidth="0" w:num="1">
            <w:col w:w="11420"/>
          </w:cols>
          <w:pgMar w:left="240" w:top="111" w:right="239" w:bottom="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8"/>
          <w:szCs w:val="18"/>
          <w:color w:val="auto"/>
        </w:rPr>
        <w:t>in other comprehensive income. These amounts subsequently are reclassified into interest expense as a yield adjustment in the same period in which the related interest on the debt affects earnings. Risk management results for the three and six months ended December 31, 2015 and 2014 related to the balance sheet hedging of variable rate debt indicates that the hedges were effective.</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comprehensive income (loss)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560"/>
              <w:spacing w:after="0" w:line="191" w:lineRule="exact"/>
              <w:rPr>
                <w:sz w:val="20"/>
                <w:szCs w:val="20"/>
                <w:color w:val="auto"/>
              </w:rPr>
            </w:pPr>
            <w:r>
              <w:rPr>
                <w:rFonts w:ascii="Times New Roman" w:cs="Times New Roman" w:eastAsia="Times New Roman" w:hAnsi="Times New Roman"/>
                <w:sz w:val="18"/>
                <w:szCs w:val="18"/>
                <w:color w:val="auto"/>
              </w:rPr>
              <w:t>Pre-tax</w:t>
            </w:r>
          </w:p>
        </w:tc>
        <w:tc>
          <w:tcPr>
            <w:tcW w:w="1260" w:type="dxa"/>
            <w:vAlign w:val="bottom"/>
            <w:gridSpan w:val="4"/>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8"/>
              </w:rPr>
              <w:t>Tax Expense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After-tax</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Pre-tax</w:t>
            </w:r>
          </w:p>
        </w:tc>
        <w:tc>
          <w:tcPr>
            <w:tcW w:w="120" w:type="dxa"/>
            <w:vAlign w:val="bottom"/>
          </w:tcPr>
          <w:p>
            <w:pPr>
              <w:spacing w:after="0"/>
              <w:rPr>
                <w:sz w:val="16"/>
                <w:szCs w:val="16"/>
                <w:color w:val="auto"/>
              </w:rPr>
            </w:pPr>
          </w:p>
        </w:tc>
        <w:tc>
          <w:tcPr>
            <w:tcW w:w="1280" w:type="dxa"/>
            <w:vAlign w:val="bottom"/>
            <w:gridSpan w:val="4"/>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8"/>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8"/>
                <w:szCs w:val="18"/>
                <w:color w:val="auto"/>
                <w:w w:val="98"/>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net unrealized gain or loss 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gains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included in net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Change in accumulated loss on effective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gains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included in net income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 and hedging activities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Pre-tax</w:t>
            </w:r>
          </w:p>
        </w:tc>
        <w:tc>
          <w:tcPr>
            <w:tcW w:w="140" w:type="dxa"/>
            <w:vAlign w:val="bottom"/>
          </w:tcPr>
          <w:p>
            <w:pPr>
              <w:spacing w:after="0"/>
              <w:rPr>
                <w:sz w:val="16"/>
                <w:szCs w:val="16"/>
                <w:color w:val="auto"/>
              </w:rPr>
            </w:pPr>
          </w:p>
        </w:tc>
        <w:tc>
          <w:tcPr>
            <w:tcW w:w="1120" w:type="dxa"/>
            <w:vAlign w:val="bottom"/>
            <w:gridSpan w:val="3"/>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8"/>
              </w:rPr>
              <w:t>Tax Expense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After-tax</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Pre-tax</w:t>
            </w:r>
          </w:p>
        </w:tc>
        <w:tc>
          <w:tcPr>
            <w:tcW w:w="120" w:type="dxa"/>
            <w:vAlign w:val="bottom"/>
          </w:tcPr>
          <w:p>
            <w:pPr>
              <w:spacing w:after="0"/>
              <w:rPr>
                <w:sz w:val="16"/>
                <w:szCs w:val="16"/>
                <w:color w:val="auto"/>
              </w:rPr>
            </w:pPr>
          </w:p>
        </w:tc>
        <w:tc>
          <w:tcPr>
            <w:tcW w:w="1280" w:type="dxa"/>
            <w:vAlign w:val="bottom"/>
            <w:gridSpan w:val="4"/>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8"/>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color w:val="auto"/>
                <w:w w:val="98"/>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net unrealized gain or loss 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gains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included in net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Change in accumulated loss on effective cash</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flow hedges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gains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included in net income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 and hedging activities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Accumulated other comprehensive loss is comprised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December 31, 2015</w:t>
            </w:r>
          </w:p>
        </w:tc>
        <w:tc>
          <w:tcPr>
            <w:tcW w:w="160" w:type="dxa"/>
            <w:vAlign w:val="bottom"/>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June 30, 2015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effect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Net-of-tax amount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(518)</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(1,796)</w:t>
            </w:r>
          </w:p>
        </w:tc>
        <w:tc>
          <w:tcPr>
            <w:tcW w:w="180" w:type="dxa"/>
            <w:vAlign w:val="bottom"/>
          </w:tcPr>
          <w:p>
            <w:pPr>
              <w:spacing w:after="0"/>
              <w:rPr>
                <w:sz w:val="18"/>
                <w:szCs w:val="18"/>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effect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Net-of-tax 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6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w:t>
            </w: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34,696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24,966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 under lines of credit</w:t>
            </w:r>
          </w:p>
        </w:tc>
        <w:tc>
          <w:tcPr>
            <w:tcW w:w="4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39,414</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Commitment to fund investment</w:t>
            </w: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$55 thousand recorded in other liabilities at both December 31, 2015 and June 30, 2015.</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committed $2.5 million to a fund that acquires CRA qualified investments in loans for the Company’s portfolio. The Fund Manager will call the funds from the Company when an investment is successfully acquired. Through the three and six months ended December 31, 2015, the fund has not called any funds from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Contingencies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392"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Level 1 — Inputs are quoted prices (unadjusted) in active markets for identical assets or liabilities that the reporting entity has the ability to access at the measurement date.</w:t>
      </w:r>
    </w:p>
    <w:p>
      <w:pPr>
        <w:spacing w:after="0" w:line="162" w:lineRule="exact"/>
        <w:rPr>
          <w:sz w:val="20"/>
          <w:szCs w:val="20"/>
          <w:color w:val="auto"/>
        </w:rPr>
      </w:pPr>
    </w:p>
    <w:p>
      <w:pPr>
        <w:ind w:left="500" w:right="380"/>
        <w:spacing w:after="0" w:line="282" w:lineRule="auto"/>
        <w:rPr>
          <w:sz w:val="20"/>
          <w:szCs w:val="20"/>
          <w:color w:val="auto"/>
        </w:rPr>
      </w:pPr>
      <w:r>
        <w:rPr>
          <w:rFonts w:ascii="Times New Roman" w:cs="Times New Roman" w:eastAsia="Times New Roman" w:hAnsi="Times New Roman"/>
          <w:sz w:val="18"/>
          <w:szCs w:val="18"/>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technique</w:t>
      </w:r>
      <w:r>
        <w:rPr>
          <w:rFonts w:ascii="Times New Roman" w:cs="Times New Roman" w:eastAsia="Times New Roman" w:hAnsi="Times New Roman"/>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w:t>
      </w:r>
      <w:r>
        <w:rPr>
          <w:rFonts w:ascii="Times New Roman" w:cs="Times New Roman" w:eastAsia="Times New Roman" w:hAnsi="Times New Roman"/>
          <w:sz w:val="18"/>
          <w:szCs w:val="18"/>
          <w:color w:val="auto"/>
        </w:rPr>
        <w:t>- There were no transfers of assets and liabilities measured at fair value on a recurring or nonrecurring basis during the current period</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 Where quoted prices are available in an active market, securities are classified within Level 1 of the valuation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Examples of such instruments include publicly-traded common and preferred stocks. If quoted prices are not available, then fair values are estimated by using pricing models (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85" w:lineRule="exact"/>
        <w:rPr>
          <w:sz w:val="20"/>
          <w:szCs w:val="20"/>
          <w:color w:val="auto"/>
        </w:rPr>
      </w:pPr>
    </w:p>
    <w:p>
      <w:pPr>
        <w:ind w:left="500" w:right="160"/>
        <w:spacing w:after="0" w:line="266" w:lineRule="auto"/>
        <w:rPr>
          <w:sz w:val="20"/>
          <w:szCs w:val="20"/>
          <w:color w:val="auto"/>
        </w:rPr>
      </w:pPr>
      <w:r>
        <w:rPr>
          <w:rFonts w:ascii="Times New Roman" w:cs="Times New Roman" w:eastAsia="Times New Roman" w:hAnsi="Times New Roman"/>
          <w:sz w:val="18"/>
          <w:szCs w:val="18"/>
          <w:color w:val="auto"/>
        </w:rPr>
        <w:t>Certain investments are measured at fair value using the net asset value per share as a practical expedient. The fund seeks to invest in securities either issued or guaranteed by the U.S. government or its agencies. The Company’s investments can be redeemed daily at the closing net asset value per share. In accordance with ASU 2015-07, these investments have not been included in the fair value hierarchy.</w:t>
      </w:r>
    </w:p>
    <w:p>
      <w:pPr>
        <w:spacing w:after="0" w:line="174" w:lineRule="exact"/>
        <w:rPr>
          <w:sz w:val="20"/>
          <w:szCs w:val="20"/>
          <w:color w:val="auto"/>
        </w:rPr>
      </w:pPr>
    </w:p>
    <w:p>
      <w:pPr>
        <w:ind w:left="500"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The valuation of the Company’s interest rate swaps and caps are determined using widely accepted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82" w:lineRule="exact"/>
        <w:rPr>
          <w:sz w:val="20"/>
          <w:szCs w:val="20"/>
          <w:color w:val="auto"/>
        </w:rPr>
      </w:pPr>
    </w:p>
    <w:p>
      <w:pPr>
        <w:jc w:val="both"/>
        <w:ind w:left="500" w:right="340"/>
        <w:spacing w:after="0" w:line="266" w:lineRule="auto"/>
        <w:rPr>
          <w:sz w:val="20"/>
          <w:szCs w:val="20"/>
          <w:color w:val="auto"/>
        </w:rPr>
      </w:pPr>
      <w:r>
        <w:rPr>
          <w:rFonts w:ascii="Times New Roman" w:cs="Times New Roman" w:eastAsia="Times New Roman" w:hAnsi="Times New Roman"/>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15" w:lineRule="auto"/>
        <w:rPr>
          <w:sz w:val="20"/>
          <w:szCs w:val="20"/>
          <w:color w:val="auto"/>
        </w:rPr>
      </w:pPr>
      <w:r>
        <w:rPr>
          <w:rFonts w:ascii="Times New Roman" w:cs="Times New Roman" w:eastAsia="Times New Roman" w:hAnsi="Times New Roman"/>
          <w:sz w:val="17"/>
          <w:szCs w:val="17"/>
          <w:i w:val="1"/>
          <w:iCs w:val="1"/>
          <w:color w:val="auto"/>
        </w:rPr>
        <w:t>Collateral Dependent Impaired Loans</w:t>
      </w:r>
      <w:r>
        <w:rPr>
          <w:rFonts w:ascii="Times New Roman" w:cs="Times New Roman" w:eastAsia="Times New Roman" w:hAnsi="Times New Roman"/>
          <w:sz w:val="17"/>
          <w:szCs w:val="17"/>
          <w:color w:val="auto"/>
        </w:rPr>
        <w:t>- Valuations of impaired loans measured at fair value are determined by a review of collateral values.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used in appraisals are not always observable, and therefore impaired loans are generally categorized as Level 3 within the fair value hierarchy.</w:t>
      </w:r>
    </w:p>
    <w:p>
      <w:pPr>
        <w:spacing w:after="0" w:line="135"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Owned and Other Repossessed collateral </w:t>
      </w:r>
      <w:r>
        <w:rPr>
          <w:rFonts w:ascii="Times New Roman" w:cs="Times New Roman" w:eastAsia="Times New Roman" w:hAnsi="Times New Roman"/>
          <w:sz w:val="18"/>
          <w:szCs w:val="18"/>
          <w:color w:val="auto"/>
        </w:rPr>
        <w:t>- The fair values of real estate owned and other repossessed collateral are estimated based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74" w:lineRule="exact"/>
        <w:rPr>
          <w:sz w:val="20"/>
          <w:szCs w:val="20"/>
          <w:color w:val="auto"/>
        </w:rPr>
      </w:pPr>
    </w:p>
    <w:p>
      <w:pPr>
        <w:ind w:left="660" w:right="20" w:firstLine="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 servicing rights— </w:t>
      </w:r>
      <w:r>
        <w:rPr>
          <w:rFonts w:ascii="Times New Roman" w:cs="Times New Roman" w:eastAsia="Times New Roman" w:hAnsi="Times New Roman"/>
          <w:sz w:val="18"/>
          <w:szCs w:val="18"/>
          <w:color w:val="auto"/>
        </w:rPr>
        <w:t>The fair value of the SBA and mortgage servicing rights is based on a valuation model that calculates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25" w:lineRule="exact"/>
        <w:rPr>
          <w:sz w:val="20"/>
          <w:szCs w:val="20"/>
          <w:color w:val="auto"/>
        </w:rPr>
      </w:pPr>
    </w:p>
    <w:p>
      <w:pPr>
        <w:ind w:left="50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fair value of cash, due from banks, interest bearing deposits and FHLB overnight deposits approximates their relative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 values, as these financial instruments have short maturities.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FHLB stock </w:t>
      </w:r>
      <w:r>
        <w:rPr>
          <w:rFonts w:ascii="Times New Roman" w:cs="Times New Roman" w:eastAsia="Times New Roman" w:hAnsi="Times New Roman"/>
          <w:sz w:val="18"/>
          <w:szCs w:val="18"/>
          <w:color w:val="auto"/>
        </w:rPr>
        <w:t>- The carrying value of FHLB stock approximates fair value based on redemption provisions of the FHLB.</w:t>
      </w:r>
    </w:p>
    <w:p>
      <w:pPr>
        <w:spacing w:after="0" w:line="225" w:lineRule="exact"/>
        <w:rPr>
          <w:sz w:val="20"/>
          <w:szCs w:val="20"/>
          <w:color w:val="auto"/>
        </w:rPr>
      </w:pPr>
    </w:p>
    <w:p>
      <w:pPr>
        <w:ind w:left="500" w:right="440"/>
        <w:spacing w:after="0" w:line="261" w:lineRule="auto"/>
        <w:rPr>
          <w:sz w:val="20"/>
          <w:szCs w:val="20"/>
          <w:color w:val="auto"/>
        </w:rPr>
      </w:pP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Fair values are estimated for portfolios of loans with similar financial characteristics. The fair value of performing loans is calculated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receivable </w:t>
      </w:r>
      <w:r>
        <w:rPr>
          <w:rFonts w:ascii="Times New Roman" w:cs="Times New Roman" w:eastAsia="Times New Roman" w:hAnsi="Times New Roman"/>
          <w:sz w:val="18"/>
          <w:szCs w:val="18"/>
          <w:color w:val="auto"/>
        </w:rPr>
        <w:t>- The fair value of this financial instrument approximates the book value as this financial instrument has a short maturity. It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policy to stop accruing interest on loans past due by more than 90 days. Therefore, this financial instrument has been adjusted for estimated credit loss.</w:t>
      </w:r>
    </w:p>
    <w:p>
      <w:pPr>
        <w:spacing w:after="0" w:line="174" w:lineRule="exact"/>
        <w:rPr>
          <w:sz w:val="20"/>
          <w:szCs w:val="20"/>
          <w:color w:val="auto"/>
        </w:rPr>
      </w:pPr>
    </w:p>
    <w:p>
      <w:pPr>
        <w:ind w:left="500"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deposits with no stated maturity, such as noninterest-bearing demand deposits, savings, NOW accounts and money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0" w:lineRule="exact"/>
        <w:rPr>
          <w:sz w:val="20"/>
          <w:szCs w:val="20"/>
          <w:color w:val="auto"/>
        </w:rPr>
      </w:pPr>
    </w:p>
    <w:p>
      <w:pPr>
        <w:ind w:left="50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0" w:lineRule="exact"/>
        <w:rPr>
          <w:sz w:val="20"/>
          <w:szCs w:val="20"/>
          <w:color w:val="auto"/>
        </w:rPr>
      </w:pPr>
    </w:p>
    <w:p>
      <w:pPr>
        <w:ind w:left="500" w:right="280"/>
        <w:spacing w:after="0" w:line="267" w:lineRule="auto"/>
        <w:rPr>
          <w:sz w:val="20"/>
          <w:szCs w:val="20"/>
          <w:color w:val="auto"/>
        </w:rPr>
      </w:pPr>
      <w:r>
        <w:rPr>
          <w:rFonts w:ascii="Times New Roman" w:cs="Times New Roman" w:eastAsia="Times New Roman" w:hAnsi="Times New Roman"/>
          <w:sz w:val="18"/>
          <w:szCs w:val="18"/>
          <w:i w:val="1"/>
          <w:iCs w:val="1"/>
          <w:color w:val="auto"/>
        </w:rPr>
        <w:t>Off-Balance Sheet Credit-Related Instruments -</w:t>
      </w:r>
      <w:r>
        <w:rPr>
          <w:rFonts w:ascii="Times New Roman" w:cs="Times New Roman" w:eastAsia="Times New Roman" w:hAnsi="Times New Roman"/>
          <w:sz w:val="18"/>
          <w:szCs w:val="18"/>
          <w:color w:val="auto"/>
        </w:rPr>
        <w:t>Fair values for off-balance-sheet, credit-related financial instruments are based on fees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December 31, 2015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4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3"/>
              </w:rPr>
              <w:t>Assets</w:t>
            </w:r>
          </w:p>
        </w:tc>
        <w:tc>
          <w:tcPr>
            <w:tcW w:w="484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gridSpan w:val="5"/>
            <w:shd w:val="clear" w:color="auto" w:fill="CCEEFF"/>
          </w:tcPr>
          <w:p>
            <w:pPr>
              <w:jc w:val="center"/>
              <w:ind w:right="400"/>
              <w:spacing w:after="0" w:line="170" w:lineRule="exact"/>
              <w:rPr>
                <w:sz w:val="20"/>
                <w:szCs w:val="20"/>
                <w:color w:val="auto"/>
              </w:rPr>
            </w:pPr>
            <w:r>
              <w:rPr>
                <w:rFonts w:ascii="Times New Roman" w:cs="Times New Roman" w:eastAsia="Times New Roman" w:hAnsi="Times New Roman"/>
                <w:sz w:val="18"/>
                <w:szCs w:val="18"/>
                <w:color w:val="auto"/>
                <w:w w:val="99"/>
              </w:rPr>
              <w:t>(Dollars in thousands)</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51,495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47,842</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investments measured at net asset value</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 – interest rate swaps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June 30, 2015</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4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3"/>
              </w:rPr>
              <w:t>Assets</w:t>
            </w:r>
          </w:p>
        </w:tc>
        <w:tc>
          <w:tcPr>
            <w:tcW w:w="484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gridSpan w:val="5"/>
            <w:shd w:val="clear" w:color="auto" w:fill="CCEEFF"/>
          </w:tcPr>
          <w:p>
            <w:pPr>
              <w:jc w:val="center"/>
              <w:ind w:right="400"/>
              <w:spacing w:after="0" w:line="170" w:lineRule="exact"/>
              <w:rPr>
                <w:sz w:val="20"/>
                <w:szCs w:val="20"/>
                <w:color w:val="auto"/>
              </w:rPr>
            </w:pPr>
            <w:r>
              <w:rPr>
                <w:rFonts w:ascii="Times New Roman" w:cs="Times New Roman" w:eastAsia="Times New Roman" w:hAnsi="Times New Roman"/>
                <w:sz w:val="18"/>
                <w:szCs w:val="18"/>
                <w:color w:val="auto"/>
                <w:w w:val="99"/>
              </w:rPr>
              <w:t>(Dollars in thousands)</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48,230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investments measured at net asset value</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right="600" w:hanging="328"/>
        <w:spacing w:after="0" w:line="210" w:lineRule="auto"/>
        <w:tabs>
          <w:tab w:leader="none" w:pos="66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color w:val="auto"/>
              </w:rPr>
              <w:t>December 31, 2015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1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r>
      <w:tr>
        <w:trPr>
          <w:trHeight w:val="486"/>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color w:val="auto"/>
              </w:rPr>
              <w:t>June 30, 2015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1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presents quantitative information about significant unobservable inputs (Level 3) for assets measured at fair value on a nonrecurring basis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91"/>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340" w:type="dxa"/>
            <w:vAlign w:val="bottom"/>
          </w:tcPr>
          <w:p>
            <w:pPr>
              <w:spacing w:after="0"/>
              <w:rPr>
                <w:sz w:val="16"/>
                <w:szCs w:val="16"/>
                <w:color w:val="auto"/>
              </w:rPr>
            </w:pPr>
          </w:p>
        </w:tc>
        <w:tc>
          <w:tcPr>
            <w:tcW w:w="11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4"/>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(Dollars in thousands)</w:t>
            </w:r>
          </w:p>
        </w:tc>
        <w:tc>
          <w:tcPr>
            <w:tcW w:w="34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impaired loans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34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Appraisal of collateral</w:t>
            </w:r>
            <w:r>
              <w:rPr>
                <w:rFonts w:ascii="Times New Roman" w:cs="Times New Roman" w:eastAsia="Times New Roman" w:hAnsi="Times New Roman"/>
                <w:sz w:val="25"/>
                <w:szCs w:val="25"/>
                <w:color w:val="auto"/>
                <w:vertAlign w:val="superscript"/>
              </w:rPr>
              <w:t>(1)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1,238</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1,651</w:t>
            </w:r>
          </w:p>
        </w:tc>
        <w:tc>
          <w:tcPr>
            <w:tcW w:w="34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Appraisal of collateral</w:t>
            </w:r>
            <w:r>
              <w:rPr>
                <w:rFonts w:ascii="Times New Roman" w:cs="Times New Roman" w:eastAsia="Times New Roman" w:hAnsi="Times New Roman"/>
                <w:sz w:val="25"/>
                <w:szCs w:val="25"/>
                <w:color w:val="auto"/>
                <w:vertAlign w:val="superscript"/>
              </w:rPr>
              <w:t>(1)</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1,123</w:t>
            </w:r>
          </w:p>
        </w:tc>
        <w:tc>
          <w:tcPr>
            <w:tcW w:w="34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Discounted cash flow</w:t>
            </w:r>
            <w:r>
              <w:rPr>
                <w:rFonts w:ascii="Times New Roman" w:cs="Times New Roman" w:eastAsia="Times New Roman" w:hAnsi="Times New Roman"/>
                <w:sz w:val="25"/>
                <w:szCs w:val="25"/>
                <w:color w:val="auto"/>
                <w:vertAlign w:val="superscript"/>
              </w:rPr>
              <w:t>(2)</w:t>
            </w:r>
          </w:p>
        </w:tc>
      </w:tr>
    </w:tbl>
    <w:p>
      <w:pPr>
        <w:spacing w:after="0" w:line="198" w:lineRule="exact"/>
        <w:rPr>
          <w:sz w:val="20"/>
          <w:szCs w:val="20"/>
          <w:color w:val="auto"/>
        </w:rPr>
      </w:pPr>
    </w:p>
    <w:p>
      <w:pPr>
        <w:ind w:right="140" w:firstLine="8"/>
        <w:spacing w:after="0" w:line="257"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6% to 60%.</w:t>
      </w:r>
    </w:p>
    <w:p>
      <w:pPr>
        <w:spacing w:after="0" w:line="1" w:lineRule="exact"/>
        <w:rPr>
          <w:rFonts w:ascii="Times New Roman" w:cs="Times New Roman" w:eastAsia="Times New Roman" w:hAnsi="Times New Roman"/>
          <w:sz w:val="18"/>
          <w:szCs w:val="18"/>
          <w:color w:val="auto"/>
        </w:rPr>
      </w:pPr>
    </w:p>
    <w:p>
      <w:pPr>
        <w:ind w:right="300" w:firstLine="8"/>
        <w:spacing w:after="0" w:line="26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a discounted cash flow model. The unobservable inputs include anticipated rate of loan prepayments and discount rates. The range of prepayment assumptions used was 7.2% to 12.4%. For discount rates, the range was 7.5% to 13.2%.</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gridSpan w:val="1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Fair Value Measurements at 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Financial assets:</w:t>
            </w:r>
          </w:p>
        </w:tc>
        <w:tc>
          <w:tcPr>
            <w:tcW w:w="32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66,363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66,363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99,337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99,337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Other investments measured at net asset value</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5,002</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7,592</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7,592</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678,030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1,478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3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726,766</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727,135</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727,135</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30,579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30,579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9,258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0"/>
          </w:tcPr>
          <w:p>
            <w:pPr>
              <w:jc w:val="center"/>
              <w:ind w:left="590"/>
              <w:spacing w:after="0"/>
              <w:rPr>
                <w:sz w:val="20"/>
                <w:szCs w:val="20"/>
                <w:color w:val="auto"/>
              </w:rPr>
            </w:pPr>
            <w:r>
              <w:rPr>
                <w:rFonts w:ascii="Times New Roman" w:cs="Times New Roman" w:eastAsia="Times New Roman" w:hAnsi="Times New Roman"/>
                <w:sz w:val="18"/>
                <w:szCs w:val="18"/>
                <w:color w:val="auto"/>
                <w:w w:val="99"/>
              </w:rPr>
              <w:t>Fair Value Measurements at June 30,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Financial assets:</w:t>
            </w:r>
          </w:p>
        </w:tc>
        <w:tc>
          <w:tcPr>
            <w:tcW w:w="32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89,850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89,850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101,908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101,908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Other investments measured at net asset value</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9,035</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9,035</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613,896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3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674,759</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675,285</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675,285</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30,867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10,098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1,448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8,471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20" w:hanging="328"/>
        <w:spacing w:after="0" w:line="210" w:lineRule="auto"/>
        <w:tabs>
          <w:tab w:leader="none" w:pos="66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sz w:val="20"/>
          <w:szCs w:val="20"/>
          <w:color w:val="auto"/>
        </w:rPr>
      </w:pPr>
    </w:p>
    <w:p>
      <w:pPr>
        <w:spacing w:after="0" w:line="2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11" w:right="81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notes and tables included in Northeast Bancorp’s Annual Report on Form 10-K for the fiscal year ended June 30, 2015, filed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Note about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of the company's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2015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and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Overview</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to the merger, which represents an acquisition by FHB of Northeast, with Northeast as the surviving company.</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December 31, 2015 follow: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Ratios as of</w:t>
            </w:r>
          </w:p>
        </w:tc>
      </w:tr>
      <w:tr>
        <w:trPr>
          <w:trHeight w:val="234"/>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Condition</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2015</w:t>
            </w:r>
          </w:p>
        </w:tc>
        <w:tc>
          <w:tcPr>
            <w:tcW w:w="160" w:type="dxa"/>
            <w:vAlign w:val="bottom"/>
          </w:tcPr>
          <w:p>
            <w:pPr>
              <w:spacing w:after="0"/>
              <w:rPr>
                <w:sz w:val="20"/>
                <w:szCs w:val="20"/>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(ii) Total capital ratio</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Ratio of purchased loans to total loans, including loans held for sale</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(iv) Ratio of loans to core deposits (1)</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94.37%</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 Ratio of commercial real estate loans to total risk-based capital (2)</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w:t>
            </w:r>
          </w:p>
        </w:tc>
      </w:tr>
    </w:tbl>
    <w:p>
      <w:pPr>
        <w:spacing w:after="0" w:line="252"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deposits include all non-maturity deposits and maturity deposits less than $250 thousand</w:t>
      </w:r>
    </w:p>
    <w:p>
      <w:pPr>
        <w:spacing w:after="0" w:line="27" w:lineRule="exact"/>
        <w:rPr>
          <w:rFonts w:ascii="Times New Roman" w:cs="Times New Roman" w:eastAsia="Times New Roman" w:hAnsi="Times New Roman"/>
          <w:sz w:val="18"/>
          <w:szCs w:val="18"/>
          <w:color w:val="auto"/>
        </w:rPr>
      </w:pPr>
    </w:p>
    <w:p>
      <w:pPr>
        <w:ind w:right="16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ectPr>
          <w:pgSz w:w="11900" w:h="16838" w:orient="portrait"/>
          <w:cols w:equalWidth="0" w:num="1">
            <w:col w:w="11420"/>
          </w:cols>
          <w:pgMar w:left="240" w:top="111" w:right="239" w:bottom="455"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455" w:gutter="0" w:footer="0" w:header="0"/>
          <w:type w:val="continuous"/>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December 31, 2015, the Company, on a consolidated basis, had total assets of $894.1 million, total deposits of $726.8 million, and shareholders’ equity of $114.6 million. The Company gathers retail deposits through its banking offices in Maine and the Bank's online affinity deposit program, ableBanking; originates loans through the Bank’s Community Banking Division; originates Small Business Administration (“SBA”) loans through the Bank’s SBA National group (“SBA National”); and purchases and originates commercial loans through the Bank’s Loan Acquisition and Servicing Group (“LASG”). The Community Banking Division, with ten full-service branches and two loan production offices, operates from the Bank’s headquarters in Lewiston, Maine. LASG, ableBanking, and SBA National operate from the Company's offices in Boston, Massachusetts.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herein to the Company include the Company and its subsidiary on a consolidated basis.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goal is to prudently grow its franchise, while maintaining sound operations and risk management, by implementing the following strategies:</w:t>
      </w:r>
    </w:p>
    <w:p>
      <w:pPr>
        <w:spacing w:after="0" w:line="22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Continuing our community banking tradition. </w:t>
      </w:r>
      <w:r>
        <w:rPr>
          <w:rFonts w:ascii="Times New Roman" w:cs="Times New Roman" w:eastAsia="Times New Roman" w:hAnsi="Times New Roman"/>
          <w:sz w:val="18"/>
          <w:szCs w:val="18"/>
          <w:color w:val="auto"/>
        </w:rPr>
        <w:t>With a history that dates to 1872, our Community Banking Division maintains its focus on sales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goal of attracting and retaining deposits, and serving the lending needs of retail and commercial customers within our core markets.</w:t>
      </w:r>
    </w:p>
    <w:p>
      <w:pPr>
        <w:spacing w:after="0" w:line="158"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Growing LASG’s national originated and purchased loan business. </w:t>
      </w:r>
      <w:r>
        <w:rPr>
          <w:rFonts w:ascii="Times New Roman" w:cs="Times New Roman" w:eastAsia="Times New Roman" w:hAnsi="Times New Roman"/>
          <w:sz w:val="18"/>
          <w:szCs w:val="18"/>
          <w:color w:val="auto"/>
        </w:rPr>
        <w:t>We purchase commercial real estate loans nationally, at prices that on average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yields significantly higher than those available on our originated loan portfolio. We also originate loans nationally, taking advantage of our core expertise in underwriting and servicing national credits.</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Growing our national SBA origination business. </w:t>
      </w:r>
      <w:r>
        <w:rPr>
          <w:rFonts w:ascii="Times New Roman" w:cs="Times New Roman" w:eastAsia="Times New Roman" w:hAnsi="Times New Roman"/>
          <w:sz w:val="18"/>
          <w:szCs w:val="18"/>
          <w:color w:val="auto"/>
        </w:rPr>
        <w:t>We originate loans on a national basis to small businesses, primarily through the SBA 7(a) program,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the partial guarantee of the SBA.</w:t>
      </w:r>
    </w:p>
    <w:p>
      <w:pPr>
        <w:spacing w:after="0" w:line="158"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Generating deposits to fund our business. </w:t>
      </w:r>
      <w:r>
        <w:rPr>
          <w:rFonts w:ascii="Times New Roman" w:cs="Times New Roman" w:eastAsia="Times New Roman" w:hAnsi="Times New Roman"/>
          <w:sz w:val="18"/>
          <w:szCs w:val="18"/>
          <w:color w:val="auto"/>
        </w:rPr>
        <w:t>We offer a full line of deposit products through our ten-branch network located in the Community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Division’s market. ableBanking is a direct savings platform providing an additional channel to raise core deposits to fund our asset strategy.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2015 to gain a better understanding of how Northeast’s financial performance is measured and reported. There has been no material change in critical accounting policies during the three months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income was $1.7 million, or $0.18 per diluted common share, for the quarter ended December 31, 2015, compared to $1.6 million, or $0.16 per diluted common share, for the quarter ended December 31, 2014.</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was $3.6 million, or $0.38 per diluted common share, for the six months ended December 31, 2015, compared to $3.2 million, or $0.32 per diluted common share, for the six months ended December 31, 2014.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interest and dividend income before provision increased by $746 thousand, or 7.9%, to $10.2 million for the quarter ended December 31, 2015 compared to the quarter ended December 31, 2014. The increase is primarily due to higher loan volume and interest income in the originated loan portfolio.</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Noninterest income increased by $254 thousand for the quarter ended December 31, 2015, compared to the quarter ended December 31, 2014, principally due to an increase in gains realized on sale of portfolio loans. The recent quarter includes gains realized on sale of SBA loans of $679 thousand, compared to $445 thousand in the quarter ended December 31, 2014.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Noninterest expense decreased by $14 thousand for the quarter ended December 31, 2015, compared to the quarter ended December 31, 2014, principally due to the following:</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$194 thousand in loan acquisition and collections expense related to lower collection expense on purchased loans;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$194 thousand in professional fees, primarily due to fees for temporary consulting services recognized in the three months ended December 31, 2014;</w:t>
      </w:r>
    </w:p>
    <w:p>
      <w:pPr>
        <w:ind w:left="660" w:right="4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$117 thousand in salaries and employee benefits primarily due to the accelerated vesting of the former Chief Operating Officer’s shares and an increase in headcount during the three months ended December 31, 2015;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$139 thousand in occupancy and equipment expense, due to increases in rent and IT-related equipment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Total assets increased by $43.4 million, or 5.1%, to $894.1 million at December 31, 2015, compared to June 30, 2015. The principal components of the change in the balance sheet were as follows:</w:t>
      </w:r>
    </w:p>
    <w:p>
      <w:pPr>
        <w:spacing w:after="0" w:line="162" w:lineRule="exact"/>
        <w:rPr>
          <w:sz w:val="20"/>
          <w:szCs w:val="20"/>
          <w:color w:val="auto"/>
        </w:rPr>
      </w:pPr>
    </w:p>
    <w:p>
      <w:pPr>
        <w:ind w:left="660" w:right="2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portfolio – excluding loans held for sale – grew by $67.3 million, or 11.0%, compared to June 30, 2015, principally on the strength of $60.9 million of net growth in commercial loans purchased or originated by the LASG, net growth of $13.2 million in originations by SBA National and net growth of $4.8 million in commercial originations by the Bank’s Community Banking Division. This net growth was offset by a $11.6 million decrease in the Bank’s Community Banking Division residential and consumer loan portfolio.</w:t>
      </w:r>
    </w:p>
    <w:p>
      <w:pPr>
        <w:spacing w:after="0" w:line="180" w:lineRule="exact"/>
        <w:rPr>
          <w:rFonts w:ascii="Times New Roman" w:cs="Times New Roman" w:eastAsia="Times New Roman" w:hAnsi="Times New Roman"/>
          <w:sz w:val="18"/>
          <w:szCs w:val="18"/>
          <w:color w:val="auto"/>
        </w:rPr>
      </w:pPr>
    </w:p>
    <w:p>
      <w:pPr>
        <w:ind w:left="6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generated by the LASG totaled $75.4 million for the quarter ended December 31, 2015. The growth in LASG loans consisted of $35.9 million of purchased loans, at an average price of 89.3% of unpaid principal balance, and $39.5 million of originated loans. SBA loans closed during the quarter totaled $16.3 million, of which $14.5 million were fully funded in the quarter. In addition, the Company sold $7.5 million of the guaranteed portion of SBA loans in the secondary market, of which $4.7 million were originated in the current quarter and $2.8 million were originated in the prior quarter. Residential loan production sold in the secondary market totaled $20.5 million for the quarter.</w:t>
      </w:r>
    </w:p>
    <w:p>
      <w:pPr>
        <w:spacing w:after="0" w:line="181" w:lineRule="exact"/>
        <w:rPr>
          <w:rFonts w:ascii="Times New Roman" w:cs="Times New Roman" w:eastAsia="Times New Roman" w:hAnsi="Times New Roman"/>
          <w:sz w:val="18"/>
          <w:szCs w:val="18"/>
          <w:color w:val="auto"/>
        </w:rPr>
      </w:pPr>
    </w:p>
    <w:p>
      <w:pPr>
        <w:ind w:left="660" w:right="30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in the “</w:t>
      </w: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section,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Basis for</w:t>
            </w:r>
          </w:p>
        </w:tc>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Regulatory Condition</w:t>
            </w: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Condition</w:t>
            </w:r>
          </w:p>
        </w:tc>
        <w:tc>
          <w:tcPr>
            <w:tcW w:w="380" w:type="dxa"/>
            <w:vAlign w:val="bottom"/>
          </w:tcPr>
          <w:p>
            <w:pPr>
              <w:spacing w:after="0"/>
              <w:rPr>
                <w:sz w:val="20"/>
                <w:szCs w:val="20"/>
                <w:color w:val="auto"/>
              </w:rPr>
            </w:pPr>
          </w:p>
        </w:tc>
        <w:tc>
          <w:tcPr>
            <w:tcW w:w="2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Availability at December 31, 2015</w:t>
            </w:r>
          </w:p>
        </w:tc>
      </w:tr>
      <w:tr>
        <w:trPr>
          <w:trHeight w:val="210"/>
        </w:trPr>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(Dollars in millions)</w:t>
            </w:r>
          </w:p>
        </w:tc>
        <w:tc>
          <w:tcPr>
            <w:tcW w:w="2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loans may not exceed 40% of total loans</w:t>
            </w: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Regulatory Capital</w:t>
            </w:r>
          </w:p>
        </w:tc>
        <w:tc>
          <w:tcPr>
            <w:tcW w:w="240" w:type="dxa"/>
            <w:vAlign w:val="bottom"/>
          </w:tcPr>
          <w:p>
            <w:pPr>
              <w:spacing w:after="0"/>
              <w:rPr>
                <w:sz w:val="17"/>
                <w:szCs w:val="17"/>
                <w:color w:val="auto"/>
              </w:rPr>
            </w:pP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Non-owner occupied commercial real estate loans may not exceed</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300% of total capital</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the Bank’s LASG portfolio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LASG Portfolio</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Secured</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Secured</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to</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Loans to</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w:t>
            </w:r>
          </w:p>
        </w:tc>
        <w:tc>
          <w:tcPr>
            <w:tcW w:w="420" w:type="dxa"/>
            <w:vAlign w:val="bottom"/>
          </w:tcPr>
          <w:p>
            <w:pPr>
              <w:spacing w:after="0"/>
              <w:rPr>
                <w:sz w:val="18"/>
                <w:szCs w:val="18"/>
                <w:color w:val="auto"/>
              </w:rPr>
            </w:pPr>
          </w:p>
        </w:tc>
        <w:tc>
          <w:tcPr>
            <w:tcW w:w="10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Broker-</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Purchased</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Originated</w:t>
            </w:r>
          </w:p>
        </w:tc>
        <w:tc>
          <w:tcPr>
            <w:tcW w:w="2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Dealers</w:t>
            </w:r>
          </w:p>
        </w:tc>
        <w:tc>
          <w:tcPr>
            <w:tcW w:w="420" w:type="dxa"/>
            <w:vAlign w:val="bottom"/>
          </w:tcPr>
          <w:p>
            <w:pPr>
              <w:spacing w:after="0"/>
              <w:rPr>
                <w:sz w:val="20"/>
                <w:szCs w:val="20"/>
                <w:color w:val="auto"/>
              </w:rPr>
            </w:pPr>
          </w:p>
        </w:tc>
        <w:tc>
          <w:tcPr>
            <w:tcW w:w="10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LASG</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Purchased</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Originated</w:t>
            </w:r>
          </w:p>
        </w:tc>
        <w:tc>
          <w:tcPr>
            <w:tcW w:w="240" w:type="dxa"/>
            <w:vAlign w:val="bottom"/>
          </w:tcPr>
          <w:p>
            <w:pPr>
              <w:spacing w:after="0"/>
              <w:rPr>
                <w:sz w:val="20"/>
                <w:szCs w:val="20"/>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Dealers</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Total LASG</w:t>
            </w:r>
          </w:p>
        </w:tc>
      </w:tr>
      <w:tr>
        <w:trPr>
          <w:trHeight w:val="210"/>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5"/>
              </w:rPr>
              <w:t>in</w:t>
            </w: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Loans purchased or</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originated during the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principal balance</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40,145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79,657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46,307</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28,579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74,886</w:t>
            </w:r>
          </w:p>
        </w:tc>
      </w:tr>
      <w:tr>
        <w:trPr>
          <w:trHeight w:val="216"/>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basis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35,855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75,367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39,667</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28,579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68,246</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returns during the</w:t>
            </w:r>
          </w:p>
        </w:tc>
        <w:tc>
          <w:tcPr>
            <w:tcW w:w="1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Yield</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12.74%</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5.69%</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0.50%</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13.27%</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6.67%</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Return (1)</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12.74%</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5.69%</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0.50%</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13.72%</w:t>
            </w: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7.68%</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bl>
    <w:p>
      <w:pPr>
        <w:spacing w:after="0" w:line="200" w:lineRule="exact"/>
        <w:rPr>
          <w:sz w:val="20"/>
          <w:szCs w:val="20"/>
          <w:color w:val="auto"/>
        </w:rPr>
      </w:pPr>
    </w:p>
    <w:p>
      <w:pPr>
        <w:sectPr>
          <w:pgSz w:w="11900" w:h="16838" w:orient="portrait"/>
          <w:cols w:equalWidth="0" w:num="1">
            <w:col w:w="11420"/>
          </w:cols>
          <w:pgMar w:left="240" w:top="11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Secured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to</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Purchased</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Originated</w:t>
            </w:r>
          </w:p>
        </w:tc>
        <w:tc>
          <w:tcPr>
            <w:tcW w:w="16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Dealers</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LASG</w:t>
            </w:r>
          </w:p>
        </w:tc>
        <w:tc>
          <w:tcPr>
            <w:tcW w:w="60" w:type="dxa"/>
            <w:vAlign w:val="bottom"/>
          </w:tcPr>
          <w:p>
            <w:pPr>
              <w:spacing w:after="0"/>
              <w:rPr>
                <w:sz w:val="20"/>
                <w:szCs w:val="20"/>
                <w:color w:val="auto"/>
              </w:rPr>
            </w:pP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Purchased</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Originated</w:t>
            </w:r>
          </w:p>
        </w:tc>
        <w:tc>
          <w:tcPr>
            <w:tcW w:w="18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Dealers</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Loans purchased or</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during the period: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63,728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114,635</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62,425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32,915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36,000</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basis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59,311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50,907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110,218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52,834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32,915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 returns during the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Yield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Return (1)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Total loans as of period end: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258,049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155,646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473,695</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262,445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78,620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48,000</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389,065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basis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226,014</w:t>
            </w:r>
          </w:p>
        </w:tc>
        <w:tc>
          <w:tcPr>
            <w:tcW w:w="2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155,728</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60,002</w:t>
            </w:r>
          </w:p>
        </w:tc>
        <w:tc>
          <w:tcPr>
            <w:tcW w:w="24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441,744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220,391</w:t>
            </w:r>
          </w:p>
        </w:tc>
        <w:tc>
          <w:tcPr>
            <w:tcW w:w="30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78,563</w:t>
            </w:r>
          </w:p>
        </w:tc>
        <w:tc>
          <w:tcPr>
            <w:tcW w:w="18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48,000</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346,954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2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Short-term Investments and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short-term investments were $66.4 million as of December 31, 2015, a decrease of $23.5 million, or 26.1%, from $89.9 million at June 30,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primarily due to loan purchases for the quarter, offset by growth in the Bank’s deposit balances.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Available-for-sale securities totaled $104.3 million as of December 31, 2015 as compared to $101.9 million as of June 30, 2015, representing an increase of $2.4 million, or 2.4%. Included in available-for-sale securities are securities issued by government agencies and government-sponsored enterprises, as well as an investment of approximately $5.0 million in a CRA qualified fund that seeks to invest in securities either issued or guaranteed by the U.S. government or its agencies. At December 31, 2015, securities with a fair value of $3.0 million were pledged for outstanding borrowings.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2015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Banking</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LASG</w:t>
            </w:r>
          </w:p>
        </w:tc>
        <w:tc>
          <w:tcPr>
            <w:tcW w:w="180" w:type="dxa"/>
            <w:vAlign w:val="bottom"/>
          </w:tcPr>
          <w:p>
            <w:pPr>
              <w:spacing w:after="0"/>
              <w:rPr>
                <w:sz w:val="9"/>
                <w:szCs w:val="9"/>
                <w:color w:val="auto"/>
              </w:rPr>
            </w:pPr>
          </w:p>
        </w:tc>
        <w:tc>
          <w:tcPr>
            <w:tcW w:w="13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SBA National</w:t>
            </w:r>
          </w:p>
        </w:tc>
        <w:tc>
          <w:tcPr>
            <w:tcW w:w="220" w:type="dxa"/>
            <w:vAlign w:val="bottom"/>
          </w:tcPr>
          <w:p>
            <w:pPr>
              <w:spacing w:after="0"/>
              <w:rPr>
                <w:sz w:val="9"/>
                <w:szCs w:val="9"/>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Division</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4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jc w:val="center"/>
              <w:ind w:right="2690"/>
              <w:spacing w:after="0"/>
              <w:rPr>
                <w:sz w:val="20"/>
                <w:szCs w:val="20"/>
                <w:color w:val="auto"/>
              </w:rPr>
            </w:pPr>
            <w:r>
              <w:rPr>
                <w:rFonts w:ascii="Times New Roman" w:cs="Times New Roman" w:eastAsia="Times New Roman" w:hAnsi="Times New Roman"/>
                <w:sz w:val="18"/>
                <w:szCs w:val="18"/>
                <w:color w:val="auto"/>
              </w:rPr>
              <w:t>Originated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99,177</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99,312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111,993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19,979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65,948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148,932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25,825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453,422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jc w:val="center"/>
              <w:ind w:right="2730"/>
              <w:spacing w:after="0"/>
              <w:rPr>
                <w:sz w:val="20"/>
                <w:szCs w:val="20"/>
                <w:color w:val="auto"/>
              </w:rPr>
            </w:pPr>
            <w:r>
              <w:rPr>
                <w:rFonts w:ascii="Times New Roman" w:cs="Times New Roman" w:eastAsia="Times New Roman" w:hAnsi="Times New Roman"/>
                <w:sz w:val="18"/>
                <w:szCs w:val="18"/>
                <w:color w:val="auto"/>
              </w:rPr>
              <w:t>Purchased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147,835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75,299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226,014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226,014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441,744</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679,436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157"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157" w:gutter="0" w:footer="0" w:header="0"/>
          <w:type w:val="continuous"/>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2015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LASG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SBA National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r>
      <w:tr>
        <w:trPr>
          <w:trHeight w:val="426"/>
        </w:trPr>
        <w:tc>
          <w:tcPr>
            <w:tcW w:w="4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7"/>
          </w:tcPr>
          <w:p>
            <w:pPr>
              <w:jc w:val="center"/>
              <w:ind w:left="59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040" w:type="dxa"/>
            <w:vAlign w:val="bottom"/>
            <w:shd w:val="clear" w:color="auto" w:fill="CCEEFF"/>
          </w:tcPr>
          <w:p>
            <w:pPr>
              <w:jc w:val="center"/>
              <w:ind w:right="2690"/>
              <w:spacing w:after="0"/>
              <w:rPr>
                <w:sz w:val="20"/>
                <w:szCs w:val="20"/>
                <w:color w:val="auto"/>
              </w:rPr>
            </w:pPr>
            <w:r>
              <w:rPr>
                <w:rFonts w:ascii="Times New Roman" w:cs="Times New Roman" w:eastAsia="Times New Roman" w:hAnsi="Times New Roman"/>
                <w:sz w:val="18"/>
                <w:szCs w:val="18"/>
                <w:color w:val="auto"/>
              </w:rPr>
              <w:t>Originated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106,138</w:t>
            </w:r>
          </w:p>
        </w:tc>
        <w:tc>
          <w:tcPr>
            <w:tcW w:w="100" w:type="dxa"/>
            <w:vAlign w:val="bottom"/>
          </w:tcPr>
          <w:p>
            <w:pPr>
              <w:spacing w:after="0"/>
              <w:rPr>
                <w:sz w:val="18"/>
                <w:szCs w:val="18"/>
                <w:color w:val="auto"/>
              </w:rPr>
            </w:pP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106,275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24,326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105,849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42,625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108,577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122,811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7,659</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409,545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66.90%</w:t>
            </w:r>
          </w:p>
        </w:tc>
      </w:tr>
      <w:tr>
        <w:trPr>
          <w:trHeight w:val="216"/>
        </w:trPr>
        <w:tc>
          <w:tcPr>
            <w:tcW w:w="4040" w:type="dxa"/>
            <w:vAlign w:val="bottom"/>
            <w:shd w:val="clear" w:color="auto" w:fill="CCEEFF"/>
          </w:tcPr>
          <w:p>
            <w:pPr>
              <w:jc w:val="center"/>
              <w:ind w:right="2730"/>
              <w:spacing w:after="0"/>
              <w:rPr>
                <w:sz w:val="20"/>
                <w:szCs w:val="20"/>
                <w:color w:val="auto"/>
              </w:rPr>
            </w:pPr>
            <w:r>
              <w:rPr>
                <w:rFonts w:ascii="Times New Roman" w:cs="Times New Roman" w:eastAsia="Times New Roman" w:hAnsi="Times New Roman"/>
                <w:sz w:val="18"/>
                <w:szCs w:val="18"/>
                <w:color w:val="auto"/>
              </w:rPr>
              <w:t>Purchased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128,182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72,069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202,592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33.10%</w:t>
            </w:r>
          </w:p>
        </w:tc>
      </w:tr>
      <w:tr>
        <w:trPr>
          <w:trHeight w:val="250"/>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Assets</w:t>
      </w:r>
    </w:p>
    <w:p>
      <w:pPr>
        <w:spacing w:after="0" w:line="2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Loans are classified as non-performing when 90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4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Company's nonperforming assets and other credit quality indicators as of December 31, 2015 and June 30, 2015. Management believes that, based on their carrying amounts, nonperforming assets are well secured based on the estimated fair value of underlying collateral.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2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color w:val="auto"/>
              </w:rPr>
              <w:t>Non-Performing Assets at 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Purchased</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(Dollars in thousands)</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2,221</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nonperforming loans to total loans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Ratio of nonperforming assets to total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loans past due to total loans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that are current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loans risk rated substandard or worse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accrual status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nonaccrual status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1" w:right="239" w:bottom="239"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239" w:gutter="0" w:footer="0" w:header="0"/>
          <w:type w:val="continuous"/>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w w:val="99"/>
              </w:rPr>
              <w:t>Non-Performing Assets at June 30, 2015</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Originated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Purchased</w:t>
            </w:r>
          </w:p>
        </w:tc>
        <w:tc>
          <w:tcPr>
            <w:tcW w:w="540" w:type="dxa"/>
            <w:vAlign w:val="bottom"/>
          </w:tcPr>
          <w:p>
            <w:pPr>
              <w:spacing w:after="0"/>
              <w:rPr>
                <w:sz w:val="18"/>
                <w:szCs w:val="18"/>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(Dollars in thousands)</w:t>
            </w: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6,532</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nonperforming loans to total loans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Ratio of nonperforming assets to total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loans past due to total loans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that are current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loans risk rated substandard or worse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accrual status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Nonaccrual status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At December 31, 2015, nonperforming assets totaled $7.3 million, or 0.82% of total assets, as compared to $12.4 million, or 1.5% of total assets, at June 30,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allowance for loan losses was $2.1 million as of December 31, 2015, which represents an increase of $203 thousand from $1.9 million as of June 30, 2015. The increase during the period was principally due to two loans which were provided for in the current quarter and an increased volume of newly originated loans, offset by charge-offs.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December 31, 2015</w:t>
            </w:r>
          </w:p>
        </w:tc>
        <w:tc>
          <w:tcPr>
            <w:tcW w:w="2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2015</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2014</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to nonperforming loans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34.90%</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to total loans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0.31%</w:t>
            </w:r>
          </w:p>
        </w:tc>
        <w:tc>
          <w:tcPr>
            <w:tcW w:w="18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0.31%</w:t>
            </w:r>
          </w:p>
        </w:tc>
        <w:tc>
          <w:tcPr>
            <w:tcW w:w="22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0.29%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 months of net-charge offs to average loans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18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0.03%</w:t>
            </w:r>
          </w:p>
        </w:tc>
        <w:tc>
          <w:tcPr>
            <w:tcW w:w="22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0.08%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cash surrender value of the Company’s bank-owned life insurance (“BOLI”) assets increased $224 thousand, or 1.5% to $15.5 million at December 31, 2015, compared to $15.3 million at June 30, 2015.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12.3% of the Company’s total capital at December 31, 2015.</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Intangible assets totaled $1.9 million and $2.2 million at December 31, 2015 and June 30, 2015, respectively. The $262 thousand decrease was the result of core deposit intangible asset amortization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 Borrowed Funds, Liquidity, Capital, and Stock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principal source of funding is its core deposit accounts. At December 31, 2015, non-maturity accounts, and certificates of deposit with balances less than $250 thousand represented 99.9% of total deposits.</w:t>
      </w:r>
    </w:p>
    <w:p>
      <w:pPr>
        <w:sectPr>
          <w:pgSz w:w="11900" w:h="16838" w:orient="portrait"/>
          <w:cols w:equalWidth="0" w:num="1">
            <w:col w:w="11400"/>
          </w:cols>
          <w:pgMar w:left="240" w:top="111" w:right="259" w:bottom="1063"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1" w:right="259" w:bottom="1063" w:gutter="0" w:footer="0" w:header="0"/>
          <w:type w:val="continuous"/>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Total deposits increased $52.0 million to $726.8 million as of December 31, 2015 from $674.8 million as of June 30, 2015. The increase, which funded growth in the Company’s loan portfolio, was centered mainly in money market accounts attracted through the Bank’s community bank division. The composition of total deposits at December 31, 2015 and June 30, 2015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December 31, 2015</w:t>
            </w:r>
          </w:p>
        </w:tc>
        <w:tc>
          <w:tcPr>
            <w:tcW w:w="22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 of Total</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71"/>
              </w:rPr>
              <w:t>in</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64,087</w:t>
            </w: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65,078</w:t>
            </w: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64,289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36,040</w:t>
            </w: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35,845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208,324</w:t>
            </w:r>
          </w:p>
        </w:tc>
        <w:tc>
          <w:tcPr>
            <w:tcW w:w="1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28.66%</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168,527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373,529</w:t>
            </w:r>
          </w:p>
        </w:tc>
        <w:tc>
          <w:tcPr>
            <w:tcW w:w="1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329,044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Term certificates less than $250 thousand</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352,236</w:t>
            </w:r>
          </w:p>
        </w:tc>
        <w:tc>
          <w:tcPr>
            <w:tcW w:w="1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48.47%</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345,146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certificates of $250 thousand or more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certificate accounts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353,238</w:t>
            </w:r>
          </w:p>
        </w:tc>
        <w:tc>
          <w:tcPr>
            <w:tcW w:w="1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48.60%</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345,715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726,767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674,759</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Borrowed Funds</w:t>
      </w:r>
    </w:p>
    <w:p>
      <w:pPr>
        <w:spacing w:after="0" w:line="22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Advances from the FHLB were $30.1 million at December 31, 2015, as compared to $30.2 million at June 30, 2015. At December 31, 2015, the Company had pledged investment securities with a fair value of $3.0 million, as well as certain residential real estate loans, commercial real estate loans, and FHLB deposits free of liens or pledges to secure outstanding advances and available additional borrowing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the Company’s wholesale repurchase agreements paid off at maturity, representing a $10.0 million decrease from June 30, 2015.</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Short-term borrowings, consisting of sweep accounts and repurchase agreements, were $2.4 million and $2.3 million as of December 31, 2015 and June 30,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unused borrowing capacity of the Company at December 31, 2015, in addition to traditional retail deposit products (dollars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Brokered time deposits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223,525</w:t>
            </w:r>
          </w:p>
        </w:tc>
        <w:tc>
          <w:tcPr>
            <w:tcW w:w="40" w:type="dxa"/>
            <w:vAlign w:val="bottom"/>
            <w:shd w:val="clear" w:color="auto" w:fill="CCEEFF"/>
          </w:tcPr>
          <w:p>
            <w:pPr>
              <w:spacing w:after="0"/>
              <w:rPr>
                <w:sz w:val="18"/>
                <w:szCs w:val="18"/>
                <w:color w:val="auto"/>
              </w:rPr>
            </w:pPr>
          </w:p>
        </w:tc>
        <w:tc>
          <w:tcPr>
            <w:tcW w:w="5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Subject to policy limitation of 25% of total assets</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of Boston</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32,702</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Unused advance capacity subject to eligible and qualified collateral</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Discount Window Borrower-in-Custody</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40" w:type="dxa"/>
            <w:vAlign w:val="bottom"/>
            <w:shd w:val="clear" w:color="auto" w:fill="CCEEFF"/>
          </w:tcPr>
          <w:p>
            <w:pPr>
              <w:spacing w:after="0"/>
              <w:rPr>
                <w:sz w:val="18"/>
                <w:szCs w:val="18"/>
                <w:color w:val="auto"/>
              </w:rPr>
            </w:pPr>
          </w:p>
        </w:tc>
        <w:tc>
          <w:tcPr>
            <w:tcW w:w="5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Unused credit line subject to the pledge of loans</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available lines</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17,500</w:t>
            </w:r>
          </w:p>
        </w:tc>
        <w:tc>
          <w:tcPr>
            <w:tcW w:w="5480" w:type="dxa"/>
            <w:vAlign w:val="bottom"/>
          </w:tcPr>
          <w:p>
            <w:pPr>
              <w:spacing w:after="0"/>
              <w:rPr>
                <w:sz w:val="18"/>
                <w:szCs w:val="18"/>
                <w:color w:val="auto"/>
              </w:rPr>
            </w:pPr>
          </w:p>
        </w:tc>
      </w:tr>
      <w:tr>
        <w:trPr>
          <w:trHeight w:val="250"/>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unused borrowing capacity</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275,801</w:t>
            </w:r>
          </w:p>
        </w:tc>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additional capital stock in the Federal Home Loan Bank of Boston may be required.</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December 31, 2015, the Company had $377.1 million of immediately accessible liquidity, defined as cash that the Bank reasonably believes could be raised within seven days through collateralized borrowings, brokered deposits or security sales. This position represented 42.1% of total assets. The Company also had $66.4 million of cash and cash equivalents at December 31, 2015.</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carrying amount and unpaid principal balance of junior subordinated debentures totaled $8.7 million and $16.5 million, respectively, as of December 31, 2015. This debt represents qualifying Tier 1 capital for the Company, up to a maximum of 25% of total Tier 1 capital. At December 31, 2015, the carrying amounts of the junior subordinated notes, net of the Company’s $496 thousand investment in the affiliated trusts, qualified as Tier 1 capital.</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At December 31, 2015, shareholders’ equity was $114.6 million, an increase of $1.9 million, or 1.7% from June 30, 2015. Book value per outstanding common share was $12.04 at December 31, 2015 and $11.76 at June 30, 2015. Tier 1 capital to total average assets of the Company was 14.31% as of December 31, 2015 and 14.49% at June 30, 2015.</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capital rules, risk-based capital ratios are calculated by dividing Tier 1 and total risk-based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bank holding company, such as the Company, is considered "well capitalized" if the bank holding company (i) has a total risk based capital ratio of at least 10%, (ii) has a Tier 1 risk-based capital ratio of at least 6%, and (iii) is not subject to any written agreement order, capital directive or prompt corrective action directive to meet and maintain a specific capital level for any capital measure. Under the FDIC's prompt corrective action rules, such as the Bank, an insured state nonmember bank is considered "well capitalized" if it (i) has a total risk-based capital ratio of 10.0% or greater; (ii) a Tier 1 risk-based capital ratio of 8.0% or greater; (iii) 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and the Banks are considered "well capitalized" under all regulatory definitions. The Company's and the Bank's regulatory capital ratios are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Minimum To Be Well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Minimum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Capitalized Under Prompt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Actual</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Requirements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Correction Action Provisions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assets: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&gt;4.5%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112,380</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30,854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44,567</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126,183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54,786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115,460</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54,852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68,564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27,393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112,380</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41,139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34,670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112,380</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34,658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43,322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assets: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121,224</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27,523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27,558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39,806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123,187</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48,932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111,228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61,249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121,224</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24,465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24,496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36,744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121,224</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33,464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33,421</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41,776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30, 2015, the Board of Directors voted to amend the existing stock repurchase program to authorize the Company to purchase an additional 500,000 shares of its common stock, representing 5.1% of the Company’s outstanding common shares or approximately $4.7 million based on the Company’s closing price on April 29, 2015. The amended stock repurchase program will expire on April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1,126,962 shares had been repurchased under this plan at a weighted average price of $9.60.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Financial Instruments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I. “Notes to Unaudited Consolidated Financial Statements – Note 10: Commitments and Contingencies” for further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income increased by $164 thousand to $1.7 million for the quarter ended December 31, 2015, compared to $1.6 million for the quarter ended December 31, 2014. Net income increased by $387 thousand to $3.6 million for the six months ended December 31, 2015, compared to $3.2 million for the six months ended December 31, 2014. When compared to the prior year, increases in net income for both the three and six months ended December 31, 2015 resulted principally from positive balance sheet growth due to increased volume, and higher gains on sales of SBA loans.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details the “total return” on purchased loans, which includes transactional interest income of $2.6 million for the quarter ended December 31, 2015, consistent with transactional income in the quarter ended December 31, 2014. Transactional interest income for the six months ended December 31, 2015 was $4.8 million, an increase of $182 thousand from the six months ended December 31, 2014 principally due to higher payoffs in the first two quarters of fiscal 2015.</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8"/>
                <w:szCs w:val="18"/>
                <w:color w:val="auto"/>
                <w:w w:val="99"/>
              </w:rPr>
              <w:t>Total Return on Purchased Loans</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Income</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(1)</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71"/>
              </w:rPr>
              <w:t>in</w:t>
            </w:r>
          </w:p>
        </w:tc>
        <w:tc>
          <w:tcPr>
            <w:tcW w:w="220" w:type="dxa"/>
            <w:vAlign w:val="bottom"/>
          </w:tcPr>
          <w:p>
            <w:pPr>
              <w:spacing w:after="0"/>
              <w:rPr>
                <w:sz w:val="18"/>
                <w:szCs w:val="18"/>
                <w:color w:val="auto"/>
              </w:rPr>
            </w:pPr>
          </w:p>
        </w:tc>
        <w:tc>
          <w:tcPr>
            <w:tcW w:w="14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Income</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vMerge w:val="continue"/>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Regularly scheduled interest and accretion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2,613</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7,223</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Income</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(1)</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71"/>
              </w:rPr>
              <w:t>in</w:t>
            </w:r>
          </w:p>
        </w:tc>
        <w:tc>
          <w:tcPr>
            <w:tcW w:w="220" w:type="dxa"/>
            <w:vAlign w:val="bottom"/>
          </w:tcPr>
          <w:p>
            <w:pPr>
              <w:spacing w:after="0"/>
              <w:rPr>
                <w:sz w:val="18"/>
                <w:szCs w:val="18"/>
                <w:color w:val="auto"/>
              </w:rPr>
            </w:pPr>
          </w:p>
        </w:tc>
        <w:tc>
          <w:tcPr>
            <w:tcW w:w="14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Income</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vMerge w:val="continue"/>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Regularly scheduled interest and accretion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8,873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4,638</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13,741</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2" w:right="27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type w:val="continuous"/>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2015 and 2014</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interest and dividend income before provision for the three months ended December 31, 2015 and 2014 was $10.2 million and $9.4 million, respectively. The increase of $746 thousand was largely attributable to higher loan volume and interest income in the originated loan portfolio. The following table summarizes interest income and related yields recognized on the Company’s loans for the three months ended December 31, 2015 and 2014.</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Interest Income and Yield on Loans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6"/>
                <w:szCs w:val="16"/>
                <w:color w:val="auto"/>
              </w:rPr>
            </w:pPr>
          </w:p>
        </w:tc>
        <w:tc>
          <w:tcPr>
            <w:tcW w:w="9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6"/>
                <w:szCs w:val="16"/>
                <w:color w:val="auto"/>
              </w:rPr>
            </w:pPr>
          </w:p>
        </w:tc>
        <w:tc>
          <w:tcPr>
            <w:tcW w:w="112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3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Yield</w:t>
            </w:r>
          </w:p>
        </w:tc>
        <w:tc>
          <w:tcPr>
            <w:tcW w:w="1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Income</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Yield</w:t>
            </w:r>
          </w:p>
        </w:tc>
      </w:tr>
      <w:tr>
        <w:trPr>
          <w:trHeight w:val="210"/>
        </w:trPr>
        <w:tc>
          <w:tcPr>
            <w:tcW w:w="3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72"/>
              </w:rPr>
              <w:t>in</w:t>
            </w: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Banking Division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2,932</w:t>
            </w:r>
          </w:p>
        </w:tc>
        <w:tc>
          <w:tcPr>
            <w:tcW w:w="14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LASG: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Originated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1,978</w:t>
            </w:r>
          </w:p>
        </w:tc>
        <w:tc>
          <w:tcPr>
            <w:tcW w:w="14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59,863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Purchased</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6,734</w:t>
            </w: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208,935</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16"/>
        </w:trPr>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 Loans to Broker-Dealers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4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45,304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3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LASG</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8,787</w:t>
            </w: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314,102</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0"/>
        </w:trPr>
        <w:tc>
          <w:tcPr>
            <w:tcW w:w="3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648,075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interest rate spread increased by two basis points and net interest margin remained consistent for the quarter ended December 31, 2015 compared to the quarter ended December 31, 2014. The slight increase was principally volume driven with an increase in interest-earning assets of $59.8 million and an increase in interest-earning deposits of $64.2 million. The following sets forth the average balance sheets, interest income and interest expense, and average yields and costs for the three months ended December 31, 2015 and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6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1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Yield/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Income/</w:t>
            </w:r>
          </w:p>
        </w:tc>
        <w:tc>
          <w:tcPr>
            <w:tcW w:w="1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Expense</w:t>
            </w:r>
          </w:p>
        </w:tc>
        <w:tc>
          <w:tcPr>
            <w:tcW w:w="16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securities (1)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0.89%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(2) (3)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550,229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10,948</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investments (4)</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104,822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828,464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3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768,651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non-interest 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803,788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 accounts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127,394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33,648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45,587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677,695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3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629,863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 and escrow accounts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55,131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690,644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803,788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spread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margin (5)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and yield are stated on a fully tax-equivalent basis using a 34% tax rate.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held for sale.</w:t>
      </w:r>
    </w:p>
    <w:p>
      <w:pPr>
        <w:sectPr>
          <w:pgSz w:w="11900" w:h="16838" w:orient="portrait"/>
          <w:cols w:equalWidth="0" w:num="1">
            <w:col w:w="11420"/>
          </w:cols>
          <w:pgMar w:left="240" w:top="112" w:right="239" w:bottom="0" w:gutter="0" w:footer="0" w:header="0"/>
        </w:sectPr>
      </w:pPr>
    </w:p>
    <w:bookmarkStart w:id="41" w:name="page42"/>
    <w:bookmarkEnd w:id="41"/>
    <w:p>
      <w:pPr>
        <w:ind w:left="252" w:hanging="252"/>
        <w:spacing w:after="0"/>
        <w:tabs>
          <w:tab w:leader="none" w:pos="25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Nonaccrual loans are included in the computation of average, but unpaid interest has not been included for purposes of determining interest income.</w:t>
      </w:r>
    </w:p>
    <w:p>
      <w:pPr>
        <w:spacing w:after="0" w:line="38"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investments include FHLB overnight deposits and other interest-bearing deposits.</w:t>
      </w:r>
    </w:p>
    <w:p>
      <w:pPr>
        <w:spacing w:after="0" w:line="9"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net interest income divided by total interest-earning assets.</w:t>
      </w:r>
    </w:p>
    <w:p>
      <w:pPr>
        <w:spacing w:after="0" w:line="234" w:lineRule="exact"/>
        <w:rPr>
          <w:sz w:val="20"/>
          <w:szCs w:val="20"/>
          <w:color w:val="auto"/>
        </w:rPr>
      </w:pPr>
    </w:p>
    <w:p>
      <w:pPr>
        <w:jc w:val="center"/>
        <w:ind w:right="-49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12"/>
          </w:cols>
          <w:pgMar w:left="248" w:top="121" w:right="73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color w:val="auto"/>
              </w:rPr>
              <w:t>Three Months Ended December 31, 2015 compared to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Change Due to</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Borrowed funds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change in net 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December 31, 2015 and 2014</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interest and dividend income before provision for the six months ended December 31, 2015 and 2014 was $19.4 million and $18.9 million, respectively. The increase of $516 thousand was largely attributable to higher loan volume and interest income in the originated loan portfolio. The following table summarizes interest income and related yields recognized on the Company’s loans for the six months ended December 31,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 Income and Yield on Loans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2014</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220" w:type="dxa"/>
            <w:vAlign w:val="bottom"/>
          </w:tcPr>
          <w:p>
            <w:pPr>
              <w:spacing w:after="0"/>
              <w:rPr>
                <w:sz w:val="16"/>
                <w:szCs w:val="16"/>
                <w:color w:val="auto"/>
              </w:rPr>
            </w:pPr>
          </w:p>
        </w:tc>
        <w:tc>
          <w:tcPr>
            <w:tcW w:w="118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220" w:type="dxa"/>
            <w:vAlign w:val="bottom"/>
          </w:tcPr>
          <w:p>
            <w:pPr>
              <w:spacing w:after="0"/>
              <w:rPr>
                <w:sz w:val="20"/>
                <w:szCs w:val="20"/>
                <w:color w:val="auto"/>
              </w:rPr>
            </w:pPr>
          </w:p>
        </w:tc>
        <w:tc>
          <w:tcPr>
            <w:tcW w:w="1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Yield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200" w:type="dxa"/>
            <w:vAlign w:val="bottom"/>
          </w:tcPr>
          <w:p>
            <w:pPr>
              <w:spacing w:after="0"/>
              <w:rPr>
                <w:sz w:val="20"/>
                <w:szCs w:val="20"/>
                <w:color w:val="auto"/>
              </w:rPr>
            </w:pP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Banking Division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5,857</w:t>
            </w:r>
          </w:p>
        </w:tc>
        <w:tc>
          <w:tcPr>
            <w:tcW w:w="11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4.85%</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238,646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5,960</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LASG: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Originated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11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2,314</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Purchased</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12,829</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12.41%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205,896</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13,511</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5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Secured Loans to Broker-</w:t>
            </w: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34,474</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Dealers</w:t>
            </w: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1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0.50%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LASG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16,652</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8.40%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299,647</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15,910</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7.05%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interest rate spread and net interest margin decreased by 33 basis points and 36 basis points, respectively, for the six months ended December 31, 2015 compared to the six months ended December 31, 2014. These decreases were principally the result of lower total return on purchased loans. The following sets forth the average balance sheets, interest income and interest expense, and average yields and costs for the six months ended December 31, 2015 and 2014.</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Six Months Ended December 31,</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Yield/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Yield/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Expense</w:t>
            </w:r>
          </w:p>
        </w:tc>
        <w:tc>
          <w:tcPr>
            <w:tcW w:w="22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Expense</w:t>
            </w:r>
          </w:p>
        </w:tc>
        <w:tc>
          <w:tcPr>
            <w:tcW w:w="220" w:type="dxa"/>
            <w:vAlign w:val="bottom"/>
          </w:tcPr>
          <w:p>
            <w:pPr>
              <w:spacing w:after="0"/>
              <w:rPr>
                <w:sz w:val="20"/>
                <w:szCs w:val="20"/>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0.89%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(2) (3)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826,148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13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747,061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3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non-interest earning assets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NOW accounts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Savings accounts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3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344,243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3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Borrowed funds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678,181</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3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610,391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3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 and escrow accounts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spread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margin (5)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60" w:hanging="263"/>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and yield are stated on a fully tax-equivalent basis using a 34% tax rate.</w:t>
      </w:r>
    </w:p>
    <w:p>
      <w:pPr>
        <w:spacing w:after="0" w:line="27" w:lineRule="exact"/>
        <w:rPr>
          <w:rFonts w:ascii="Times New Roman" w:cs="Times New Roman" w:eastAsia="Times New Roman" w:hAnsi="Times New Roman"/>
          <w:sz w:val="18"/>
          <w:szCs w:val="18"/>
          <w:color w:val="auto"/>
        </w:rPr>
      </w:pPr>
    </w:p>
    <w:p>
      <w:pPr>
        <w:ind w:left="460" w:hanging="263"/>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held for sale.</w:t>
      </w:r>
    </w:p>
    <w:p>
      <w:pPr>
        <w:spacing w:after="0" w:line="9" w:lineRule="exact"/>
        <w:rPr>
          <w:rFonts w:ascii="Times New Roman" w:cs="Times New Roman" w:eastAsia="Times New Roman" w:hAnsi="Times New Roman"/>
          <w:sz w:val="18"/>
          <w:szCs w:val="18"/>
          <w:color w:val="auto"/>
        </w:rPr>
      </w:pPr>
    </w:p>
    <w:p>
      <w:pPr>
        <w:ind w:left="460" w:hanging="263"/>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Nonaccrual loans are included in the computation of average, but unpaid interest has not been included for purposes of determining interest income.</w:t>
      </w:r>
    </w:p>
    <w:p>
      <w:pPr>
        <w:spacing w:after="0" w:line="9" w:lineRule="exact"/>
        <w:rPr>
          <w:rFonts w:ascii="Times New Roman" w:cs="Times New Roman" w:eastAsia="Times New Roman" w:hAnsi="Times New Roman"/>
          <w:sz w:val="18"/>
          <w:szCs w:val="18"/>
          <w:color w:val="auto"/>
        </w:rPr>
      </w:pPr>
    </w:p>
    <w:p>
      <w:pPr>
        <w:ind w:left="460" w:hanging="263"/>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investments include FHLB overnight deposits and other interest-bearing deposits.</w:t>
      </w:r>
    </w:p>
    <w:p>
      <w:pPr>
        <w:spacing w:after="0" w:line="9" w:lineRule="exact"/>
        <w:rPr>
          <w:rFonts w:ascii="Times New Roman" w:cs="Times New Roman" w:eastAsia="Times New Roman" w:hAnsi="Times New Roman"/>
          <w:sz w:val="18"/>
          <w:szCs w:val="18"/>
          <w:color w:val="auto"/>
        </w:rPr>
      </w:pPr>
    </w:p>
    <w:p>
      <w:pPr>
        <w:ind w:left="460" w:hanging="263"/>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net interest income divided by total interest-earning assets.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color w:val="auto"/>
                <w:w w:val="99"/>
              </w:rPr>
              <w:t>Six Months Ended December 31, 2015 compared to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Change Due to</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Change Due to</w:t>
            </w: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5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Volume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Rate</w:t>
            </w:r>
          </w:p>
        </w:tc>
        <w:tc>
          <w:tcPr>
            <w:tcW w:w="30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(2,927)</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stock</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(2,860)</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change in net interest income</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acquired with deteriorated credit quality, a provision for loan a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2015 and 2014</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provision for loan losses for the quarter ended December 31, 2015 and 2014 was $896 thousand and $113 thousand, respectively. The increase in the Company’s loan loss provision resulted principally due to two loans which were provided for in the current quarter and increased volume of newly originated loans, offset by charge-offs.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December 31, 2015 and 2014</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provision for loan losses for the six months ended December 31, 2015 and 2014 was $1.1 million and $433 thousand, respectively. The increase in the Company’s loan loss provision resulted principally due from two loans which were provided for in the current quarter and increased volume of newly originated loans, offset by charge-offs.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2015 and 2014</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Noninterest income increased by $254 thousand for the current quarter, compared to the quarter ended December 31, 2014, principally due to an increase of $234 thousand in gains realized on sale of portfolio loans. The recent quarter includes gains realized on sale of SBA loans of $679 thousand, compared to $445 thousand in the quarter ended December 31,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December 31, 2015 and 2014</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Noninterest income increased by $802 thousand for the six months ended December 31, 2015, compared to the six months ended December 31, 2014, principally due to an increase of $829 thousand in gains realized on sale of portfolio loans. The recent period includes gains realized on sale of SBA loans of $1.4 million, compared to $525 thousand in the six months ended December 31, 2014.</w:t>
      </w:r>
    </w:p>
    <w:p>
      <w:pPr>
        <w:sectPr>
          <w:pgSz w:w="11900" w:h="16838" w:orient="portrait"/>
          <w:cols w:equalWidth="0" w:num="1">
            <w:col w:w="11420"/>
          </w:cols>
          <w:pgMar w:left="240" w:top="111" w:right="239" w:bottom="7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765" w:gutter="0" w:footer="0" w:header="0"/>
          <w:type w:val="continuous"/>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2015 and 2014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decreased by $14 thousand for the current quarter, compared to the quarter ended December 31, 2014, principally due to the following:</w:t>
      </w:r>
    </w:p>
    <w:p>
      <w:pPr>
        <w:spacing w:after="0" w:line="27"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$194 thousand in loan acquisition and collections expense related to lower collection expense on purchased loans;</w:t>
      </w:r>
    </w:p>
    <w:p>
      <w:pPr>
        <w:spacing w:after="0" w:line="9" w:lineRule="exact"/>
        <w:rPr>
          <w:rFonts w:ascii="Times New Roman" w:cs="Times New Roman" w:eastAsia="Times New Roman" w:hAnsi="Times New Roman"/>
          <w:sz w:val="18"/>
          <w:szCs w:val="18"/>
          <w:color w:val="auto"/>
        </w:rPr>
      </w:pPr>
    </w:p>
    <w:p>
      <w:pPr>
        <w:ind w:left="1300" w:right="30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$194 thousand in professional fees, primarily due to fees for temporary consulting services recognized in the three months ended December 31, 2014;</w:t>
      </w:r>
    </w:p>
    <w:p>
      <w:pPr>
        <w:ind w:left="1300" w:right="480" w:hanging="320"/>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$117 thousand in salaries and employee benefits primarily due to the accelerated vesting of the former Chief Operating Officer’s shares and an increase in headcount during the three months ended December 31, 2015; and</w:t>
      </w: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$139 thousand in occupancy and equipment expense, due to increases in rent and IT-related equipment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December 31, 2015 and 2014</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Noninterest expense increased by $58 thousand for the six months ended December 31, 2015, compared to the six months ended December 31, 2014, principally due to the following:</w:t>
      </w:r>
    </w:p>
    <w:p>
      <w:pPr>
        <w:spacing w:after="0" w:line="162"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$226 thousand in occupancy and equipment expense, due to increases in rent and IT-related equipment expense; and</w:t>
      </w:r>
    </w:p>
    <w:p>
      <w:pPr>
        <w:spacing w:after="0" w:line="27" w:lineRule="exact"/>
        <w:rPr>
          <w:rFonts w:ascii="Times New Roman" w:cs="Times New Roman" w:eastAsia="Times New Roman" w:hAnsi="Times New Roman"/>
          <w:sz w:val="18"/>
          <w:szCs w:val="18"/>
          <w:color w:val="auto"/>
        </w:rPr>
      </w:pPr>
    </w:p>
    <w:p>
      <w:pPr>
        <w:ind w:left="1300" w:hanging="320"/>
        <w:spacing w:after="0" w:line="255"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$160 thousand in salaries and employee benefits principally due to the benefit recognized upon the forfeiture of stock awards. This decrease is partially offset by an increase in employee head count and the accelerated vesting of the former Chief Operating Officer’s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2015 and 2014</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quarter ended December 31, 2015 was 35.5%, compared to 36.1% for the quarter ended December 31, 2014, primarily due to the adoption of ASU 2014-01 in the current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December 31, 2015 and 2014</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income tax expense was $2.1 million or an effective rate of 36.3%, for the six months ended December 31, 2015, as compared to $1.8 million, or an effective rate of 36.1%, for the six months ended December 31, 2014, primarily due to the adoption of ASU 2014-01 in the current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46" w:name="page47"/>
    <w:bookmarkEnd w:id="4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Based on this evaluation of the Company’s disclosure controls and procedures, the Chief Executive Officer and Chief Financial Officer have concluded that these disclosure controls and procedures were effective as of December 31, 2015.</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(as defined in Rule 13a-15(f) of the Exchange Act) that occurred during the quarter ended December 31, 2015 that have materially affected, or is reasonably likely to materially affect, the Company’s internal controls over financial reporting.</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1040" w:right="1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purchases made by the Company of its common stock during the three months ended December 31, 2015.</w:t>
      </w:r>
    </w:p>
    <w:p>
      <w:pPr>
        <w:ind w:left="10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w:t>
            </w:r>
          </w:p>
        </w:tc>
      </w:tr>
      <w:tr>
        <w:trPr>
          <w:trHeight w:val="238"/>
        </w:trPr>
        <w:tc>
          <w:tcPr>
            <w:tcW w:w="6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Program</w:t>
            </w:r>
          </w:p>
        </w:tc>
      </w:tr>
      <w:tr>
        <w:trPr>
          <w:trHeight w:val="210"/>
        </w:trPr>
        <w:tc>
          <w:tcPr>
            <w:tcW w:w="66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1 – Oct. 31</w:t>
            </w: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1,061,162</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308,838</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Nov. 1 – Nov. 30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55,600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1,116,762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253,238</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 1 - Dec. 31</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1,126,962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243,038</w:t>
            </w:r>
          </w:p>
        </w:tc>
      </w:tr>
      <w:tr>
        <w:trPr>
          <w:trHeight w:val="756"/>
        </w:trPr>
        <w:tc>
          <w:tcPr>
            <w:tcW w:w="660" w:type="dxa"/>
            <w:vAlign w:val="bottom"/>
          </w:tcPr>
          <w:p>
            <w:pPr>
              <w:spacing w:after="0"/>
              <w:rPr>
                <w:sz w:val="24"/>
                <w:szCs w:val="24"/>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  Based on trade date, not settlement date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2"/>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80"/>
          </w:cols>
          <w:pgMar w:left="240" w:top="112" w:right="179" w:bottom="1103"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112" w:right="179" w:bottom="1103" w:gutter="0" w:footer="0" w:header="0"/>
          <w:type w:val="continuous"/>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Exhibits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302 of the Sarbanes-Oxley Act of 2002 (Rule 13a-14(a)). *</w:t>
      </w:r>
    </w:p>
    <w:p>
      <w:pPr>
        <w:spacing w:after="0" w:line="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the Chief Financial Officer pursuant to Section 302 of the Sarbanes-Oxley Act of 2002 (Rule 13a-14(a)). *</w:t>
      </w:r>
    </w:p>
    <w:p>
      <w:pPr>
        <w:spacing w:after="0" w:line="9" w:lineRule="exact"/>
        <w:rPr>
          <w:sz w:val="20"/>
          <w:szCs w:val="20"/>
          <w:color w:val="auto"/>
        </w:rPr>
      </w:pPr>
    </w:p>
    <w:p>
      <w:pPr>
        <w:ind w:left="1980" w:hanging="676"/>
        <w:spacing w:after="0" w:line="250" w:lineRule="auto"/>
        <w:tabs>
          <w:tab w:leader="none" w:pos="1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980" w:right="60" w:hanging="676"/>
        <w:spacing w:after="0" w:line="250" w:lineRule="auto"/>
        <w:tabs>
          <w:tab w:leader="none" w:pos="1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980" w:right="20" w:hanging="655"/>
        <w:spacing w:after="0" w:line="25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Northeast Bancorp’s Quarterly Report on Form 10-Q for the quarter ended December 31, 2015 formatted in XBRL: (i) Consolidated Balance Sheets at December 31, 2015 and June 30, 2015; (ii) Consolidated Statements of Income for the three and six months ended December 31, 2015 and 2014; (iii) Consolidated Statements of Comprehensive Income for the three and six months ended December 31, 2015 and 2014; (iv) Consolidated Statements of Changes in Shareholders’ Equity for the six months ended December 31, 2015 and 2014; (v) Consolidated Statements of Cash Flows for the six months ended December 31, 2015 and 2014; and (v) Notes to Unaudited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2016</w:t>
            </w:r>
          </w:p>
        </w:tc>
        <w:tc>
          <w:tcPr>
            <w:tcW w:w="346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NORTHEAST BANCORP</w:t>
            </w:r>
          </w:p>
        </w:tc>
      </w:tr>
      <w:tr>
        <w:trPr>
          <w:trHeight w:val="194"/>
        </w:trPr>
        <w:tc>
          <w:tcPr>
            <w:tcW w:w="3700" w:type="dxa"/>
            <w:vAlign w:val="bottom"/>
          </w:tcPr>
          <w:p>
            <w:pPr>
              <w:spacing w:after="0"/>
              <w:rPr>
                <w:sz w:val="16"/>
                <w:szCs w:val="16"/>
                <w:color w:val="auto"/>
              </w:rPr>
            </w:pPr>
          </w:p>
        </w:tc>
        <w:tc>
          <w:tcPr>
            <w:tcW w:w="7760" w:type="dxa"/>
            <w:vAlign w:val="bottom"/>
            <w:gridSpan w:val="4"/>
          </w:tcPr>
          <w:p>
            <w:pPr>
              <w:ind w:left="3200"/>
              <w:spacing w:after="0" w:line="194" w:lineRule="exact"/>
              <w:rPr>
                <w:sz w:val="20"/>
                <w:szCs w:val="20"/>
                <w:color w:val="auto"/>
              </w:rPr>
            </w:pPr>
            <w:r>
              <w:rPr>
                <w:rFonts w:ascii="Times New Roman" w:cs="Times New Roman" w:eastAsia="Times New Roman" w:hAnsi="Times New Roman"/>
                <w:sz w:val="18"/>
                <w:szCs w:val="18"/>
                <w:color w:val="auto"/>
              </w:rPr>
              <w:t>By:/s/ Richard Wayne</w:t>
            </w:r>
          </w:p>
        </w:tc>
      </w:tr>
      <w:tr>
        <w:trPr>
          <w:trHeight w:val="218"/>
        </w:trPr>
        <w:tc>
          <w:tcPr>
            <w:tcW w:w="3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Richard Wayne</w:t>
            </w:r>
          </w:p>
        </w:tc>
        <w:tc>
          <w:tcPr>
            <w:tcW w:w="2980" w:type="dxa"/>
            <w:vAlign w:val="bottom"/>
            <w:gridSpan w:val="2"/>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2"/>
        </w:trPr>
        <w:tc>
          <w:tcPr>
            <w:tcW w:w="3700" w:type="dxa"/>
            <w:vAlign w:val="bottom"/>
          </w:tcPr>
          <w:p>
            <w:pPr>
              <w:spacing w:after="0"/>
              <w:rPr>
                <w:sz w:val="24"/>
                <w:szCs w:val="24"/>
                <w:color w:val="auto"/>
              </w:rPr>
            </w:pPr>
          </w:p>
        </w:tc>
        <w:tc>
          <w:tcPr>
            <w:tcW w:w="7760" w:type="dxa"/>
            <w:vAlign w:val="bottom"/>
            <w:gridSpan w:val="4"/>
          </w:tcPr>
          <w:p>
            <w:pPr>
              <w:ind w:left="3200"/>
              <w:spacing w:after="0"/>
              <w:rPr>
                <w:sz w:val="20"/>
                <w:szCs w:val="20"/>
                <w:color w:val="auto"/>
              </w:rPr>
            </w:pPr>
            <w:r>
              <w:rPr>
                <w:rFonts w:ascii="Times New Roman" w:cs="Times New Roman" w:eastAsia="Times New Roman" w:hAnsi="Times New Roman"/>
                <w:sz w:val="18"/>
                <w:szCs w:val="18"/>
                <w:color w:val="auto"/>
              </w:rPr>
              <w:t>By:/s/ Brian Shaughnessy</w:t>
            </w:r>
          </w:p>
        </w:tc>
      </w:tr>
      <w:tr>
        <w:trPr>
          <w:trHeight w:val="218"/>
        </w:trPr>
        <w:tc>
          <w:tcPr>
            <w:tcW w:w="3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Brian Shaughnessy</w:t>
            </w:r>
          </w:p>
        </w:tc>
        <w:tc>
          <w:tcPr>
            <w:tcW w:w="27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91"/>
        </w:trPr>
        <w:tc>
          <w:tcPr>
            <w:tcW w:w="3700" w:type="dxa"/>
            <w:vAlign w:val="bottom"/>
          </w:tcPr>
          <w:p>
            <w:pPr>
              <w:spacing w:after="0"/>
              <w:rPr>
                <w:sz w:val="24"/>
                <w:szCs w:val="24"/>
                <w:color w:val="auto"/>
              </w:rPr>
            </w:pPr>
          </w:p>
        </w:tc>
        <w:tc>
          <w:tcPr>
            <w:tcW w:w="3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05"/>
        </w:trPr>
        <w:tc>
          <w:tcPr>
            <w:tcW w:w="37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61"/>
        </w:trPr>
        <w:tc>
          <w:tcPr>
            <w:tcW w:w="37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49" w:name="page50"/>
    <w:bookmarkEnd w:id="4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NORTHEAST BANCORP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Exhibits Description</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302 of the Sarbanes-Oxley Act of 2002 (Rule 13a-14(a)). *</w:t>
      </w:r>
    </w:p>
    <w:p>
      <w:pPr>
        <w:spacing w:after="0" w:line="9"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8"/>
          <w:szCs w:val="18"/>
          <w:color w:val="auto"/>
        </w:rPr>
        <w:t>31.2</w:t>
        <w:tab/>
        <w:t>Certification of the Chief Financial Officer pursuant to Section 302 of the Sarbanes-Oxley Act of 2002 (Rule 13a-14(a)). *</w:t>
      </w:r>
    </w:p>
    <w:p>
      <w:pPr>
        <w:spacing w:after="0" w:line="9" w:lineRule="exact"/>
        <w:rPr>
          <w:sz w:val="20"/>
          <w:szCs w:val="20"/>
          <w:color w:val="auto"/>
        </w:rPr>
      </w:pPr>
    </w:p>
    <w:p>
      <w:pPr>
        <w:ind w:left="1840" w:right="60" w:hanging="555"/>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32.1</w:t>
        <w:tab/>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840" w:right="100" w:hanging="555"/>
        <w:spacing w:after="0" w:line="250" w:lineRule="auto"/>
        <w:tabs>
          <w:tab w:leader="none" w:pos="1820" w:val="left"/>
        </w:tabs>
        <w:rPr>
          <w:sz w:val="20"/>
          <w:szCs w:val="20"/>
          <w:color w:val="auto"/>
        </w:rPr>
      </w:pPr>
      <w:r>
        <w:rPr>
          <w:rFonts w:ascii="Times New Roman" w:cs="Times New Roman" w:eastAsia="Times New Roman" w:hAnsi="Times New Roman"/>
          <w:sz w:val="18"/>
          <w:szCs w:val="18"/>
          <w:color w:val="auto"/>
        </w:rPr>
        <w:t>32.2</w:t>
        <w:tab/>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840" w:hanging="529"/>
        <w:spacing w:after="0" w:line="252" w:lineRule="auto"/>
        <w:tabs>
          <w:tab w:leader="none" w:pos="1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Northeast Bancorp’s Quarterly Report on Form 10-Q for the quarter ended December 31, 2015 formatted in XBRL: (i) Consolidated Balance Sheets at December 31, 2015 and June 30, 2015; (ii) Consolidated Statements of Income for the three and six months ended December 31, 2015 and 2014; (iii) Consolidated Statements of Comprehensive Income for the three and six months ended December 31, 2015 and 2014; (iv) Consolidated Statements of Changes in Shareholders’ Equity for the six months ended December 31, 2015 and 2014; (v) Consolidated Statements of Cash Flows for the six months ended December 31, 2015 and 2014; and (v) Notes to Unaudited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300"/>
          </w:cols>
          <w:pgMar w:left="240" w:top="112" w:right="359" w:bottom="1440" w:gutter="0" w:footer="0" w:header="0"/>
        </w:sectPr>
      </w:pPr>
    </w:p>
    <w:bookmarkStart w:id="50" w:name="page51"/>
    <w:bookmarkEnd w:id="5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31.1</w:t>
        <w:tab/>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Wayne, certify that:</w:t>
      </w:r>
    </w:p>
    <w:p>
      <w:pPr>
        <w:spacing w:after="0" w:line="225" w:lineRule="exact"/>
        <w:rPr>
          <w:sz w:val="20"/>
          <w:szCs w:val="20"/>
          <w:color w:val="auto"/>
        </w:rPr>
      </w:pPr>
    </w:p>
    <w:p>
      <w:pPr>
        <w:ind w:left="580" w:hanging="349"/>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Northeast Bancorp;</w:t>
      </w:r>
    </w:p>
    <w:p>
      <w:pPr>
        <w:spacing w:after="0" w:line="225" w:lineRule="exact"/>
        <w:rPr>
          <w:rFonts w:ascii="Times New Roman" w:cs="Times New Roman" w:eastAsia="Times New Roman" w:hAnsi="Times New Roman"/>
          <w:sz w:val="18"/>
          <w:szCs w:val="18"/>
          <w:color w:val="auto"/>
        </w:rPr>
      </w:pPr>
    </w:p>
    <w:p>
      <w:pPr>
        <w:jc w:val="both"/>
        <w:ind w:left="580" w:right="260" w:hanging="349"/>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220" w:hanging="349"/>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60" w:hanging="349"/>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80" w:firstLine="9"/>
        <w:spacing w:after="0" w:line="266" w:lineRule="auto"/>
        <w:tabs>
          <w:tab w:leader="none" w:pos="8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80" w:right="220" w:firstLine="9"/>
        <w:spacing w:after="0" w:line="266"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760" w:firstLine="9"/>
        <w:spacing w:after="0" w:line="313" w:lineRule="auto"/>
        <w:tabs>
          <w:tab w:leader="none" w:pos="87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jc w:val="both"/>
        <w:ind w:left="580" w:right="240" w:firstLine="9"/>
        <w:spacing w:after="0" w:line="266" w:lineRule="auto"/>
        <w:tabs>
          <w:tab w:leader="none" w:pos="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160" w:hanging="349"/>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140" w:firstLine="9"/>
        <w:spacing w:after="0" w:line="282" w:lineRule="auto"/>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100" w:firstLine="9"/>
        <w:spacing w:after="0" w:line="282" w:lineRule="auto"/>
        <w:tabs>
          <w:tab w:leader="none" w:pos="8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2016</w:t>
            </w:r>
          </w:p>
        </w:tc>
        <w:tc>
          <w:tcPr>
            <w:tcW w:w="434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/s/  Richard Wayne</w:t>
            </w:r>
          </w:p>
        </w:tc>
      </w:tr>
      <w:tr>
        <w:trPr>
          <w:trHeight w:val="191"/>
        </w:trPr>
        <w:tc>
          <w:tcPr>
            <w:tcW w:w="5720" w:type="dxa"/>
            <w:vAlign w:val="bottom"/>
          </w:tcPr>
          <w:p>
            <w:pPr>
              <w:spacing w:after="0"/>
              <w:rPr>
                <w:sz w:val="16"/>
                <w:szCs w:val="16"/>
                <w:color w:val="auto"/>
              </w:rPr>
            </w:pPr>
          </w:p>
        </w:tc>
        <w:tc>
          <w:tcPr>
            <w:tcW w:w="4340" w:type="dxa"/>
            <w:vAlign w:val="bottom"/>
          </w:tcPr>
          <w:p>
            <w:pPr>
              <w:jc w:val="right"/>
              <w:ind w:right="2790"/>
              <w:spacing w:after="0" w:line="191" w:lineRule="exact"/>
              <w:rPr>
                <w:sz w:val="20"/>
                <w:szCs w:val="20"/>
                <w:color w:val="auto"/>
              </w:rPr>
            </w:pPr>
            <w:r>
              <w:rPr>
                <w:rFonts w:ascii="Times New Roman" w:cs="Times New Roman" w:eastAsia="Times New Roman" w:hAnsi="Times New Roman"/>
                <w:sz w:val="18"/>
                <w:szCs w:val="18"/>
                <w:color w:val="auto"/>
              </w:rPr>
              <w:t>Richard Wayne</w:t>
            </w:r>
          </w:p>
        </w:tc>
      </w:tr>
      <w:tr>
        <w:trPr>
          <w:trHeight w:val="234"/>
        </w:trPr>
        <w:tc>
          <w:tcPr>
            <w:tcW w:w="5720" w:type="dxa"/>
            <w:vAlign w:val="bottom"/>
          </w:tcPr>
          <w:p>
            <w:pPr>
              <w:spacing w:after="0"/>
              <w:rPr>
                <w:sz w:val="20"/>
                <w:szCs w:val="20"/>
                <w:color w:val="auto"/>
              </w:rPr>
            </w:pPr>
          </w:p>
        </w:tc>
        <w:tc>
          <w:tcPr>
            <w:tcW w:w="434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320"/>
          </w:cols>
          <w:pgMar w:left="240" w:top="117" w:right="339" w:bottom="1440" w:gutter="0" w:footer="0" w:header="0"/>
        </w:sectPr>
      </w:pPr>
    </w:p>
    <w:bookmarkStart w:id="51" w:name="page52"/>
    <w:bookmarkEnd w:id="5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31.2</w:t>
      </w:r>
      <w:r>
        <w:rPr>
          <w:sz w:val="20"/>
          <w:szCs w:val="20"/>
          <w:color w:val="auto"/>
        </w:rPr>
        <w:tab/>
      </w:r>
      <w:r>
        <w:rPr>
          <w:rFonts w:ascii="Times New Roman" w:cs="Times New Roman" w:eastAsia="Times New Roman" w:hAnsi="Times New Roman"/>
          <w:sz w:val="17"/>
          <w:szCs w:val="17"/>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Shaughnessy, certify that:</w:t>
      </w:r>
    </w:p>
    <w:p>
      <w:pPr>
        <w:spacing w:after="0" w:line="225" w:lineRule="exact"/>
        <w:rPr>
          <w:sz w:val="20"/>
          <w:szCs w:val="20"/>
          <w:color w:val="auto"/>
        </w:rPr>
      </w:pPr>
    </w:p>
    <w:p>
      <w:pPr>
        <w:ind w:left="580" w:hanging="349"/>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Northeast Bancorp;</w:t>
      </w:r>
    </w:p>
    <w:p>
      <w:pPr>
        <w:spacing w:after="0" w:line="225" w:lineRule="exact"/>
        <w:rPr>
          <w:rFonts w:ascii="Times New Roman" w:cs="Times New Roman" w:eastAsia="Times New Roman" w:hAnsi="Times New Roman"/>
          <w:sz w:val="18"/>
          <w:szCs w:val="18"/>
          <w:color w:val="auto"/>
        </w:rPr>
      </w:pPr>
    </w:p>
    <w:p>
      <w:pPr>
        <w:jc w:val="both"/>
        <w:ind w:left="580" w:right="260" w:hanging="349"/>
        <w:spacing w:after="0" w:line="266"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220" w:hanging="349"/>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60" w:hanging="349"/>
        <w:spacing w:after="0" w:line="266"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80" w:firstLine="9"/>
        <w:spacing w:after="0" w:line="266" w:lineRule="auto"/>
        <w:tabs>
          <w:tab w:leader="none" w:pos="8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80" w:right="220" w:firstLine="9"/>
        <w:spacing w:after="0" w:line="266" w:lineRule="auto"/>
        <w:tabs>
          <w:tab w:leader="none" w:pos="8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760" w:firstLine="9"/>
        <w:spacing w:after="0" w:line="313" w:lineRule="auto"/>
        <w:tabs>
          <w:tab w:leader="none" w:pos="87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jc w:val="both"/>
        <w:ind w:left="580" w:right="240" w:firstLine="9"/>
        <w:spacing w:after="0" w:line="266" w:lineRule="auto"/>
        <w:tabs>
          <w:tab w:leader="none" w:pos="8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160" w:hanging="349"/>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140" w:firstLine="9"/>
        <w:spacing w:after="0" w:line="282" w:lineRule="auto"/>
        <w:tabs>
          <w:tab w:leader="none" w:pos="8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100" w:firstLine="9"/>
        <w:spacing w:after="0" w:line="282" w:lineRule="auto"/>
        <w:tabs>
          <w:tab w:leader="none" w:pos="8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2016</w:t>
            </w:r>
          </w:p>
        </w:tc>
        <w:tc>
          <w:tcPr>
            <w:tcW w:w="4340" w:type="dxa"/>
            <w:vAlign w:val="bottom"/>
            <w:tcBorders>
              <w:bottom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color w:val="auto"/>
              </w:rPr>
              <w:t>/s/  Brian Shaughnessy</w:t>
            </w:r>
          </w:p>
        </w:tc>
      </w:tr>
      <w:tr>
        <w:trPr>
          <w:trHeight w:val="191"/>
        </w:trPr>
        <w:tc>
          <w:tcPr>
            <w:tcW w:w="5720" w:type="dxa"/>
            <w:vAlign w:val="bottom"/>
          </w:tcPr>
          <w:p>
            <w:pPr>
              <w:spacing w:after="0"/>
              <w:rPr>
                <w:sz w:val="16"/>
                <w:szCs w:val="16"/>
                <w:color w:val="auto"/>
              </w:rPr>
            </w:pPr>
          </w:p>
        </w:tc>
        <w:tc>
          <w:tcPr>
            <w:tcW w:w="4340" w:type="dxa"/>
            <w:vAlign w:val="bottom"/>
          </w:tcPr>
          <w:p>
            <w:pPr>
              <w:jc w:val="right"/>
              <w:ind w:right="2510"/>
              <w:spacing w:after="0" w:line="191" w:lineRule="exact"/>
              <w:rPr>
                <w:sz w:val="20"/>
                <w:szCs w:val="20"/>
                <w:color w:val="auto"/>
              </w:rPr>
            </w:pPr>
            <w:r>
              <w:rPr>
                <w:rFonts w:ascii="Times New Roman" w:cs="Times New Roman" w:eastAsia="Times New Roman" w:hAnsi="Times New Roman"/>
                <w:sz w:val="18"/>
                <w:szCs w:val="18"/>
                <w:color w:val="auto"/>
              </w:rPr>
              <w:t>Brian Shaughnessy</w:t>
            </w:r>
          </w:p>
        </w:tc>
      </w:tr>
      <w:tr>
        <w:trPr>
          <w:trHeight w:val="234"/>
        </w:trPr>
        <w:tc>
          <w:tcPr>
            <w:tcW w:w="5720" w:type="dxa"/>
            <w:vAlign w:val="bottom"/>
          </w:tcPr>
          <w:p>
            <w:pPr>
              <w:spacing w:after="0"/>
              <w:rPr>
                <w:sz w:val="20"/>
                <w:szCs w:val="20"/>
                <w:color w:val="auto"/>
              </w:rPr>
            </w:pPr>
          </w:p>
        </w:tc>
        <w:tc>
          <w:tcPr>
            <w:tcW w:w="434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320"/>
          </w:cols>
          <w:pgMar w:left="240" w:top="387" w:right="339" w:bottom="1440" w:gutter="0" w:footer="0" w:header="0"/>
        </w:sectPr>
      </w:pPr>
    </w:p>
    <w:bookmarkStart w:id="52" w:name="page53"/>
    <w:bookmarkEnd w:id="5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Exhibit 32.1.</w:t>
        <w:tab/>
        <w:t>Certificate of the Chief Executive Officer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Northeast Bancorp. (the "Company") on Form 10-Q for the quarterly period ended December 31, 2015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76" w:lineRule="exact"/>
        <w:rPr>
          <w:sz w:val="20"/>
          <w:szCs w:val="20"/>
          <w:color w:val="auto"/>
        </w:rPr>
      </w:pPr>
    </w:p>
    <w:p>
      <w:pPr>
        <w:ind w:left="660" w:hanging="30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60" w:right="100" w:hanging="1"/>
        <w:spacing w:after="0" w:line="282"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2016</w:t>
            </w:r>
          </w:p>
        </w:tc>
        <w:tc>
          <w:tcPr>
            <w:tcW w:w="434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/s/  Richard Wayne</w:t>
            </w:r>
          </w:p>
        </w:tc>
      </w:tr>
      <w:tr>
        <w:trPr>
          <w:trHeight w:val="191"/>
        </w:trPr>
        <w:tc>
          <w:tcPr>
            <w:tcW w:w="5720" w:type="dxa"/>
            <w:vAlign w:val="bottom"/>
          </w:tcPr>
          <w:p>
            <w:pPr>
              <w:spacing w:after="0"/>
              <w:rPr>
                <w:sz w:val="16"/>
                <w:szCs w:val="16"/>
                <w:color w:val="auto"/>
              </w:rPr>
            </w:pPr>
          </w:p>
        </w:tc>
        <w:tc>
          <w:tcPr>
            <w:tcW w:w="4340" w:type="dxa"/>
            <w:vAlign w:val="bottom"/>
          </w:tcPr>
          <w:p>
            <w:pPr>
              <w:jc w:val="right"/>
              <w:ind w:right="2790"/>
              <w:spacing w:after="0" w:line="191" w:lineRule="exact"/>
              <w:rPr>
                <w:sz w:val="20"/>
                <w:szCs w:val="20"/>
                <w:color w:val="auto"/>
              </w:rPr>
            </w:pPr>
            <w:r>
              <w:rPr>
                <w:rFonts w:ascii="Times New Roman" w:cs="Times New Roman" w:eastAsia="Times New Roman" w:hAnsi="Times New Roman"/>
                <w:sz w:val="18"/>
                <w:szCs w:val="18"/>
                <w:color w:val="auto"/>
              </w:rPr>
              <w:t>Richard Wayne</w:t>
            </w:r>
          </w:p>
        </w:tc>
      </w:tr>
      <w:tr>
        <w:trPr>
          <w:trHeight w:val="234"/>
        </w:trPr>
        <w:tc>
          <w:tcPr>
            <w:tcW w:w="5720" w:type="dxa"/>
            <w:vAlign w:val="bottom"/>
          </w:tcPr>
          <w:p>
            <w:pPr>
              <w:spacing w:after="0"/>
              <w:rPr>
                <w:sz w:val="20"/>
                <w:szCs w:val="20"/>
                <w:color w:val="auto"/>
              </w:rPr>
            </w:pPr>
          </w:p>
        </w:tc>
        <w:tc>
          <w:tcPr>
            <w:tcW w:w="434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387" w:right="239" w:bottom="1440" w:gutter="0" w:footer="0" w:header="0"/>
        </w:sectPr>
      </w:pPr>
    </w:p>
    <w:bookmarkStart w:id="53" w:name="page54"/>
    <w:bookmarkEnd w:id="5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Exhibit 32.2.</w:t>
        <w:tab/>
        <w:t>Certificate of the Chief Financial Officer</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Northeast Bancorp. (the "Company") on Form 10-Q for the quarterly period ended December 31, 2015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176" w:lineRule="exact"/>
        <w:rPr>
          <w:sz w:val="20"/>
          <w:szCs w:val="20"/>
          <w:color w:val="auto"/>
        </w:rPr>
      </w:pPr>
    </w:p>
    <w:p>
      <w:pPr>
        <w:ind w:left="660" w:hanging="301"/>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60" w:hanging="1"/>
        <w:spacing w:after="0" w:line="282"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2016</w:t>
            </w:r>
          </w:p>
        </w:tc>
        <w:tc>
          <w:tcPr>
            <w:tcW w:w="4340" w:type="dxa"/>
            <w:vAlign w:val="bottom"/>
            <w:tcBorders>
              <w:bottom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color w:val="auto"/>
              </w:rPr>
              <w:t>/s/  Brian Shaughnessy</w:t>
            </w:r>
          </w:p>
        </w:tc>
      </w:tr>
      <w:tr>
        <w:trPr>
          <w:trHeight w:val="191"/>
        </w:trPr>
        <w:tc>
          <w:tcPr>
            <w:tcW w:w="5720" w:type="dxa"/>
            <w:vAlign w:val="bottom"/>
          </w:tcPr>
          <w:p>
            <w:pPr>
              <w:spacing w:after="0"/>
              <w:rPr>
                <w:sz w:val="16"/>
                <w:szCs w:val="16"/>
                <w:color w:val="auto"/>
              </w:rPr>
            </w:pPr>
          </w:p>
        </w:tc>
        <w:tc>
          <w:tcPr>
            <w:tcW w:w="4340" w:type="dxa"/>
            <w:vAlign w:val="bottom"/>
          </w:tcPr>
          <w:p>
            <w:pPr>
              <w:jc w:val="right"/>
              <w:ind w:right="2510"/>
              <w:spacing w:after="0" w:line="191" w:lineRule="exact"/>
              <w:rPr>
                <w:sz w:val="20"/>
                <w:szCs w:val="20"/>
                <w:color w:val="auto"/>
              </w:rPr>
            </w:pPr>
            <w:r>
              <w:rPr>
                <w:rFonts w:ascii="Times New Roman" w:cs="Times New Roman" w:eastAsia="Times New Roman" w:hAnsi="Times New Roman"/>
                <w:sz w:val="18"/>
                <w:szCs w:val="18"/>
                <w:color w:val="auto"/>
              </w:rPr>
              <w:t>Brian Shaughnessy</w:t>
            </w:r>
          </w:p>
        </w:tc>
      </w:tr>
      <w:tr>
        <w:trPr>
          <w:trHeight w:val="234"/>
        </w:trPr>
        <w:tc>
          <w:tcPr>
            <w:tcW w:w="5720" w:type="dxa"/>
            <w:vAlign w:val="bottom"/>
          </w:tcPr>
          <w:p>
            <w:pPr>
              <w:spacing w:after="0"/>
              <w:rPr>
                <w:sz w:val="20"/>
                <w:szCs w:val="20"/>
                <w:color w:val="auto"/>
              </w:rPr>
            </w:pPr>
          </w:p>
        </w:tc>
        <w:tc>
          <w:tcPr>
            <w:tcW w:w="434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320"/>
      </w:cols>
      <w:pgMar w:left="240" w:top="3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7"/>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3"/>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1"/>
      <w:numFmt w:val="decimal"/>
      <w:start w:val="10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2019-12-29T14:47:19Z</dcterms:created>
  <dcterms:modified xsi:type="dcterms:W3CDTF">2019-12-29T14:47:19Z</dcterms:modified>
</cp:coreProperties>
</file>