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Quarterly Report pursuant to Section 13 or 15 (d) of the Securities Exchange Act of 1934</w:t>
      </w:r>
    </w:p>
    <w:p>
      <w:pPr>
        <w:spacing w:after="0" w:line="21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2013</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1-14588</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Northeast Bancorp</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660" w:type="dxa"/>
        <w:tblCellMar>
          <w:top w:w="0" w:type="dxa"/>
          <w:left w:w="0" w:type="dxa"/>
          <w:bottom w:w="0" w:type="dxa"/>
          <w:right w:w="0" w:type="dxa"/>
        </w:tblCellMar>
      </w:tblPr>
      <w:tr>
        <w:trPr>
          <w:trHeight w:val="220"/>
        </w:trPr>
        <w:tc>
          <w:tcPr>
            <w:tcW w:w="5480" w:type="dxa"/>
            <w:vAlign w:val="bottom"/>
          </w:tcPr>
          <w:p>
            <w:pPr>
              <w:jc w:val="center"/>
              <w:ind w:right="1090"/>
              <w:spacing w:after="0"/>
              <w:rPr>
                <w:sz w:val="20"/>
                <w:szCs w:val="20"/>
                <w:color w:val="auto"/>
              </w:rPr>
            </w:pPr>
            <w:r>
              <w:rPr>
                <w:rFonts w:ascii="Arial" w:cs="Arial" w:eastAsia="Arial" w:hAnsi="Arial"/>
                <w:sz w:val="18"/>
                <w:szCs w:val="18"/>
                <w:b w:val="1"/>
                <w:bCs w:val="1"/>
                <w:color w:val="auto"/>
                <w:w w:val="97"/>
              </w:rPr>
              <w:t>Maine</w:t>
            </w:r>
          </w:p>
        </w:tc>
        <w:tc>
          <w:tcPr>
            <w:tcW w:w="3800" w:type="dxa"/>
            <w:vAlign w:val="bottom"/>
          </w:tcPr>
          <w:p>
            <w:pPr>
              <w:jc w:val="right"/>
              <w:ind w:right="790"/>
              <w:spacing w:after="0"/>
              <w:rPr>
                <w:sz w:val="20"/>
                <w:szCs w:val="20"/>
                <w:color w:val="auto"/>
              </w:rPr>
            </w:pPr>
            <w:r>
              <w:rPr>
                <w:rFonts w:ascii="Arial" w:cs="Arial" w:eastAsia="Arial" w:hAnsi="Arial"/>
                <w:sz w:val="18"/>
                <w:szCs w:val="18"/>
                <w:b w:val="1"/>
                <w:bCs w:val="1"/>
                <w:color w:val="auto"/>
              </w:rPr>
              <w:t>01-0425066</w:t>
            </w:r>
          </w:p>
        </w:tc>
      </w:tr>
      <w:tr>
        <w:trPr>
          <w:trHeight w:val="230"/>
        </w:trPr>
        <w:tc>
          <w:tcPr>
            <w:tcW w:w="5480" w:type="dxa"/>
            <w:vAlign w:val="bottom"/>
          </w:tcPr>
          <w:p>
            <w:pPr>
              <w:jc w:val="center"/>
              <w:ind w:right="109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800" w:type="dxa"/>
            <w:vAlign w:val="bottom"/>
          </w:tcPr>
          <w:p>
            <w:pPr>
              <w:jc w:val="center"/>
              <w:ind w:left="1090"/>
              <w:spacing w:after="0"/>
              <w:rPr>
                <w:sz w:val="20"/>
                <w:szCs w:val="20"/>
                <w:color w:val="auto"/>
              </w:rPr>
            </w:pPr>
            <w:r>
              <w:rPr>
                <w:rFonts w:ascii="Arial" w:cs="Arial" w:eastAsia="Arial" w:hAnsi="Arial"/>
                <w:sz w:val="18"/>
                <w:szCs w:val="18"/>
                <w:color w:val="auto"/>
                <w:w w:val="94"/>
              </w:rPr>
              <w:t>(I.R.S. Employer Identification No.)</w:t>
            </w:r>
          </w:p>
        </w:tc>
      </w:tr>
      <w:tr>
        <w:trPr>
          <w:trHeight w:val="418"/>
        </w:trPr>
        <w:tc>
          <w:tcPr>
            <w:tcW w:w="5480" w:type="dxa"/>
            <w:vAlign w:val="bottom"/>
          </w:tcPr>
          <w:p>
            <w:pPr>
              <w:jc w:val="center"/>
              <w:ind w:right="1090"/>
              <w:spacing w:after="0"/>
              <w:rPr>
                <w:sz w:val="20"/>
                <w:szCs w:val="20"/>
                <w:color w:val="auto"/>
              </w:rPr>
            </w:pPr>
            <w:r>
              <w:rPr>
                <w:rFonts w:ascii="Arial" w:cs="Arial" w:eastAsia="Arial" w:hAnsi="Arial"/>
                <w:sz w:val="18"/>
                <w:szCs w:val="18"/>
                <w:b w:val="1"/>
                <w:bCs w:val="1"/>
                <w:color w:val="auto"/>
                <w:w w:val="91"/>
              </w:rPr>
              <w:t>500 Canal Street, Lewiston, Maine</w:t>
            </w:r>
          </w:p>
        </w:tc>
        <w:tc>
          <w:tcPr>
            <w:tcW w:w="3800" w:type="dxa"/>
            <w:vAlign w:val="bottom"/>
          </w:tcPr>
          <w:p>
            <w:pPr>
              <w:jc w:val="right"/>
              <w:ind w:right="1010"/>
              <w:spacing w:after="0"/>
              <w:rPr>
                <w:sz w:val="20"/>
                <w:szCs w:val="20"/>
                <w:color w:val="auto"/>
              </w:rPr>
            </w:pPr>
            <w:r>
              <w:rPr>
                <w:rFonts w:ascii="Arial" w:cs="Arial" w:eastAsia="Arial" w:hAnsi="Arial"/>
                <w:sz w:val="18"/>
                <w:szCs w:val="18"/>
                <w:b w:val="1"/>
                <w:bCs w:val="1"/>
                <w:color w:val="auto"/>
              </w:rPr>
              <w:t>04240</w:t>
            </w:r>
          </w:p>
        </w:tc>
      </w:tr>
      <w:tr>
        <w:trPr>
          <w:trHeight w:val="230"/>
        </w:trPr>
        <w:tc>
          <w:tcPr>
            <w:tcW w:w="5480" w:type="dxa"/>
            <w:vAlign w:val="bottom"/>
          </w:tcPr>
          <w:p>
            <w:pPr>
              <w:jc w:val="center"/>
              <w:ind w:right="1090"/>
              <w:spacing w:after="0"/>
              <w:rPr>
                <w:sz w:val="20"/>
                <w:szCs w:val="20"/>
                <w:color w:val="auto"/>
              </w:rPr>
            </w:pPr>
            <w:r>
              <w:rPr>
                <w:rFonts w:ascii="Arial" w:cs="Arial" w:eastAsia="Arial" w:hAnsi="Arial"/>
                <w:sz w:val="18"/>
                <w:szCs w:val="18"/>
                <w:color w:val="auto"/>
                <w:w w:val="92"/>
              </w:rPr>
              <w:t>(Address of Principal executive offices)</w:t>
            </w:r>
          </w:p>
        </w:tc>
        <w:tc>
          <w:tcPr>
            <w:tcW w:w="3800" w:type="dxa"/>
            <w:vAlign w:val="bottom"/>
          </w:tcPr>
          <w:p>
            <w:pPr>
              <w:jc w:val="center"/>
              <w:ind w:left="1070"/>
              <w:spacing w:after="0"/>
              <w:rPr>
                <w:sz w:val="20"/>
                <w:szCs w:val="20"/>
                <w:color w:val="auto"/>
              </w:rPr>
            </w:pPr>
            <w:r>
              <w:rPr>
                <w:rFonts w:ascii="Arial" w:cs="Arial" w:eastAsia="Arial" w:hAnsi="Arial"/>
                <w:sz w:val="18"/>
                <w:szCs w:val="18"/>
                <w:color w:val="auto"/>
                <w:w w:val="94"/>
              </w:rPr>
              <w:t>(Zip Code)</w:t>
            </w:r>
          </w:p>
        </w:tc>
      </w:tr>
    </w:tbl>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(207) 786-3245</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jc w:val="both"/>
        <w:ind w:right="42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subjected to such filing requirements for the past 90 days. Yes x No o</w:t>
      </w:r>
    </w:p>
    <w:p>
      <w:pPr>
        <w:spacing w:after="0" w:line="18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81" w:lineRule="exact"/>
        <w:rPr>
          <w:sz w:val="24"/>
          <w:szCs w:val="24"/>
          <w:color w:val="auto"/>
        </w:rPr>
      </w:pPr>
    </w:p>
    <w:p>
      <w:pPr>
        <w:ind w:right="440"/>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 of “accelerated filer”, “large accelerated filer” and “smaller reporting company” in Rule 12b-2 of the Exchange Act. (check one):</w:t>
      </w:r>
    </w:p>
    <w:p>
      <w:pPr>
        <w:sectPr>
          <w:pgSz w:w="11900" w:h="16838" w:orient="portrait"/>
          <w:cols w:equalWidth="0" w:num="1">
            <w:col w:w="11420"/>
          </w:cols>
          <w:pgMar w:left="240" w:top="233" w:right="239" w:bottom="0" w:gutter="0" w:footer="0" w:header="0"/>
        </w:sectPr>
      </w:pPr>
    </w:p>
    <w:p>
      <w:pPr>
        <w:spacing w:after="0" w:line="124" w:lineRule="exact"/>
        <w:rPr>
          <w:sz w:val="24"/>
          <w:szCs w:val="24"/>
          <w:color w:val="auto"/>
        </w:rPr>
      </w:pPr>
    </w:p>
    <w:p>
      <w:pPr>
        <w:ind w:left="194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0" w:lineRule="exact"/>
        <w:rPr>
          <w:sz w:val="24"/>
          <w:szCs w:val="24"/>
          <w:color w:val="auto"/>
        </w:rPr>
      </w:pPr>
    </w:p>
    <w:p>
      <w:pPr>
        <w:sectPr>
          <w:pgSz w:w="11900" w:h="16838" w:orient="portrait"/>
          <w:cols w:equalWidth="0" w:num="2">
            <w:col w:w="7240" w:space="720"/>
            <w:col w:w="3460"/>
          </w:cols>
          <w:pgMar w:left="240" w:top="233" w:right="239" w:bottom="0" w:gutter="0" w:footer="0" w:header="0"/>
          <w:type w:val="continuous"/>
        </w:sectPr>
      </w:pPr>
    </w:p>
    <w:p>
      <w:pPr>
        <w:spacing w:after="0" w:line="48" w:lineRule="exact"/>
        <w:rPr>
          <w:sz w:val="24"/>
          <w:szCs w:val="24"/>
          <w:color w:val="auto"/>
        </w:rPr>
      </w:pPr>
    </w:p>
    <w:p>
      <w:pPr>
        <w:ind w:left="1980"/>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x</w:t>
      </w:r>
    </w:p>
    <w:p>
      <w:pPr>
        <w:spacing w:after="0" w:line="200" w:lineRule="exact"/>
        <w:rPr>
          <w:sz w:val="24"/>
          <w:szCs w:val="24"/>
          <w:color w:val="auto"/>
        </w:rPr>
      </w:pPr>
    </w:p>
    <w:p>
      <w:pPr>
        <w:sectPr>
          <w:pgSz w:w="11900" w:h="16838" w:orient="portrait"/>
          <w:cols w:equalWidth="0" w:num="2">
            <w:col w:w="6800" w:space="720"/>
            <w:col w:w="3900"/>
          </w:cols>
          <w:pgMar w:left="240" w:top="233" w:right="239" w:bottom="0"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by Rule 12b-2 of the Exchange Act). Yes o No x</w:t>
      </w:r>
    </w:p>
    <w:p>
      <w:pPr>
        <w:spacing w:after="0" w:line="225" w:lineRule="exact"/>
        <w:rPr>
          <w:sz w:val="24"/>
          <w:szCs w:val="24"/>
          <w:color w:val="auto"/>
        </w:rPr>
      </w:pPr>
    </w:p>
    <w:p>
      <w:pPr>
        <w:ind w:right="20"/>
        <w:spacing w:after="0" w:line="264" w:lineRule="auto"/>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 As of April 30, 2013, the registrant had outstanding 9,565,680 shares of voting common stock, $1.00 par value per share and 880,963 shares of non-voting common stock, $1.00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167005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405130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9" w:lineRule="exact"/>
        <w:rPr>
          <w:sz w:val="24"/>
          <w:szCs w:val="24"/>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spacing w:after="0"/>
        <w:tabs>
          <w:tab w:leader="none" w:pos="940" w:val="left"/>
        </w:tabs>
        <w:rPr>
          <w:rFonts w:ascii="Arial" w:cs="Arial" w:eastAsia="Arial" w:hAnsi="Arial"/>
          <w:sz w:val="17"/>
          <w:szCs w:val="17"/>
          <w:b w:val="1"/>
          <w:bCs w:val="1"/>
          <w:u w:val="single" w:color="auto"/>
          <w:color w:val="0000EE"/>
        </w:rPr>
      </w:pPr>
      <w:hyperlink w:anchor="page2">
        <w:r>
          <w:rPr>
            <w:rFonts w:ascii="Arial" w:cs="Arial" w:eastAsia="Arial" w:hAnsi="Arial"/>
            <w:sz w:val="18"/>
            <w:szCs w:val="18"/>
            <w:b w:val="1"/>
            <w:bCs w:val="1"/>
            <w:u w:val="single" w:color="auto"/>
            <w:color w:val="0000EE"/>
          </w:rPr>
          <w:t>Part I.</w:t>
        </w:r>
      </w:hyperlink>
      <w:r>
        <w:rPr>
          <w:rFonts w:ascii="Arial" w:cs="Arial" w:eastAsia="Arial" w:hAnsi="Arial"/>
          <w:sz w:val="18"/>
          <w:szCs w:val="18"/>
          <w:b w:val="1"/>
          <w:bCs w:val="1"/>
          <w:u w:val="single" w:color="auto"/>
          <w:color w:val="0000EE"/>
        </w:rPr>
        <w:tab/>
      </w:r>
      <w:hyperlink w:anchor="page2">
        <w:r>
          <w:rPr>
            <w:rFonts w:ascii="Arial" w:cs="Arial" w:eastAsia="Arial" w:hAnsi="Arial"/>
            <w:sz w:val="17"/>
            <w:szCs w:val="17"/>
            <w:b w:val="1"/>
            <w:bCs w:val="1"/>
            <w:u w:val="single" w:color="auto"/>
            <w:color w:val="0000EE"/>
          </w:rPr>
          <w:t>Financial Information</w:t>
        </w:r>
      </w:hyperlink>
    </w:p>
    <w:p>
      <w:pPr>
        <w:spacing w:after="0" w:line="27" w:lineRule="exact"/>
        <w:rPr>
          <w:sz w:val="20"/>
          <w:szCs w:val="20"/>
          <w:color w:val="auto"/>
        </w:rPr>
      </w:pPr>
    </w:p>
    <w:p>
      <w:pPr>
        <w:ind w:left="960"/>
        <w:spacing w:after="0"/>
        <w:tabs>
          <w:tab w:leader="none" w:pos="2060" w:val="left"/>
        </w:tabs>
        <w:rPr>
          <w:rFonts w:ascii="Arial" w:cs="Arial" w:eastAsia="Arial" w:hAnsi="Arial"/>
          <w:sz w:val="16"/>
          <w:szCs w:val="16"/>
          <w:b w:val="1"/>
          <w:bCs w:val="1"/>
          <w:u w:val="single" w:color="auto"/>
          <w:color w:val="0000EE"/>
        </w:rPr>
      </w:pPr>
      <w:hyperlink w:anchor="page2">
        <w:r>
          <w:rPr>
            <w:rFonts w:ascii="Arial" w:cs="Arial" w:eastAsia="Arial" w:hAnsi="Arial"/>
            <w:sz w:val="18"/>
            <w:szCs w:val="18"/>
            <w:b w:val="1"/>
            <w:bCs w:val="1"/>
            <w:u w:val="single" w:color="auto"/>
            <w:color w:val="0000EE"/>
          </w:rPr>
          <w:t>Item 1.</w:t>
        </w:r>
      </w:hyperlink>
      <w:r>
        <w:rPr>
          <w:rFonts w:ascii="Arial" w:cs="Arial" w:eastAsia="Arial" w:hAnsi="Arial"/>
          <w:sz w:val="18"/>
          <w:szCs w:val="18"/>
          <w:b w:val="1"/>
          <w:bCs w:val="1"/>
          <w:u w:val="single" w:color="auto"/>
          <w:color w:val="0000EE"/>
        </w:rPr>
        <w:tab/>
      </w:r>
      <w:hyperlink w:anchor="page2">
        <w:r>
          <w:rPr>
            <w:rFonts w:ascii="Arial" w:cs="Arial" w:eastAsia="Arial" w:hAnsi="Arial"/>
            <w:sz w:val="16"/>
            <w:szCs w:val="16"/>
            <w:b w:val="1"/>
            <w:bCs w:val="1"/>
            <w:u w:val="single" w:color="auto"/>
            <w:color w:val="0000EE"/>
          </w:rPr>
          <w:t>Financial Statements (unaudited)</w:t>
        </w:r>
      </w:hyperlink>
    </w:p>
    <w:p>
      <w:pPr>
        <w:spacing w:after="0" w:line="9" w:lineRule="exact"/>
        <w:rPr>
          <w:sz w:val="20"/>
          <w:szCs w:val="20"/>
          <w:color w:val="auto"/>
        </w:rPr>
      </w:pPr>
    </w:p>
    <w:p>
      <w:pPr>
        <w:ind w:left="2080"/>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Consolidated Balance Sheets</w:t>
        </w:r>
      </w:hyperlink>
    </w:p>
    <w:p>
      <w:pPr>
        <w:spacing w:after="0" w:line="9" w:lineRule="exact"/>
        <w:rPr>
          <w:sz w:val="20"/>
          <w:szCs w:val="20"/>
          <w:color w:val="auto"/>
        </w:rPr>
      </w:pPr>
    </w:p>
    <w:p>
      <w:pPr>
        <w:ind w:left="2260"/>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March 31, 2013 and June 30, 2012</w:t>
        </w:r>
      </w:hyperlink>
    </w:p>
    <w:p>
      <w:pPr>
        <w:spacing w:after="0" w:line="207" w:lineRule="exact"/>
        <w:rPr>
          <w:sz w:val="20"/>
          <w:szCs w:val="20"/>
          <w:color w:val="auto"/>
        </w:rPr>
      </w:pPr>
    </w:p>
    <w:p>
      <w:pPr>
        <w:ind w:left="2080"/>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Consolidated Statements of Income</w:t>
        </w:r>
      </w:hyperlink>
    </w:p>
    <w:p>
      <w:pPr>
        <w:spacing w:after="0" w:line="27" w:lineRule="exact"/>
        <w:rPr>
          <w:sz w:val="20"/>
          <w:szCs w:val="20"/>
          <w:color w:val="auto"/>
        </w:rPr>
      </w:pPr>
    </w:p>
    <w:p>
      <w:pPr>
        <w:ind w:left="2260"/>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Three Months Ended March 31, 2013 and 2012</w:t>
        </w:r>
      </w:hyperlink>
    </w:p>
    <w:p>
      <w:pPr>
        <w:spacing w:after="0" w:line="9" w:lineRule="exact"/>
        <w:rPr>
          <w:sz w:val="20"/>
          <w:szCs w:val="20"/>
          <w:color w:val="auto"/>
        </w:rPr>
      </w:pPr>
    </w:p>
    <w:p>
      <w:pPr>
        <w:ind w:left="2260"/>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Nine Months Ended March 31, 2013 and 2012</w:t>
        </w:r>
      </w:hyperlink>
    </w:p>
    <w:p>
      <w:pPr>
        <w:spacing w:after="0" w:line="207" w:lineRule="exact"/>
        <w:rPr>
          <w:sz w:val="20"/>
          <w:szCs w:val="20"/>
          <w:color w:val="auto"/>
        </w:rPr>
      </w:pPr>
    </w:p>
    <w:p>
      <w:pPr>
        <w:ind w:left="2080"/>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Consolidated Statements of Comprehensive Income</w:t>
        </w:r>
      </w:hyperlink>
    </w:p>
    <w:p>
      <w:pPr>
        <w:spacing w:after="0" w:line="27" w:lineRule="exact"/>
        <w:rPr>
          <w:sz w:val="20"/>
          <w:szCs w:val="20"/>
          <w:color w:val="auto"/>
        </w:rPr>
      </w:pPr>
    </w:p>
    <w:p>
      <w:pPr>
        <w:ind w:left="2260"/>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Three Months Ended March 31, 2013 and 2012</w:t>
        </w:r>
      </w:hyperlink>
    </w:p>
    <w:p>
      <w:pPr>
        <w:spacing w:after="0" w:line="9" w:lineRule="exact"/>
        <w:rPr>
          <w:sz w:val="20"/>
          <w:szCs w:val="20"/>
          <w:color w:val="auto"/>
        </w:rPr>
      </w:pPr>
    </w:p>
    <w:p>
      <w:pPr>
        <w:ind w:left="2260"/>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Nine Months Ended March 31, 2013 and 2012</w:t>
        </w:r>
      </w:hyperlink>
    </w:p>
    <w:p>
      <w:pPr>
        <w:spacing w:after="0" w:line="207" w:lineRule="exact"/>
        <w:rPr>
          <w:sz w:val="20"/>
          <w:szCs w:val="20"/>
          <w:color w:val="auto"/>
        </w:rPr>
      </w:pPr>
    </w:p>
    <w:p>
      <w:pPr>
        <w:ind w:left="2080"/>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Consolidated Statements of Changes in Stockholders’ Equity</w:t>
        </w:r>
      </w:hyperlink>
    </w:p>
    <w:p>
      <w:pPr>
        <w:spacing w:after="0" w:line="27" w:lineRule="exact"/>
        <w:rPr>
          <w:sz w:val="20"/>
          <w:szCs w:val="20"/>
          <w:color w:val="auto"/>
        </w:rPr>
      </w:pPr>
    </w:p>
    <w:p>
      <w:pPr>
        <w:ind w:left="2260"/>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Nine Months Ended March 31, 2013 and 2012</w:t>
        </w:r>
      </w:hyperlink>
    </w:p>
    <w:p>
      <w:pPr>
        <w:spacing w:after="0" w:line="207" w:lineRule="exact"/>
        <w:rPr>
          <w:sz w:val="20"/>
          <w:szCs w:val="20"/>
          <w:color w:val="auto"/>
        </w:rPr>
      </w:pPr>
    </w:p>
    <w:p>
      <w:pPr>
        <w:ind w:left="2080"/>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Consolidated Statements of Cash Flows</w:t>
        </w:r>
      </w:hyperlink>
    </w:p>
    <w:p>
      <w:pPr>
        <w:spacing w:after="0" w:line="27" w:lineRule="exact"/>
        <w:rPr>
          <w:sz w:val="20"/>
          <w:szCs w:val="20"/>
          <w:color w:val="auto"/>
        </w:rPr>
      </w:pPr>
    </w:p>
    <w:p>
      <w:pPr>
        <w:ind w:left="2260"/>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Nine Months Ended March 31, 2013 and 2012</w:t>
        </w:r>
      </w:hyperlink>
    </w:p>
    <w:p>
      <w:pPr>
        <w:sectPr>
          <w:pgSz w:w="11900" w:h="16838" w:orient="portrait"/>
          <w:cols w:equalWidth="0" w:num="1">
            <w:col w:w="11420"/>
          </w:cols>
          <w:pgMar w:left="240" w:top="233" w:right="239" w:bottom="0" w:gutter="0" w:footer="0" w:header="0"/>
          <w:type w:val="continuous"/>
        </w:sectPr>
      </w:pPr>
    </w:p>
    <w:bookmarkStart w:id="1" w:name="page2"/>
    <w:bookmarkEnd w:id="1"/>
    <w:p>
      <w:pPr>
        <w:spacing w:after="0" w:line="62" w:lineRule="exact"/>
        <w:rPr>
          <w:sz w:val="20"/>
          <w:szCs w:val="20"/>
          <w:color w:val="auto"/>
        </w:rPr>
      </w:pPr>
    </w:p>
    <w:p>
      <w:pPr>
        <w:ind w:left="2080"/>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Notes to Consolidated Financial Statements</w:t>
        </w:r>
      </w:hyperlink>
    </w:p>
    <w:p>
      <w:pPr>
        <w:spacing w:after="0" w:line="225" w:lineRule="exact"/>
        <w:rPr>
          <w:sz w:val="20"/>
          <w:szCs w:val="20"/>
          <w:color w:val="auto"/>
        </w:rPr>
      </w:pPr>
    </w:p>
    <w:p>
      <w:pPr>
        <w:ind w:left="960"/>
        <w:spacing w:after="0"/>
        <w:tabs>
          <w:tab w:leader="none" w:pos="2060" w:val="left"/>
        </w:tabs>
        <w:rPr>
          <w:rFonts w:ascii="Arial" w:cs="Arial" w:eastAsia="Arial" w:hAnsi="Arial"/>
          <w:sz w:val="16"/>
          <w:szCs w:val="16"/>
          <w:b w:val="1"/>
          <w:bCs w:val="1"/>
          <w:u w:val="single" w:color="auto"/>
          <w:color w:val="0000EE"/>
        </w:rPr>
      </w:pPr>
      <w:hyperlink w:anchor="page23">
        <w:r>
          <w:rPr>
            <w:rFonts w:ascii="Arial" w:cs="Arial" w:eastAsia="Arial" w:hAnsi="Arial"/>
            <w:sz w:val="18"/>
            <w:szCs w:val="18"/>
            <w:b w:val="1"/>
            <w:bCs w:val="1"/>
            <w:u w:val="single" w:color="auto"/>
            <w:color w:val="0000EE"/>
          </w:rPr>
          <w:t>Item 2.</w:t>
        </w:r>
      </w:hyperlink>
      <w:r>
        <w:rPr>
          <w:rFonts w:ascii="Arial" w:cs="Arial" w:eastAsia="Arial" w:hAnsi="Arial"/>
          <w:sz w:val="18"/>
          <w:szCs w:val="18"/>
          <w:b w:val="1"/>
          <w:bCs w:val="1"/>
          <w:u w:val="single" w:color="auto"/>
          <w:color w:val="0000EE"/>
        </w:rPr>
        <w:tab/>
      </w:r>
      <w:hyperlink w:anchor="page23">
        <w:r>
          <w:rPr>
            <w:rFonts w:ascii="Arial" w:cs="Arial" w:eastAsia="Arial" w:hAnsi="Arial"/>
            <w:sz w:val="16"/>
            <w:szCs w:val="16"/>
            <w:b w:val="1"/>
            <w:bCs w:val="1"/>
            <w:u w:val="single" w:color="auto"/>
            <w:color w:val="0000EE"/>
          </w:rPr>
          <w:t>Management’s Discussion and Analysis of Financial Condition and Results of Operations</w:t>
        </w:r>
      </w:hyperlink>
    </w:p>
    <w:p>
      <w:pPr>
        <w:spacing w:after="0" w:line="225" w:lineRule="exact"/>
        <w:rPr>
          <w:sz w:val="20"/>
          <w:szCs w:val="20"/>
          <w:color w:val="auto"/>
        </w:rPr>
      </w:pPr>
    </w:p>
    <w:p>
      <w:pPr>
        <w:ind w:left="960"/>
        <w:spacing w:after="0"/>
        <w:tabs>
          <w:tab w:leader="none" w:pos="2060" w:val="left"/>
        </w:tabs>
        <w:rPr>
          <w:rFonts w:ascii="Arial" w:cs="Arial" w:eastAsia="Arial" w:hAnsi="Arial"/>
          <w:sz w:val="16"/>
          <w:szCs w:val="16"/>
          <w:b w:val="1"/>
          <w:bCs w:val="1"/>
          <w:u w:val="single" w:color="auto"/>
          <w:color w:val="0000EE"/>
        </w:rPr>
      </w:pPr>
      <w:hyperlink w:anchor="page36">
        <w:r>
          <w:rPr>
            <w:rFonts w:ascii="Arial" w:cs="Arial" w:eastAsia="Arial" w:hAnsi="Arial"/>
            <w:sz w:val="18"/>
            <w:szCs w:val="18"/>
            <w:b w:val="1"/>
            <w:bCs w:val="1"/>
            <w:u w:val="single" w:color="auto"/>
            <w:color w:val="0000EE"/>
          </w:rPr>
          <w:t>Item 3.</w:t>
        </w:r>
      </w:hyperlink>
      <w:r>
        <w:rPr>
          <w:rFonts w:ascii="Arial" w:cs="Arial" w:eastAsia="Arial" w:hAnsi="Arial"/>
          <w:sz w:val="18"/>
          <w:szCs w:val="18"/>
          <w:b w:val="1"/>
          <w:bCs w:val="1"/>
          <w:u w:val="single" w:color="auto"/>
          <w:color w:val="0000EE"/>
        </w:rPr>
        <w:tab/>
      </w:r>
      <w:hyperlink w:anchor="page36">
        <w:r>
          <w:rPr>
            <w:rFonts w:ascii="Arial" w:cs="Arial" w:eastAsia="Arial" w:hAnsi="Arial"/>
            <w:sz w:val="16"/>
            <w:szCs w:val="16"/>
            <w:b w:val="1"/>
            <w:bCs w:val="1"/>
            <w:u w:val="single" w:color="auto"/>
            <w:color w:val="0000EE"/>
          </w:rPr>
          <w:t>Quantitative and Qualitative Disclosure about Market Risk</w:t>
        </w:r>
      </w:hyperlink>
    </w:p>
    <w:p>
      <w:pPr>
        <w:spacing w:after="0" w:line="225" w:lineRule="exact"/>
        <w:rPr>
          <w:sz w:val="20"/>
          <w:szCs w:val="20"/>
          <w:color w:val="auto"/>
        </w:rPr>
      </w:pPr>
    </w:p>
    <w:p>
      <w:pPr>
        <w:ind w:left="960"/>
        <w:spacing w:after="0"/>
        <w:tabs>
          <w:tab w:leader="none" w:pos="2060" w:val="left"/>
        </w:tabs>
        <w:rPr>
          <w:rFonts w:ascii="Arial" w:cs="Arial" w:eastAsia="Arial" w:hAnsi="Arial"/>
          <w:sz w:val="16"/>
          <w:szCs w:val="16"/>
          <w:b w:val="1"/>
          <w:bCs w:val="1"/>
          <w:u w:val="single" w:color="auto"/>
          <w:color w:val="0000EE"/>
        </w:rPr>
      </w:pPr>
      <w:hyperlink w:anchor="page36">
        <w:r>
          <w:rPr>
            <w:rFonts w:ascii="Arial" w:cs="Arial" w:eastAsia="Arial" w:hAnsi="Arial"/>
            <w:sz w:val="18"/>
            <w:szCs w:val="18"/>
            <w:b w:val="1"/>
            <w:bCs w:val="1"/>
            <w:u w:val="single" w:color="auto"/>
            <w:color w:val="0000EE"/>
          </w:rPr>
          <w:t>Item 4.</w:t>
        </w:r>
      </w:hyperlink>
      <w:r>
        <w:rPr>
          <w:rFonts w:ascii="Arial" w:cs="Arial" w:eastAsia="Arial" w:hAnsi="Arial"/>
          <w:sz w:val="18"/>
          <w:szCs w:val="18"/>
          <w:b w:val="1"/>
          <w:bCs w:val="1"/>
          <w:u w:val="single" w:color="auto"/>
          <w:color w:val="0000EE"/>
        </w:rPr>
        <w:tab/>
      </w:r>
      <w:hyperlink w:anchor="page36">
        <w:r>
          <w:rPr>
            <w:rFonts w:ascii="Arial" w:cs="Arial" w:eastAsia="Arial" w:hAnsi="Arial"/>
            <w:sz w:val="16"/>
            <w:szCs w:val="16"/>
            <w:b w:val="1"/>
            <w:bCs w:val="1"/>
            <w:u w:val="single" w:color="auto"/>
            <w:color w:val="0000EE"/>
          </w:rPr>
          <w:t>Controls and Procedures</w:t>
        </w:r>
      </w:hyperlink>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0" w:type="dxa"/>
            <w:vAlign w:val="bottom"/>
            <w:gridSpan w:val="3"/>
          </w:tcPr>
          <w:p>
            <w:pPr>
              <w:spacing w:after="0"/>
              <w:rPr>
                <w:rFonts w:ascii="Arial" w:cs="Arial" w:eastAsia="Arial" w:hAnsi="Arial"/>
                <w:sz w:val="18"/>
                <w:szCs w:val="18"/>
                <w:b w:val="1"/>
                <w:bCs w:val="1"/>
                <w:color w:val="0000EE"/>
              </w:rPr>
            </w:pPr>
            <w:hyperlink w:anchor="page36">
              <w:r>
                <w:rPr>
                  <w:rFonts w:ascii="Arial" w:cs="Arial" w:eastAsia="Arial" w:hAnsi="Arial"/>
                  <w:sz w:val="18"/>
                  <w:szCs w:val="18"/>
                  <w:b w:val="1"/>
                  <w:bCs w:val="1"/>
                  <w:color w:val="0000EE"/>
                </w:rPr>
                <w:t>Part II.</w:t>
              </w:r>
            </w:hyperlink>
          </w:p>
        </w:tc>
        <w:tc>
          <w:tcPr>
            <w:tcW w:w="6780" w:type="dxa"/>
            <w:vAlign w:val="bottom"/>
            <w:gridSpan w:val="13"/>
          </w:tcPr>
          <w:p>
            <w:pPr>
              <w:spacing w:after="0"/>
              <w:rPr>
                <w:rFonts w:ascii="Arial" w:cs="Arial" w:eastAsia="Arial" w:hAnsi="Arial"/>
                <w:sz w:val="18"/>
                <w:szCs w:val="18"/>
                <w:b w:val="1"/>
                <w:bCs w:val="1"/>
                <w:color w:val="0000EE"/>
              </w:rPr>
            </w:pPr>
            <w:hyperlink w:anchor="page36">
              <w:r>
                <w:rPr>
                  <w:rFonts w:ascii="Arial" w:cs="Arial" w:eastAsia="Arial" w:hAnsi="Arial"/>
                  <w:sz w:val="18"/>
                  <w:szCs w:val="18"/>
                  <w:b w:val="1"/>
                  <w:bCs w:val="1"/>
                  <w:color w:val="0000EE"/>
                </w:rPr>
                <w:t>Other Information</w:t>
              </w:r>
            </w:hyperlink>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gridSpan w:val="4"/>
          </w:tcPr>
          <w:p>
            <w:pPr>
              <w:spacing w:after="0"/>
              <w:rPr>
                <w:rFonts w:ascii="Arial" w:cs="Arial" w:eastAsia="Arial" w:hAnsi="Arial"/>
                <w:sz w:val="18"/>
                <w:szCs w:val="18"/>
                <w:b w:val="1"/>
                <w:bCs w:val="1"/>
                <w:color w:val="0000EE"/>
              </w:rPr>
            </w:pPr>
            <w:hyperlink w:anchor="page37">
              <w:r>
                <w:rPr>
                  <w:rFonts w:ascii="Arial" w:cs="Arial" w:eastAsia="Arial" w:hAnsi="Arial"/>
                  <w:sz w:val="18"/>
                  <w:szCs w:val="18"/>
                  <w:b w:val="1"/>
                  <w:bCs w:val="1"/>
                  <w:color w:val="0000EE"/>
                </w:rPr>
                <w:t>Item 1.</w:t>
              </w:r>
            </w:hyperlink>
          </w:p>
        </w:tc>
        <w:tc>
          <w:tcPr>
            <w:tcW w:w="5660" w:type="dxa"/>
            <w:vAlign w:val="bottom"/>
            <w:gridSpan w:val="9"/>
          </w:tcPr>
          <w:p>
            <w:pPr>
              <w:spacing w:after="0"/>
              <w:rPr>
                <w:rFonts w:ascii="Arial" w:cs="Arial" w:eastAsia="Arial" w:hAnsi="Arial"/>
                <w:sz w:val="18"/>
                <w:szCs w:val="18"/>
                <w:b w:val="1"/>
                <w:bCs w:val="1"/>
                <w:color w:val="0000EE"/>
              </w:rPr>
            </w:pPr>
            <w:hyperlink w:anchor="page37">
              <w:r>
                <w:rPr>
                  <w:rFonts w:ascii="Arial" w:cs="Arial" w:eastAsia="Arial" w:hAnsi="Arial"/>
                  <w:sz w:val="18"/>
                  <w:szCs w:val="18"/>
                  <w:b w:val="1"/>
                  <w:bCs w:val="1"/>
                  <w:color w:val="0000EE"/>
                </w:rPr>
                <w:t>Legal Proceedings</w:t>
              </w:r>
            </w:hyperlink>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gridSpan w:val="3"/>
          </w:tcPr>
          <w:p>
            <w:pPr>
              <w:spacing w:after="0"/>
              <w:rPr>
                <w:rFonts w:ascii="Arial" w:cs="Arial" w:eastAsia="Arial" w:hAnsi="Arial"/>
                <w:sz w:val="18"/>
                <w:szCs w:val="18"/>
                <w:b w:val="1"/>
                <w:bCs w:val="1"/>
                <w:color w:val="0000EE"/>
                <w:w w:val="94"/>
              </w:rPr>
            </w:pPr>
            <w:hyperlink w:anchor="page37">
              <w:r>
                <w:rPr>
                  <w:rFonts w:ascii="Arial" w:cs="Arial" w:eastAsia="Arial" w:hAnsi="Arial"/>
                  <w:sz w:val="18"/>
                  <w:szCs w:val="18"/>
                  <w:b w:val="1"/>
                  <w:bCs w:val="1"/>
                  <w:color w:val="0000EE"/>
                  <w:w w:val="94"/>
                </w:rPr>
                <w:t>Item 1A.</w:t>
              </w:r>
            </w:hyperlink>
          </w:p>
        </w:tc>
        <w:tc>
          <w:tcPr>
            <w:tcW w:w="440" w:type="dxa"/>
            <w:vAlign w:val="bottom"/>
          </w:tcPr>
          <w:p>
            <w:pPr>
              <w:spacing w:after="0"/>
              <w:rPr>
                <w:sz w:val="24"/>
                <w:szCs w:val="24"/>
                <w:color w:val="auto"/>
              </w:rPr>
            </w:pPr>
          </w:p>
        </w:tc>
        <w:tc>
          <w:tcPr>
            <w:tcW w:w="5660" w:type="dxa"/>
            <w:vAlign w:val="bottom"/>
            <w:gridSpan w:val="9"/>
          </w:tcPr>
          <w:p>
            <w:pPr>
              <w:spacing w:after="0"/>
              <w:rPr>
                <w:rFonts w:ascii="Arial" w:cs="Arial" w:eastAsia="Arial" w:hAnsi="Arial"/>
                <w:sz w:val="18"/>
                <w:szCs w:val="18"/>
                <w:b w:val="1"/>
                <w:bCs w:val="1"/>
                <w:color w:val="0000EE"/>
              </w:rPr>
            </w:pPr>
            <w:hyperlink w:anchor="page37">
              <w:r>
                <w:rPr>
                  <w:rFonts w:ascii="Arial" w:cs="Arial" w:eastAsia="Arial" w:hAnsi="Arial"/>
                  <w:sz w:val="18"/>
                  <w:szCs w:val="18"/>
                  <w:b w:val="1"/>
                  <w:bCs w:val="1"/>
                  <w:color w:val="0000EE"/>
                </w:rPr>
                <w:t>Risk Factors</w:t>
              </w:r>
            </w:hyperlink>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gridSpan w:val="3"/>
          </w:tcPr>
          <w:p>
            <w:pPr>
              <w:spacing w:after="0"/>
              <w:rPr>
                <w:rFonts w:ascii="Arial" w:cs="Arial" w:eastAsia="Arial" w:hAnsi="Arial"/>
                <w:sz w:val="18"/>
                <w:szCs w:val="18"/>
                <w:b w:val="1"/>
                <w:bCs w:val="1"/>
                <w:color w:val="0000EE"/>
              </w:rPr>
            </w:pPr>
            <w:hyperlink w:anchor="page37">
              <w:r>
                <w:rPr>
                  <w:rFonts w:ascii="Arial" w:cs="Arial" w:eastAsia="Arial" w:hAnsi="Arial"/>
                  <w:sz w:val="18"/>
                  <w:szCs w:val="18"/>
                  <w:b w:val="1"/>
                  <w:bCs w:val="1"/>
                  <w:color w:val="0000EE"/>
                </w:rPr>
                <w:t>Item 2.</w:t>
              </w:r>
            </w:hyperlink>
          </w:p>
        </w:tc>
        <w:tc>
          <w:tcPr>
            <w:tcW w:w="440" w:type="dxa"/>
            <w:vAlign w:val="bottom"/>
          </w:tcPr>
          <w:p>
            <w:pPr>
              <w:spacing w:after="0"/>
              <w:rPr>
                <w:sz w:val="24"/>
                <w:szCs w:val="24"/>
                <w:color w:val="auto"/>
              </w:rPr>
            </w:pPr>
          </w:p>
        </w:tc>
        <w:tc>
          <w:tcPr>
            <w:tcW w:w="5660" w:type="dxa"/>
            <w:vAlign w:val="bottom"/>
            <w:gridSpan w:val="9"/>
          </w:tcPr>
          <w:p>
            <w:pPr>
              <w:spacing w:after="0"/>
              <w:rPr>
                <w:rFonts w:ascii="Arial" w:cs="Arial" w:eastAsia="Arial" w:hAnsi="Arial"/>
                <w:sz w:val="18"/>
                <w:szCs w:val="18"/>
                <w:b w:val="1"/>
                <w:bCs w:val="1"/>
                <w:color w:val="0000EE"/>
              </w:rPr>
            </w:pPr>
            <w:hyperlink w:anchor="page37">
              <w:r>
                <w:rPr>
                  <w:rFonts w:ascii="Arial" w:cs="Arial" w:eastAsia="Arial" w:hAnsi="Arial"/>
                  <w:sz w:val="18"/>
                  <w:szCs w:val="18"/>
                  <w:b w:val="1"/>
                  <w:bCs w:val="1"/>
                  <w:color w:val="0000EE"/>
                </w:rPr>
                <w:t>Unregistered Sales of Equity Securities and Use of Proceeds</w:t>
              </w:r>
            </w:hyperlink>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gridSpan w:val="4"/>
          </w:tcPr>
          <w:p>
            <w:pPr>
              <w:spacing w:after="0"/>
              <w:rPr>
                <w:rFonts w:ascii="Arial" w:cs="Arial" w:eastAsia="Arial" w:hAnsi="Arial"/>
                <w:sz w:val="18"/>
                <w:szCs w:val="18"/>
                <w:b w:val="1"/>
                <w:bCs w:val="1"/>
                <w:color w:val="0000EE"/>
              </w:rPr>
            </w:pPr>
            <w:hyperlink w:anchor="page37">
              <w:r>
                <w:rPr>
                  <w:rFonts w:ascii="Arial" w:cs="Arial" w:eastAsia="Arial" w:hAnsi="Arial"/>
                  <w:sz w:val="18"/>
                  <w:szCs w:val="18"/>
                  <w:b w:val="1"/>
                  <w:bCs w:val="1"/>
                  <w:color w:val="0000EE"/>
                </w:rPr>
                <w:t>Item 3.</w:t>
              </w:r>
            </w:hyperlink>
          </w:p>
        </w:tc>
        <w:tc>
          <w:tcPr>
            <w:tcW w:w="5660" w:type="dxa"/>
            <w:vAlign w:val="bottom"/>
            <w:gridSpan w:val="9"/>
          </w:tcPr>
          <w:p>
            <w:pPr>
              <w:spacing w:after="0"/>
              <w:rPr>
                <w:rFonts w:ascii="Arial" w:cs="Arial" w:eastAsia="Arial" w:hAnsi="Arial"/>
                <w:sz w:val="18"/>
                <w:szCs w:val="18"/>
                <w:b w:val="1"/>
                <w:bCs w:val="1"/>
                <w:color w:val="0000EE"/>
              </w:rPr>
            </w:pPr>
            <w:hyperlink w:anchor="page37">
              <w:r>
                <w:rPr>
                  <w:rFonts w:ascii="Arial" w:cs="Arial" w:eastAsia="Arial" w:hAnsi="Arial"/>
                  <w:sz w:val="18"/>
                  <w:szCs w:val="18"/>
                  <w:b w:val="1"/>
                  <w:bCs w:val="1"/>
                  <w:color w:val="0000EE"/>
                </w:rPr>
                <w:t>Defaults Upon Senior Securities</w:t>
              </w:r>
            </w:hyperlink>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gridSpan w:val="4"/>
          </w:tcPr>
          <w:p>
            <w:pPr>
              <w:spacing w:after="0"/>
              <w:rPr>
                <w:rFonts w:ascii="Arial" w:cs="Arial" w:eastAsia="Arial" w:hAnsi="Arial"/>
                <w:sz w:val="18"/>
                <w:szCs w:val="18"/>
                <w:b w:val="1"/>
                <w:bCs w:val="1"/>
                <w:color w:val="0000EE"/>
              </w:rPr>
            </w:pPr>
            <w:hyperlink w:anchor="page37">
              <w:r>
                <w:rPr>
                  <w:rFonts w:ascii="Arial" w:cs="Arial" w:eastAsia="Arial" w:hAnsi="Arial"/>
                  <w:sz w:val="18"/>
                  <w:szCs w:val="18"/>
                  <w:b w:val="1"/>
                  <w:bCs w:val="1"/>
                  <w:color w:val="0000EE"/>
                </w:rPr>
                <w:t>Item 4.</w:t>
              </w:r>
            </w:hyperlink>
          </w:p>
        </w:tc>
        <w:tc>
          <w:tcPr>
            <w:tcW w:w="5660" w:type="dxa"/>
            <w:vAlign w:val="bottom"/>
            <w:gridSpan w:val="9"/>
          </w:tcPr>
          <w:p>
            <w:pPr>
              <w:spacing w:after="0"/>
              <w:rPr>
                <w:rFonts w:ascii="Arial" w:cs="Arial" w:eastAsia="Arial" w:hAnsi="Arial"/>
                <w:sz w:val="18"/>
                <w:szCs w:val="18"/>
                <w:b w:val="1"/>
                <w:bCs w:val="1"/>
                <w:color w:val="0000EE"/>
              </w:rPr>
            </w:pPr>
            <w:hyperlink w:anchor="page37">
              <w:r>
                <w:rPr>
                  <w:rFonts w:ascii="Arial" w:cs="Arial" w:eastAsia="Arial" w:hAnsi="Arial"/>
                  <w:sz w:val="18"/>
                  <w:szCs w:val="18"/>
                  <w:b w:val="1"/>
                  <w:bCs w:val="1"/>
                  <w:color w:val="0000EE"/>
                </w:rPr>
                <w:t>Mine Safety Disclosures</w:t>
              </w:r>
            </w:hyperlink>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82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gridSpan w:val="4"/>
          </w:tcPr>
          <w:p>
            <w:pPr>
              <w:spacing w:after="0"/>
              <w:rPr>
                <w:rFonts w:ascii="Arial" w:cs="Arial" w:eastAsia="Arial" w:hAnsi="Arial"/>
                <w:sz w:val="18"/>
                <w:szCs w:val="18"/>
                <w:b w:val="1"/>
                <w:bCs w:val="1"/>
                <w:color w:val="0000EE"/>
              </w:rPr>
            </w:pPr>
            <w:hyperlink w:anchor="page37">
              <w:r>
                <w:rPr>
                  <w:rFonts w:ascii="Arial" w:cs="Arial" w:eastAsia="Arial" w:hAnsi="Arial"/>
                  <w:sz w:val="18"/>
                  <w:szCs w:val="18"/>
                  <w:b w:val="1"/>
                  <w:bCs w:val="1"/>
                  <w:color w:val="0000EE"/>
                </w:rPr>
                <w:t>Item 5.</w:t>
              </w:r>
            </w:hyperlink>
          </w:p>
        </w:tc>
        <w:tc>
          <w:tcPr>
            <w:tcW w:w="5660" w:type="dxa"/>
            <w:vAlign w:val="bottom"/>
            <w:gridSpan w:val="9"/>
          </w:tcPr>
          <w:p>
            <w:pPr>
              <w:spacing w:after="0"/>
              <w:rPr>
                <w:rFonts w:ascii="Arial" w:cs="Arial" w:eastAsia="Arial" w:hAnsi="Arial"/>
                <w:sz w:val="18"/>
                <w:szCs w:val="18"/>
                <w:b w:val="1"/>
                <w:bCs w:val="1"/>
                <w:color w:val="0000EE"/>
              </w:rPr>
            </w:pPr>
            <w:hyperlink w:anchor="page37">
              <w:r>
                <w:rPr>
                  <w:rFonts w:ascii="Arial" w:cs="Arial" w:eastAsia="Arial" w:hAnsi="Arial"/>
                  <w:sz w:val="18"/>
                  <w:szCs w:val="18"/>
                  <w:b w:val="1"/>
                  <w:bCs w:val="1"/>
                  <w:color w:val="0000EE"/>
                </w:rPr>
                <w:t>Other Information</w:t>
              </w:r>
            </w:hyperlink>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420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gridSpan w:val="4"/>
          </w:tcPr>
          <w:p>
            <w:pPr>
              <w:spacing w:after="0"/>
              <w:rPr>
                <w:rFonts w:ascii="Arial" w:cs="Arial" w:eastAsia="Arial" w:hAnsi="Arial"/>
                <w:sz w:val="18"/>
                <w:szCs w:val="18"/>
                <w:b w:val="1"/>
                <w:bCs w:val="1"/>
                <w:color w:val="0000EE"/>
              </w:rPr>
            </w:pPr>
            <w:hyperlink w:anchor="page37">
              <w:r>
                <w:rPr>
                  <w:rFonts w:ascii="Arial" w:cs="Arial" w:eastAsia="Arial" w:hAnsi="Arial"/>
                  <w:sz w:val="18"/>
                  <w:szCs w:val="18"/>
                  <w:b w:val="1"/>
                  <w:bCs w:val="1"/>
                  <w:color w:val="0000EE"/>
                </w:rPr>
                <w:t>Item 6.</w:t>
              </w:r>
            </w:hyperlink>
          </w:p>
        </w:tc>
        <w:tc>
          <w:tcPr>
            <w:tcW w:w="5660" w:type="dxa"/>
            <w:vAlign w:val="bottom"/>
            <w:gridSpan w:val="9"/>
          </w:tcPr>
          <w:p>
            <w:pPr>
              <w:spacing w:after="0"/>
              <w:rPr>
                <w:rFonts w:ascii="Arial" w:cs="Arial" w:eastAsia="Arial" w:hAnsi="Arial"/>
                <w:sz w:val="18"/>
                <w:szCs w:val="18"/>
                <w:b w:val="1"/>
                <w:bCs w:val="1"/>
                <w:color w:val="0000EE"/>
              </w:rPr>
            </w:pPr>
            <w:hyperlink w:anchor="page37">
              <w:r>
                <w:rPr>
                  <w:rFonts w:ascii="Arial" w:cs="Arial" w:eastAsia="Arial" w:hAnsi="Arial"/>
                  <w:sz w:val="18"/>
                  <w:szCs w:val="18"/>
                  <w:b w:val="1"/>
                  <w:bCs w:val="1"/>
                  <w:color w:val="0000EE"/>
                </w:rPr>
                <w:t>Exhibits</w:t>
              </w:r>
            </w:hyperlink>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Borders>
              <w:top w:val="single" w:sz="8" w:color="0000EE"/>
            </w:tcBorders>
            <w:gridSpan w:val="2"/>
          </w:tcPr>
          <w:p>
            <w:pPr>
              <w:spacing w:after="0"/>
              <w:rPr>
                <w:sz w:val="24"/>
                <w:szCs w:val="24"/>
                <w:color w:val="auto"/>
              </w:rPr>
            </w:pPr>
          </w:p>
        </w:tc>
        <w:tc>
          <w:tcPr>
            <w:tcW w:w="3940" w:type="dxa"/>
            <w:vAlign w:val="bottom"/>
            <w:gridSpan w:val="6"/>
          </w:tcPr>
          <w:p>
            <w:pPr>
              <w:jc w:val="right"/>
              <w:ind w:right="900"/>
              <w:spacing w:after="0"/>
              <w:rPr>
                <w:sz w:val="20"/>
                <w:szCs w:val="20"/>
                <w:color w:val="auto"/>
              </w:rPr>
            </w:pPr>
            <w:r>
              <w:rPr>
                <w:rFonts w:ascii="Arial" w:cs="Arial" w:eastAsia="Arial" w:hAnsi="Arial"/>
                <w:sz w:val="18"/>
                <w:szCs w:val="18"/>
                <w:color w:val="auto"/>
              </w:rPr>
              <w:t>2</w:t>
            </w: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560" w:type="dxa"/>
            <w:vAlign w:val="bottom"/>
            <w:tcBorders>
              <w:bottom w:val="single" w:sz="8" w:color="010101"/>
            </w:tcBorders>
          </w:tcPr>
          <w:p>
            <w:pPr>
              <w:spacing w:after="0"/>
              <w:rPr>
                <w:sz w:val="11"/>
                <w:szCs w:val="11"/>
                <w:color w:val="auto"/>
              </w:rPr>
            </w:pPr>
          </w:p>
        </w:tc>
        <w:tc>
          <w:tcPr>
            <w:tcW w:w="700" w:type="dxa"/>
            <w:vAlign w:val="bottom"/>
            <w:tcBorders>
              <w:bottom w:val="single" w:sz="8" w:color="010101"/>
            </w:tcBorders>
            <w:gridSpan w:val="2"/>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380" w:type="dxa"/>
            <w:vAlign w:val="bottom"/>
            <w:tcBorders>
              <w:bottom w:val="single" w:sz="8" w:color="010101"/>
            </w:tcBorders>
          </w:tcPr>
          <w:p>
            <w:pPr>
              <w:spacing w:after="0"/>
              <w:rPr>
                <w:sz w:val="11"/>
                <w:szCs w:val="11"/>
                <w:color w:val="auto"/>
              </w:rPr>
            </w:pPr>
          </w:p>
        </w:tc>
        <w:tc>
          <w:tcPr>
            <w:tcW w:w="620" w:type="dxa"/>
            <w:vAlign w:val="bottom"/>
            <w:tcBorders>
              <w:bottom w:val="single" w:sz="8" w:color="010101"/>
            </w:tcBorders>
          </w:tcPr>
          <w:p>
            <w:pPr>
              <w:spacing w:after="0"/>
              <w:rPr>
                <w:sz w:val="11"/>
                <w:szCs w:val="11"/>
                <w:color w:val="auto"/>
              </w:rPr>
            </w:pPr>
          </w:p>
        </w:tc>
        <w:tc>
          <w:tcPr>
            <w:tcW w:w="2120" w:type="dxa"/>
            <w:vAlign w:val="bottom"/>
            <w:tcBorders>
              <w:bottom w:val="single" w:sz="8" w:color="010101"/>
            </w:tcBorders>
          </w:tcPr>
          <w:p>
            <w:pPr>
              <w:spacing w:after="0"/>
              <w:rPr>
                <w:sz w:val="11"/>
                <w:szCs w:val="11"/>
                <w:color w:val="auto"/>
              </w:rPr>
            </w:pPr>
          </w:p>
        </w:tc>
        <w:tc>
          <w:tcPr>
            <w:tcW w:w="1080" w:type="dxa"/>
            <w:vAlign w:val="bottom"/>
            <w:tcBorders>
              <w:bottom w:val="single" w:sz="8" w:color="010101"/>
            </w:tcBorders>
          </w:tcPr>
          <w:p>
            <w:pPr>
              <w:spacing w:after="0"/>
              <w:rPr>
                <w:sz w:val="11"/>
                <w:szCs w:val="11"/>
                <w:color w:val="auto"/>
              </w:rPr>
            </w:pPr>
          </w:p>
        </w:tc>
        <w:tc>
          <w:tcPr>
            <w:tcW w:w="56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2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2080" w:type="dxa"/>
            <w:vAlign w:val="bottom"/>
            <w:gridSpan w:val="7"/>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20" w:type="dxa"/>
            <w:vAlign w:val="bottom"/>
            <w:gridSpan w:val="3"/>
          </w:tcPr>
          <w:p>
            <w:pPr>
              <w:jc w:val="center"/>
              <w:ind w:right="220"/>
              <w:spacing w:after="0"/>
              <w:rPr>
                <w:sz w:val="20"/>
                <w:szCs w:val="20"/>
                <w:color w:val="auto"/>
              </w:rPr>
            </w:pPr>
            <w:r>
              <w:rPr>
                <w:rFonts w:ascii="Arial" w:cs="Arial" w:eastAsia="Arial" w:hAnsi="Arial"/>
                <w:sz w:val="18"/>
                <w:szCs w:val="18"/>
                <w:color w:val="auto"/>
                <w:w w:val="97"/>
              </w:rPr>
              <w:t>PART 1- FINANCIAL INFORMATION</w:t>
            </w: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740" w:type="dxa"/>
            <w:vAlign w:val="bottom"/>
            <w:gridSpan w:val="16"/>
          </w:tcPr>
          <w:p>
            <w:pPr>
              <w:spacing w:after="0"/>
              <w:rPr>
                <w:sz w:val="20"/>
                <w:szCs w:val="20"/>
                <w:color w:val="auto"/>
              </w:rPr>
            </w:pPr>
            <w:r>
              <w:rPr>
                <w:rFonts w:ascii="Arial" w:cs="Arial" w:eastAsia="Arial" w:hAnsi="Arial"/>
                <w:sz w:val="18"/>
                <w:szCs w:val="18"/>
                <w:color w:val="auto"/>
              </w:rPr>
              <w:t>Item 1. Financial Statements (Unaudited)</w:t>
            </w: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7740" w:type="dxa"/>
            <w:vAlign w:val="bottom"/>
            <w:gridSpan w:val="16"/>
          </w:tcPr>
          <w:p>
            <w:pPr>
              <w:spacing w:after="0"/>
              <w:rPr>
                <w:sz w:val="20"/>
                <w:szCs w:val="20"/>
                <w:color w:val="auto"/>
              </w:rPr>
            </w:pPr>
            <w:r>
              <w:rPr>
                <w:rFonts w:ascii="Arial" w:cs="Arial" w:eastAsia="Arial" w:hAnsi="Arial"/>
                <w:sz w:val="18"/>
                <w:szCs w:val="18"/>
                <w:b w:val="1"/>
                <w:bCs w:val="1"/>
                <w:color w:val="auto"/>
              </w:rPr>
              <w:t>NORTHEAST BANCORP AND SUBSIDIARY</w:t>
            </w: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7740" w:type="dxa"/>
            <w:vAlign w:val="bottom"/>
            <w:gridSpan w:val="16"/>
          </w:tcPr>
          <w:p>
            <w:pPr>
              <w:spacing w:after="0"/>
              <w:rPr>
                <w:sz w:val="20"/>
                <w:szCs w:val="20"/>
                <w:color w:val="auto"/>
              </w:rPr>
            </w:pPr>
            <w:r>
              <w:rPr>
                <w:rFonts w:ascii="Arial" w:cs="Arial" w:eastAsia="Arial" w:hAnsi="Arial"/>
                <w:sz w:val="18"/>
                <w:szCs w:val="18"/>
                <w:b w:val="1"/>
                <w:bCs w:val="1"/>
                <w:color w:val="auto"/>
              </w:rPr>
              <w:t>CONSOLIDATED BALANCE SHEETS</w:t>
            </w: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60" w:type="dxa"/>
            <w:vAlign w:val="bottom"/>
            <w:gridSpan w:val="3"/>
          </w:tcPr>
          <w:p>
            <w:pPr>
              <w:spacing w:after="0"/>
              <w:rPr>
                <w:sz w:val="20"/>
                <w:szCs w:val="20"/>
                <w:color w:val="auto"/>
              </w:rPr>
            </w:pPr>
            <w:r>
              <w:rPr>
                <w:rFonts w:ascii="Arial" w:cs="Arial" w:eastAsia="Arial" w:hAnsi="Arial"/>
                <w:sz w:val="18"/>
                <w:szCs w:val="18"/>
                <w:color w:val="auto"/>
                <w:w w:val="99"/>
              </w:rPr>
              <w:t>(Unaudited)</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40" w:type="dxa"/>
            <w:vAlign w:val="bottom"/>
            <w:gridSpan w:val="16"/>
          </w:tcPr>
          <w:p>
            <w:pPr>
              <w:spacing w:after="0"/>
              <w:rPr>
                <w:sz w:val="20"/>
                <w:szCs w:val="20"/>
                <w:color w:val="auto"/>
              </w:rPr>
            </w:pPr>
            <w:r>
              <w:rPr>
                <w:rFonts w:ascii="Arial" w:cs="Arial" w:eastAsia="Arial" w:hAnsi="Arial"/>
                <w:sz w:val="18"/>
                <w:szCs w:val="18"/>
                <w:color w:val="auto"/>
              </w:rPr>
              <w:t>(Dollars in thousands, except share and per share data)</w:t>
            </w: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31, 2013</w:t>
            </w:r>
          </w:p>
        </w:tc>
        <w:tc>
          <w:tcPr>
            <w:tcW w:w="180" w:type="dxa"/>
            <w:vAlign w:val="bottom"/>
          </w:tcPr>
          <w:p>
            <w:pPr>
              <w:spacing w:after="0"/>
              <w:rPr>
                <w:sz w:val="24"/>
                <w:szCs w:val="24"/>
                <w:color w:val="auto"/>
              </w:rPr>
            </w:pPr>
          </w:p>
        </w:tc>
        <w:tc>
          <w:tcPr>
            <w:tcW w:w="1320" w:type="dxa"/>
            <w:vAlign w:val="bottom"/>
            <w:gridSpan w:val="3"/>
          </w:tcPr>
          <w:p>
            <w:pPr>
              <w:ind w:left="80"/>
              <w:spacing w:after="0"/>
              <w:rPr>
                <w:sz w:val="20"/>
                <w:szCs w:val="20"/>
                <w:color w:val="auto"/>
              </w:rPr>
            </w:pPr>
            <w:r>
              <w:rPr>
                <w:rFonts w:ascii="Arial" w:cs="Arial" w:eastAsia="Arial" w:hAnsi="Arial"/>
                <w:sz w:val="14"/>
                <w:szCs w:val="14"/>
                <w:b w:val="1"/>
                <w:bCs w:val="1"/>
                <w:color w:val="auto"/>
              </w:rPr>
              <w:t>June 30, 2012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200" w:type="dxa"/>
            <w:vAlign w:val="bottom"/>
            <w:tcBorders>
              <w:top w:val="single" w:sz="8" w:color="CCEEFF"/>
            </w:tcBorders>
            <w:gridSpan w:val="4"/>
            <w:shd w:val="clear" w:color="auto" w:fill="CCEEFF"/>
          </w:tcPr>
          <w:p>
            <w:pPr>
              <w:jc w:val="center"/>
              <w:ind w:right="3260"/>
              <w:spacing w:after="0" w:line="196" w:lineRule="exact"/>
              <w:rPr>
                <w:sz w:val="20"/>
                <w:szCs w:val="20"/>
                <w:color w:val="auto"/>
              </w:rPr>
            </w:pPr>
            <w:r>
              <w:rPr>
                <w:rFonts w:ascii="Arial" w:cs="Arial" w:eastAsia="Arial" w:hAnsi="Arial"/>
                <w:sz w:val="18"/>
                <w:szCs w:val="18"/>
                <w:color w:val="auto"/>
                <w:w w:val="85"/>
              </w:rPr>
              <w:t>Assets</w:t>
            </w:r>
          </w:p>
        </w:tc>
        <w:tc>
          <w:tcPr>
            <w:tcW w:w="5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gridSpan w:val="6"/>
          </w:tcPr>
          <w:p>
            <w:pPr>
              <w:spacing w:after="0"/>
              <w:rPr>
                <w:sz w:val="20"/>
                <w:szCs w:val="20"/>
                <w:color w:val="auto"/>
              </w:rPr>
            </w:pPr>
            <w:r>
              <w:rPr>
                <w:rFonts w:ascii="Arial" w:cs="Arial" w:eastAsia="Arial" w:hAnsi="Arial"/>
                <w:sz w:val="18"/>
                <w:szCs w:val="18"/>
                <w:color w:val="auto"/>
                <w:w w:val="98"/>
              </w:rPr>
              <w:t>Cash and due from banks</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2,936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2,538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139,633</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125,736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20" w:type="dxa"/>
            <w:vAlign w:val="bottom"/>
            <w:gridSpan w:val="15"/>
          </w:tcPr>
          <w:p>
            <w:pPr>
              <w:ind w:left="520"/>
              <w:spacing w:after="0"/>
              <w:rPr>
                <w:sz w:val="20"/>
                <w:szCs w:val="20"/>
                <w:color w:val="auto"/>
              </w:rPr>
            </w:pPr>
            <w:r>
              <w:rPr>
                <w:rFonts w:ascii="Arial" w:cs="Arial" w:eastAsia="Arial" w:hAnsi="Arial"/>
                <w:sz w:val="18"/>
                <w:szCs w:val="18"/>
                <w:color w:val="auto"/>
              </w:rPr>
              <w:t>Total cash and cash equivalents</w:t>
            </w:r>
          </w:p>
        </w:tc>
        <w:tc>
          <w:tcPr>
            <w:tcW w:w="5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142,569</w:t>
            </w: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128,274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gridSpan w:val="15"/>
          </w:tcPr>
          <w:p>
            <w:pPr>
              <w:spacing w:after="0"/>
              <w:rPr>
                <w:sz w:val="20"/>
                <w:szCs w:val="20"/>
                <w:color w:val="auto"/>
              </w:rPr>
            </w:pPr>
            <w:r>
              <w:rPr>
                <w:rFonts w:ascii="Arial" w:cs="Arial" w:eastAsia="Arial" w:hAnsi="Arial"/>
                <w:sz w:val="18"/>
                <w:szCs w:val="18"/>
                <w:color w:val="auto"/>
              </w:rPr>
              <w:t>Available-for-sale securities, at fair value</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128,549</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133,264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Loans held for sale</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7,768</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Loans</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380,311</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356,254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15"/>
          </w:tcPr>
          <w:p>
            <w:pPr>
              <w:spacing w:after="0"/>
              <w:rPr>
                <w:sz w:val="20"/>
                <w:szCs w:val="20"/>
                <w:color w:val="auto"/>
              </w:rPr>
            </w:pPr>
            <w:r>
              <w:rPr>
                <w:rFonts w:ascii="Arial" w:cs="Arial" w:eastAsia="Arial" w:hAnsi="Arial"/>
                <w:sz w:val="18"/>
                <w:szCs w:val="18"/>
                <w:color w:val="auto"/>
              </w:rPr>
              <w:t>Less: Allowance for loan losses</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1,033</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824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60" w:type="dxa"/>
            <w:vAlign w:val="bottom"/>
            <w:tcBorders>
              <w:top w:val="single" w:sz="8" w:color="CCEEFF"/>
            </w:tcBorders>
            <w:gridSpan w:val="6"/>
            <w:shd w:val="clear" w:color="auto" w:fill="CCEEFF"/>
          </w:tcPr>
          <w:p>
            <w:pPr>
              <w:ind w:left="340"/>
              <w:spacing w:after="0"/>
              <w:rPr>
                <w:sz w:val="20"/>
                <w:szCs w:val="20"/>
                <w:color w:val="auto"/>
              </w:rPr>
            </w:pPr>
            <w:r>
              <w:rPr>
                <w:rFonts w:ascii="Arial" w:cs="Arial" w:eastAsia="Arial" w:hAnsi="Arial"/>
                <w:sz w:val="18"/>
                <w:szCs w:val="18"/>
                <w:color w:val="auto"/>
              </w:rPr>
              <w:t>Loans, net</w:t>
            </w:r>
          </w:p>
        </w:tc>
        <w:tc>
          <w:tcPr>
            <w:tcW w:w="3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21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379,278</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355,430</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60" w:type="dxa"/>
            <w:vAlign w:val="bottom"/>
            <w:gridSpan w:val="6"/>
            <w:shd w:val="clear" w:color="auto" w:fill="CCEEFF"/>
          </w:tcPr>
          <w:p>
            <w:pPr>
              <w:spacing w:after="0"/>
              <w:rPr>
                <w:sz w:val="20"/>
                <w:szCs w:val="20"/>
                <w:color w:val="auto"/>
              </w:rPr>
            </w:pPr>
            <w:r>
              <w:rPr>
                <w:rFonts w:ascii="Arial" w:cs="Arial" w:eastAsia="Arial" w:hAnsi="Arial"/>
                <w:sz w:val="18"/>
                <w:szCs w:val="18"/>
                <w:color w:val="auto"/>
                <w:w w:val="87"/>
              </w:rPr>
              <w:t>Premises and equipment, net</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10,013</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15"/>
          </w:tcPr>
          <w:p>
            <w:pPr>
              <w:spacing w:after="0"/>
              <w:rPr>
                <w:sz w:val="20"/>
                <w:szCs w:val="20"/>
                <w:color w:val="auto"/>
              </w:rPr>
            </w:pPr>
            <w:r>
              <w:rPr>
                <w:rFonts w:ascii="Arial" w:cs="Arial" w:eastAsia="Arial" w:hAnsi="Arial"/>
                <w:sz w:val="18"/>
                <w:szCs w:val="18"/>
                <w:color w:val="auto"/>
              </w:rPr>
              <w:t>Real estate owned and other repossessed collateral, net</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2,038</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834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15"/>
            <w:shd w:val="clear" w:color="auto" w:fill="CCEEFF"/>
          </w:tcPr>
          <w:p>
            <w:pPr>
              <w:spacing w:after="0"/>
              <w:rPr>
                <w:sz w:val="20"/>
                <w:szCs w:val="20"/>
                <w:color w:val="auto"/>
              </w:rPr>
            </w:pPr>
            <w:r>
              <w:rPr>
                <w:rFonts w:ascii="Arial" w:cs="Arial" w:eastAsia="Arial" w:hAnsi="Arial"/>
                <w:sz w:val="18"/>
                <w:szCs w:val="18"/>
                <w:color w:val="auto"/>
              </w:rPr>
              <w:t>Federal Home Loan Bank and Federal Reserve Bank stock, at cost</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5,121</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gridSpan w:val="6"/>
          </w:tcPr>
          <w:p>
            <w:pPr>
              <w:spacing w:after="0"/>
              <w:rPr>
                <w:sz w:val="20"/>
                <w:szCs w:val="20"/>
                <w:color w:val="auto"/>
              </w:rPr>
            </w:pPr>
            <w:r>
              <w:rPr>
                <w:rFonts w:ascii="Arial" w:cs="Arial" w:eastAsia="Arial" w:hAnsi="Arial"/>
                <w:sz w:val="18"/>
                <w:szCs w:val="18"/>
                <w:color w:val="auto"/>
              </w:rPr>
              <w:t>Intangible assets, net</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3,751</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4,487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gridSpan w:val="6"/>
            <w:shd w:val="clear" w:color="auto" w:fill="CCEEFF"/>
          </w:tcPr>
          <w:p>
            <w:pPr>
              <w:spacing w:after="0"/>
              <w:rPr>
                <w:sz w:val="20"/>
                <w:szCs w:val="20"/>
                <w:color w:val="auto"/>
              </w:rPr>
            </w:pPr>
            <w:r>
              <w:rPr>
                <w:rFonts w:ascii="Arial" w:cs="Arial" w:eastAsia="Arial" w:hAnsi="Arial"/>
                <w:sz w:val="18"/>
                <w:szCs w:val="18"/>
                <w:color w:val="auto"/>
                <w:w w:val="97"/>
              </w:rPr>
              <w:t>Bank owned life insurance</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14,266</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gridSpan w:val="2"/>
          </w:tcPr>
          <w:p>
            <w:pPr>
              <w:spacing w:after="0"/>
              <w:rPr>
                <w:sz w:val="20"/>
                <w:szCs w:val="20"/>
                <w:color w:val="auto"/>
              </w:rPr>
            </w:pPr>
            <w:r>
              <w:rPr>
                <w:rFonts w:ascii="Arial" w:cs="Arial" w:eastAsia="Arial" w:hAnsi="Arial"/>
                <w:sz w:val="18"/>
                <w:szCs w:val="18"/>
                <w:color w:val="auto"/>
                <w:w w:val="90"/>
              </w:rPr>
              <w:t>Other assets</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6,224</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8,052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60" w:type="dxa"/>
            <w:vAlign w:val="bottom"/>
            <w:tcBorders>
              <w:top w:val="single" w:sz="8" w:color="CCEEFF"/>
              <w:bottom w:val="single" w:sz="8" w:color="CCEEFF"/>
            </w:tcBorders>
            <w:gridSpan w:val="6"/>
            <w:shd w:val="clear" w:color="auto" w:fill="CCEEFF"/>
          </w:tcPr>
          <w:p>
            <w:pPr>
              <w:ind w:left="160"/>
              <w:spacing w:after="0"/>
              <w:rPr>
                <w:sz w:val="20"/>
                <w:szCs w:val="20"/>
                <w:color w:val="auto"/>
              </w:rPr>
            </w:pPr>
            <w:r>
              <w:rPr>
                <w:rFonts w:ascii="Arial" w:cs="Arial" w:eastAsia="Arial" w:hAnsi="Arial"/>
                <w:sz w:val="18"/>
                <w:szCs w:val="18"/>
                <w:color w:val="auto"/>
              </w:rPr>
              <w:t>Total assets</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CCEEFF"/>
              <w:bottom w:val="single" w:sz="8" w:color="CCEEFF"/>
            </w:tcBorders>
            <w:shd w:val="clear" w:color="auto" w:fill="CCEEFF"/>
          </w:tcPr>
          <w:p>
            <w:pPr>
              <w:spacing w:after="0"/>
              <w:rPr>
                <w:sz w:val="18"/>
                <w:szCs w:val="18"/>
                <w:color w:val="auto"/>
              </w:rPr>
            </w:pPr>
          </w:p>
        </w:tc>
        <w:tc>
          <w:tcPr>
            <w:tcW w:w="2120" w:type="dxa"/>
            <w:vAlign w:val="bottom"/>
            <w:tcBorders>
              <w:top w:val="single" w:sz="8" w:color="CCEEFF"/>
              <w:bottom w:val="single" w:sz="8" w:color="CCEEFF"/>
            </w:tcBorders>
            <w:shd w:val="clear" w:color="auto" w:fill="CCEEFF"/>
          </w:tcPr>
          <w:p>
            <w:pPr>
              <w:spacing w:after="0"/>
              <w:rPr>
                <w:sz w:val="18"/>
                <w:szCs w:val="18"/>
                <w:color w:val="auto"/>
              </w:rPr>
            </w:pPr>
          </w:p>
        </w:tc>
        <w:tc>
          <w:tcPr>
            <w:tcW w:w="108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699,577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669,196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320" w:type="dxa"/>
            <w:vAlign w:val="bottom"/>
            <w:gridSpan w:val="8"/>
            <w:shd w:val="clear" w:color="auto" w:fill="CCEEFF"/>
          </w:tcPr>
          <w:p>
            <w:pPr>
              <w:jc w:val="center"/>
              <w:ind w:right="2160"/>
              <w:spacing w:after="0"/>
              <w:rPr>
                <w:sz w:val="20"/>
                <w:szCs w:val="20"/>
                <w:color w:val="auto"/>
              </w:rPr>
            </w:pPr>
            <w:r>
              <w:rPr>
                <w:rFonts w:ascii="Arial" w:cs="Arial" w:eastAsia="Arial" w:hAnsi="Arial"/>
                <w:sz w:val="18"/>
                <w:szCs w:val="18"/>
                <w:color w:val="auto"/>
                <w:w w:val="93"/>
              </w:rPr>
              <w:t>Liabilities and Stockholders’ Equity</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gridSpan w:val="2"/>
          </w:tcPr>
          <w:p>
            <w:pPr>
              <w:spacing w:after="0"/>
              <w:rPr>
                <w:sz w:val="20"/>
                <w:szCs w:val="20"/>
                <w:color w:val="auto"/>
              </w:rPr>
            </w:pPr>
            <w:r>
              <w:rPr>
                <w:rFonts w:ascii="Arial" w:cs="Arial" w:eastAsia="Arial" w:hAnsi="Arial"/>
                <w:sz w:val="18"/>
                <w:szCs w:val="18"/>
                <w:color w:val="auto"/>
              </w:rPr>
              <w:t>Liabilities</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Deposits</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gridSpan w:val="6"/>
          </w:tcPr>
          <w:p>
            <w:pPr>
              <w:ind w:left="340"/>
              <w:spacing w:after="0"/>
              <w:rPr>
                <w:sz w:val="20"/>
                <w:szCs w:val="20"/>
                <w:color w:val="auto"/>
              </w:rPr>
            </w:pPr>
            <w:r>
              <w:rPr>
                <w:rFonts w:ascii="Arial" w:cs="Arial" w:eastAsia="Arial" w:hAnsi="Arial"/>
                <w:sz w:val="18"/>
                <w:szCs w:val="18"/>
                <w:color w:val="auto"/>
              </w:rPr>
              <w:t>Demand</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46,783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45,323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15"/>
            <w:shd w:val="clear" w:color="auto" w:fill="CCEEFF"/>
          </w:tcPr>
          <w:p>
            <w:pPr>
              <w:ind w:left="340"/>
              <w:spacing w:after="0"/>
              <w:rPr>
                <w:sz w:val="20"/>
                <w:szCs w:val="20"/>
                <w:color w:val="auto"/>
              </w:rPr>
            </w:pPr>
            <w:r>
              <w:rPr>
                <w:rFonts w:ascii="Arial" w:cs="Arial" w:eastAsia="Arial" w:hAnsi="Arial"/>
                <w:sz w:val="18"/>
                <w:szCs w:val="18"/>
                <w:color w:val="auto"/>
              </w:rPr>
              <w:t>Savings and interest checking</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89,394</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90,204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gridSpan w:val="6"/>
          </w:tcPr>
          <w:p>
            <w:pPr>
              <w:ind w:left="340"/>
              <w:spacing w:after="0"/>
              <w:rPr>
                <w:sz w:val="20"/>
                <w:szCs w:val="20"/>
                <w:color w:val="auto"/>
              </w:rPr>
            </w:pPr>
            <w:r>
              <w:rPr>
                <w:rFonts w:ascii="Arial" w:cs="Arial" w:eastAsia="Arial" w:hAnsi="Arial"/>
                <w:sz w:val="18"/>
                <w:szCs w:val="18"/>
                <w:color w:val="auto"/>
              </w:rPr>
              <w:t>Money market</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83,129</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45,024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gridSpan w:val="6"/>
            <w:shd w:val="clear" w:color="auto" w:fill="CCEEFF"/>
          </w:tcPr>
          <w:p>
            <w:pPr>
              <w:ind w:left="340"/>
              <w:spacing w:after="0"/>
              <w:rPr>
                <w:sz w:val="20"/>
                <w:szCs w:val="20"/>
                <w:color w:val="auto"/>
              </w:rPr>
            </w:pPr>
            <w:r>
              <w:rPr>
                <w:rFonts w:ascii="Arial" w:cs="Arial" w:eastAsia="Arial" w:hAnsi="Arial"/>
                <w:sz w:val="18"/>
                <w:szCs w:val="18"/>
                <w:color w:val="auto"/>
              </w:rPr>
              <w:t>Time deposits</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286,280</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241,637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60" w:type="dxa"/>
            <w:vAlign w:val="bottom"/>
            <w:gridSpan w:val="6"/>
          </w:tcPr>
          <w:p>
            <w:pPr>
              <w:ind w:left="520"/>
              <w:spacing w:after="0"/>
              <w:rPr>
                <w:sz w:val="20"/>
                <w:szCs w:val="20"/>
                <w:color w:val="auto"/>
              </w:rPr>
            </w:pPr>
            <w:r>
              <w:rPr>
                <w:rFonts w:ascii="Arial" w:cs="Arial" w:eastAsia="Arial" w:hAnsi="Arial"/>
                <w:sz w:val="18"/>
                <w:szCs w:val="18"/>
                <w:color w:val="auto"/>
              </w:rPr>
              <w:t>Total deposits</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505,586</w:t>
            </w: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422,188</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15"/>
          </w:tcPr>
          <w:p>
            <w:pPr>
              <w:ind w:left="160"/>
              <w:spacing w:after="0"/>
              <w:rPr>
                <w:sz w:val="20"/>
                <w:szCs w:val="20"/>
                <w:color w:val="auto"/>
              </w:rPr>
            </w:pPr>
            <w:r>
              <w:rPr>
                <w:rFonts w:ascii="Arial" w:cs="Arial" w:eastAsia="Arial" w:hAnsi="Arial"/>
                <w:sz w:val="18"/>
                <w:szCs w:val="18"/>
                <w:color w:val="auto"/>
              </w:rPr>
              <w:t>Federal Home Loan Bank advances</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33,117</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43,450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15"/>
            <w:shd w:val="clear" w:color="auto" w:fill="CCEEFF"/>
          </w:tcPr>
          <w:p>
            <w:pPr>
              <w:ind w:left="160"/>
              <w:spacing w:after="0"/>
              <w:rPr>
                <w:sz w:val="20"/>
                <w:szCs w:val="20"/>
                <w:color w:val="auto"/>
              </w:rPr>
            </w:pPr>
            <w:r>
              <w:rPr>
                <w:rFonts w:ascii="Arial" w:cs="Arial" w:eastAsia="Arial" w:hAnsi="Arial"/>
                <w:sz w:val="18"/>
                <w:szCs w:val="18"/>
                <w:color w:val="auto"/>
              </w:rPr>
              <w:t>Structured repurchase agreements</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25,518</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66,183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gridSpan w:val="6"/>
          </w:tcPr>
          <w:p>
            <w:pPr>
              <w:ind w:left="160"/>
              <w:spacing w:after="0"/>
              <w:rPr>
                <w:sz w:val="20"/>
                <w:szCs w:val="20"/>
                <w:color w:val="auto"/>
              </w:rPr>
            </w:pPr>
            <w:r>
              <w:rPr>
                <w:rFonts w:ascii="Arial" w:cs="Arial" w:eastAsia="Arial" w:hAnsi="Arial"/>
                <w:sz w:val="18"/>
                <w:szCs w:val="18"/>
                <w:color w:val="auto"/>
              </w:rPr>
              <w:t>Short-term borrowings</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2,360</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1,209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15"/>
            <w:shd w:val="clear" w:color="auto" w:fill="CCEEFF"/>
          </w:tcPr>
          <w:p>
            <w:pPr>
              <w:ind w:left="160"/>
              <w:spacing w:after="0"/>
              <w:rPr>
                <w:sz w:val="20"/>
                <w:szCs w:val="20"/>
                <w:color w:val="auto"/>
              </w:rPr>
            </w:pPr>
            <w:r>
              <w:rPr>
                <w:rFonts w:ascii="Arial" w:cs="Arial" w:eastAsia="Arial" w:hAnsi="Arial"/>
                <w:sz w:val="18"/>
                <w:szCs w:val="18"/>
                <w:color w:val="auto"/>
              </w:rPr>
              <w:t>Junior subordinated debentures issued to affiliated trusts</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8,227</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gridSpan w:val="6"/>
          </w:tcPr>
          <w:p>
            <w:pPr>
              <w:ind w:left="160"/>
              <w:spacing w:after="0"/>
              <w:rPr>
                <w:sz w:val="20"/>
                <w:szCs w:val="20"/>
                <w:color w:val="auto"/>
              </w:rPr>
            </w:pPr>
            <w:r>
              <w:rPr>
                <w:rFonts w:ascii="Arial" w:cs="Arial" w:eastAsia="Arial" w:hAnsi="Arial"/>
                <w:sz w:val="18"/>
                <w:szCs w:val="18"/>
                <w:color w:val="auto"/>
              </w:rPr>
              <w:t>Capital lease obligation</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1,783</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1,911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gridSpan w:val="6"/>
            <w:shd w:val="clear" w:color="auto" w:fill="CCEEFF"/>
          </w:tcPr>
          <w:p>
            <w:pPr>
              <w:ind w:left="160"/>
              <w:spacing w:after="0"/>
              <w:rPr>
                <w:sz w:val="20"/>
                <w:szCs w:val="20"/>
                <w:color w:val="auto"/>
              </w:rPr>
            </w:pPr>
            <w:r>
              <w:rPr>
                <w:rFonts w:ascii="Arial" w:cs="Arial" w:eastAsia="Arial" w:hAnsi="Arial"/>
                <w:sz w:val="18"/>
                <w:szCs w:val="18"/>
                <w:color w:val="auto"/>
              </w:rPr>
              <w:t>Other liabilities</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7,249</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060" w:type="dxa"/>
            <w:vAlign w:val="bottom"/>
            <w:tcBorders>
              <w:bottom w:val="single" w:sz="8" w:color="CCEEFF"/>
            </w:tcBorders>
            <w:gridSpan w:val="6"/>
          </w:tcPr>
          <w:p>
            <w:pPr>
              <w:ind w:left="520"/>
              <w:spacing w:after="0"/>
              <w:rPr>
                <w:sz w:val="20"/>
                <w:szCs w:val="20"/>
                <w:color w:val="auto"/>
              </w:rPr>
            </w:pPr>
            <w:r>
              <w:rPr>
                <w:rFonts w:ascii="Arial" w:cs="Arial" w:eastAsia="Arial" w:hAnsi="Arial"/>
                <w:sz w:val="18"/>
                <w:szCs w:val="18"/>
                <w:color w:val="auto"/>
              </w:rPr>
              <w:t>Total liabilities</w:t>
            </w:r>
          </w:p>
        </w:tc>
        <w:tc>
          <w:tcPr>
            <w:tcW w:w="34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212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583,840</w:t>
            </w:r>
          </w:p>
        </w:tc>
        <w:tc>
          <w:tcPr>
            <w:tcW w:w="28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550,057</w:t>
            </w:r>
          </w:p>
        </w:tc>
        <w:tc>
          <w:tcPr>
            <w:tcW w:w="100" w:type="dxa"/>
            <w:vAlign w:val="bottom"/>
            <w:tcBorders>
              <w:bottom w:val="single" w:sz="8" w:color="CCEEFF"/>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-6880860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-6880860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00" w:orient="portrait"/>
          <w:cols w:equalWidth="0" w:num="1">
            <w:col w:w="11460"/>
          </w:cols>
          <w:pgMar w:left="240" w:top="337" w:right="199" w:bottom="0" w:gutter="0" w:footer="0" w:header="0"/>
        </w:sectPr>
      </w:pPr>
    </w:p>
    <w:bookmarkStart w:id="2" w:name="page3"/>
    <w:bookmarkEnd w:id="2"/>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4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Stockholders’ equity</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Preferred stock, $1.00 par value, 1,000,000 shares authorized; no shares issued and outstanding at</w:t>
            </w: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3"/>
              </w:rPr>
              <w:t>March 31, 2013; 4,227 shares issued and outstanding at June 30, 2012; liquidation preference of $1,000</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per share</w:t>
            </w:r>
          </w:p>
        </w:tc>
        <w:tc>
          <w:tcPr>
            <w:tcW w:w="1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w:t>
            </w:r>
          </w:p>
        </w:tc>
        <w:tc>
          <w:tcPr>
            <w:tcW w:w="4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20" w:type="dxa"/>
            <w:vAlign w:val="bottom"/>
          </w:tcPr>
          <w:p>
            <w:pPr>
              <w:ind w:left="160"/>
              <w:spacing w:after="0" w:line="201" w:lineRule="exact"/>
              <w:rPr>
                <w:sz w:val="20"/>
                <w:szCs w:val="20"/>
                <w:color w:val="auto"/>
              </w:rPr>
            </w:pPr>
            <w:r>
              <w:rPr>
                <w:rFonts w:ascii="Arial" w:cs="Arial" w:eastAsia="Arial" w:hAnsi="Arial"/>
                <w:sz w:val="18"/>
                <w:szCs w:val="18"/>
                <w:color w:val="auto"/>
                <w:w w:val="91"/>
              </w:rPr>
              <w:t>Voting common stock, $1.00 par value, 25,000,000 and 13,500,000 shares authorized at March 31, 2013 and</w:t>
            </w: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340"/>
              <w:spacing w:after="0"/>
              <w:rPr>
                <w:sz w:val="20"/>
                <w:szCs w:val="20"/>
                <w:color w:val="auto"/>
              </w:rPr>
            </w:pPr>
            <w:r>
              <w:rPr>
                <w:rFonts w:ascii="Arial" w:cs="Arial" w:eastAsia="Arial" w:hAnsi="Arial"/>
                <w:sz w:val="18"/>
                <w:szCs w:val="18"/>
                <w:color w:val="auto"/>
                <w:w w:val="96"/>
              </w:rPr>
              <w:t>June 30, 2012, respectively; 9,565,680 and 9,307,127 issued and outstanding at March 31, 2013 and</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20" w:type="dxa"/>
            <w:vAlign w:val="bottom"/>
          </w:tcPr>
          <w:p>
            <w:pPr>
              <w:ind w:left="340"/>
              <w:spacing w:after="0"/>
              <w:rPr>
                <w:sz w:val="20"/>
                <w:szCs w:val="20"/>
                <w:color w:val="auto"/>
              </w:rPr>
            </w:pPr>
            <w:r>
              <w:rPr>
                <w:rFonts w:ascii="Arial" w:cs="Arial" w:eastAsia="Arial" w:hAnsi="Arial"/>
                <w:sz w:val="18"/>
                <w:szCs w:val="18"/>
                <w:color w:val="auto"/>
              </w:rPr>
              <w:t>June 30, 2012, respectively</w:t>
            </w: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9,566</w:t>
            </w:r>
          </w:p>
        </w:tc>
        <w:tc>
          <w:tcPr>
            <w:tcW w:w="42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9,307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3"/>
              </w:rPr>
              <w:t>Non-voting common stock, $1.00 par value, 3,000,000 and 1,500,000 shares authorized at March 31, 2013</w:t>
            </w: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4"/>
              </w:rPr>
              <w:t>and June 30, 2012, respectively; 880,963 and 1,076,314 issued and outstanding at March 31, 2013 and</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June 30, 2012, respectively</w:t>
            </w:r>
          </w:p>
        </w:tc>
        <w:tc>
          <w:tcPr>
            <w:tcW w:w="1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881</w:t>
            </w:r>
          </w:p>
        </w:tc>
        <w:tc>
          <w:tcPr>
            <w:tcW w:w="4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1,076</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92,556</w:t>
            </w:r>
          </w:p>
        </w:tc>
        <w:tc>
          <w:tcPr>
            <w:tcW w:w="4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96,359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13,260</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12,235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Accumulated other comprehensive (loss) income</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(526)</w:t>
            </w:r>
          </w:p>
        </w:tc>
        <w:tc>
          <w:tcPr>
            <w:tcW w:w="4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158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115,737</w:t>
            </w:r>
          </w:p>
        </w:tc>
        <w:tc>
          <w:tcPr>
            <w:tcW w:w="2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119,139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20" w:type="dxa"/>
            <w:vAlign w:val="bottom"/>
          </w:tcPr>
          <w:p>
            <w:pPr>
              <w:ind w:left="340"/>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Pr>
          <w:p>
            <w:pPr>
              <w:spacing w:after="0"/>
              <w:rPr>
                <w:sz w:val="18"/>
                <w:szCs w:val="18"/>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699,577</w:t>
            </w:r>
          </w:p>
        </w:tc>
        <w:tc>
          <w:tcPr>
            <w:tcW w:w="280" w:type="dxa"/>
            <w:vAlign w:val="bottom"/>
          </w:tcPr>
          <w:p>
            <w:pPr>
              <w:spacing w:after="0"/>
              <w:rPr>
                <w:sz w:val="18"/>
                <w:szCs w:val="18"/>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669,196</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NORTHEAST BANCORP AND SUBSIDIARY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 except share and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80" w:type="dxa"/>
            <w:vAlign w:val="bottom"/>
            <w:gridSpan w:val="7"/>
          </w:tcPr>
          <w:p>
            <w:pPr>
              <w:jc w:val="right"/>
              <w:ind w:right="480"/>
              <w:spacing w:after="0"/>
              <w:rPr>
                <w:sz w:val="20"/>
                <w:szCs w:val="20"/>
                <w:color w:val="auto"/>
              </w:rPr>
            </w:pPr>
            <w:r>
              <w:rPr>
                <w:rFonts w:ascii="Arial" w:cs="Arial" w:eastAsia="Arial" w:hAnsi="Arial"/>
                <w:sz w:val="14"/>
                <w:szCs w:val="14"/>
                <w:b w:val="1"/>
                <w:bCs w:val="1"/>
                <w:color w:val="auto"/>
              </w:rPr>
              <w:t>Three Months Ended March 31,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4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Nine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0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4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2012</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11"/>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Interest and dividend income:</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160"/>
              <w:spacing w:after="0"/>
              <w:rPr>
                <w:sz w:val="20"/>
                <w:szCs w:val="20"/>
                <w:color w:val="auto"/>
              </w:rPr>
            </w:pPr>
            <w:r>
              <w:rPr>
                <w:rFonts w:ascii="Arial" w:cs="Arial" w:eastAsia="Arial" w:hAnsi="Arial"/>
                <w:sz w:val="18"/>
                <w:szCs w:val="18"/>
                <w:color w:val="auto"/>
              </w:rPr>
              <w:t>Interest on loans</w:t>
            </w:r>
          </w:p>
        </w:tc>
        <w:tc>
          <w:tcPr>
            <w:tcW w:w="920" w:type="dxa"/>
            <w:vAlign w:val="bottom"/>
            <w:gridSpan w:val="2"/>
          </w:tcPr>
          <w:p>
            <w:pPr>
              <w:jc w:val="right"/>
              <w:ind w:right="568"/>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9,601</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5,870</w:t>
            </w:r>
          </w:p>
        </w:tc>
        <w:tc>
          <w:tcPr>
            <w:tcW w:w="18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25,209</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16,881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on available-for-sale securities</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234</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929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160"/>
              <w:spacing w:after="0"/>
              <w:rPr>
                <w:sz w:val="20"/>
                <w:szCs w:val="20"/>
                <w:color w:val="auto"/>
              </w:rPr>
            </w:pPr>
            <w:r>
              <w:rPr>
                <w:rFonts w:ascii="Arial" w:cs="Arial" w:eastAsia="Arial" w:hAnsi="Arial"/>
                <w:sz w:val="18"/>
                <w:szCs w:val="18"/>
                <w:color w:val="auto"/>
              </w:rPr>
              <w:t>Other interest and dividend income</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85</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283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interest and dividend income</w:t>
            </w:r>
          </w:p>
        </w:tc>
        <w:tc>
          <w:tcPr>
            <w:tcW w:w="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9,920</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6,352</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26,421</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18,659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160"/>
              <w:spacing w:after="0"/>
              <w:rPr>
                <w:sz w:val="20"/>
                <w:szCs w:val="20"/>
                <w:color w:val="auto"/>
              </w:rPr>
            </w:pPr>
            <w:r>
              <w:rPr>
                <w:rFonts w:ascii="Arial" w:cs="Arial" w:eastAsia="Arial" w:hAnsi="Arial"/>
                <w:sz w:val="18"/>
                <w:szCs w:val="18"/>
                <w:color w:val="auto"/>
              </w:rPr>
              <w:t>Deposits</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1,084</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875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3,090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2,548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Federal Home Loan Bank advances</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232</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750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160"/>
              <w:spacing w:after="0"/>
              <w:rPr>
                <w:sz w:val="20"/>
                <w:szCs w:val="20"/>
                <w:color w:val="auto"/>
              </w:rPr>
            </w:pPr>
            <w:r>
              <w:rPr>
                <w:rFonts w:ascii="Arial" w:cs="Arial" w:eastAsia="Arial" w:hAnsi="Arial"/>
                <w:sz w:val="18"/>
                <w:szCs w:val="18"/>
                <w:color w:val="auto"/>
              </w:rPr>
              <w:t>Structured repurchase agreements</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135</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515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Short-term borrowings</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160"/>
              <w:spacing w:after="0"/>
              <w:rPr>
                <w:sz w:val="20"/>
                <w:szCs w:val="20"/>
                <w:color w:val="auto"/>
              </w:rPr>
            </w:pPr>
            <w:r>
              <w:rPr>
                <w:rFonts w:ascii="Arial" w:cs="Arial" w:eastAsia="Arial" w:hAnsi="Arial"/>
                <w:sz w:val="18"/>
                <w:szCs w:val="18"/>
                <w:color w:val="auto"/>
              </w:rPr>
              <w:t>Junior subordinated debentures issued to affiliated trusts</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190</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574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Obligation under capital lease agreements</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interest expense</w:t>
            </w:r>
          </w:p>
        </w:tc>
        <w:tc>
          <w:tcPr>
            <w:tcW w:w="180" w:type="dxa"/>
            <w:vAlign w:val="bottom"/>
            <w:tcBorders>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1,667</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1,598</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5,013</w:t>
            </w:r>
          </w:p>
        </w:tc>
        <w:tc>
          <w:tcPr>
            <w:tcW w:w="3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4,711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Net interest and dividend income before provision for loan losses</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8,253</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4,754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21,408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13,948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loan losses</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346</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821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interest and dividend income after provision for loan losses</w:t>
            </w:r>
          </w:p>
        </w:tc>
        <w:tc>
          <w:tcPr>
            <w:tcW w:w="180" w:type="dxa"/>
            <w:vAlign w:val="bottom"/>
            <w:tcBorders>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7,907</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4,654</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20,587</w:t>
            </w:r>
          </w:p>
        </w:tc>
        <w:tc>
          <w:tcPr>
            <w:tcW w:w="3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13,314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Noninterest income:</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Fees for other services to customers</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430</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1,202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160"/>
              <w:spacing w:after="0"/>
              <w:rPr>
                <w:sz w:val="20"/>
                <w:szCs w:val="20"/>
                <w:color w:val="auto"/>
              </w:rPr>
            </w:pPr>
            <w:r>
              <w:rPr>
                <w:rFonts w:ascii="Arial" w:cs="Arial" w:eastAsia="Arial" w:hAnsi="Arial"/>
                <w:sz w:val="18"/>
                <w:szCs w:val="18"/>
                <w:color w:val="auto"/>
              </w:rPr>
              <w:t>Net securities gains</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731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792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Gain on sales of loans held for sale</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625</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634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2,295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160"/>
              <w:spacing w:after="0"/>
              <w:rPr>
                <w:sz w:val="20"/>
                <w:szCs w:val="20"/>
                <w:color w:val="auto"/>
              </w:rPr>
            </w:pPr>
            <w:r>
              <w:rPr>
                <w:rFonts w:ascii="Arial" w:cs="Arial" w:eastAsia="Arial" w:hAnsi="Arial"/>
                <w:sz w:val="18"/>
                <w:szCs w:val="18"/>
                <w:color w:val="auto"/>
              </w:rPr>
              <w:t>Gain on sales of portfolio loans</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1,228</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2,226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1"/>
              </w:rPr>
              <w:t>Gain recognized on real estate owned and other repossessed collateral, net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230</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681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160"/>
              <w:spacing w:after="0"/>
              <w:rPr>
                <w:sz w:val="20"/>
                <w:szCs w:val="20"/>
                <w:color w:val="auto"/>
              </w:rPr>
            </w:pPr>
            <w:r>
              <w:rPr>
                <w:rFonts w:ascii="Arial" w:cs="Arial" w:eastAsia="Arial" w:hAnsi="Arial"/>
                <w:sz w:val="18"/>
                <w:szCs w:val="18"/>
                <w:color w:val="auto"/>
              </w:rPr>
              <w:t>Investment commissions</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758</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720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2,232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Bank-owned life insurance income</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118</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599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160"/>
              <w:spacing w:after="0"/>
              <w:rPr>
                <w:sz w:val="20"/>
                <w:szCs w:val="20"/>
                <w:color w:val="auto"/>
              </w:rPr>
            </w:pPr>
            <w:r>
              <w:rPr>
                <w:rFonts w:ascii="Arial" w:cs="Arial" w:eastAsia="Arial" w:hAnsi="Arial"/>
                <w:sz w:val="18"/>
                <w:szCs w:val="18"/>
                <w:color w:val="auto"/>
              </w:rPr>
              <w:t>Other noninterest income</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68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noninterest income</w:t>
            </w:r>
          </w:p>
        </w:tc>
        <w:tc>
          <w:tcPr>
            <w:tcW w:w="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3,401</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2,748</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10,095</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Noninterest expense:</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160"/>
              <w:spacing w:after="0"/>
              <w:rPr>
                <w:sz w:val="20"/>
                <w:szCs w:val="20"/>
                <w:color w:val="auto"/>
              </w:rPr>
            </w:pPr>
            <w:r>
              <w:rPr>
                <w:rFonts w:ascii="Arial" w:cs="Arial" w:eastAsia="Arial" w:hAnsi="Arial"/>
                <w:sz w:val="18"/>
                <w:szCs w:val="18"/>
                <w:color w:val="auto"/>
              </w:rPr>
              <w:t>Salaries and employee benefits</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5,262</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4,093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13,732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11,539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Occupancy and equipment expense</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1,258</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970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3,483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160"/>
              <w:spacing w:after="0"/>
              <w:rPr>
                <w:sz w:val="20"/>
                <w:szCs w:val="20"/>
                <w:color w:val="auto"/>
              </w:rPr>
            </w:pPr>
            <w:r>
              <w:rPr>
                <w:rFonts w:ascii="Arial" w:cs="Arial" w:eastAsia="Arial" w:hAnsi="Arial"/>
                <w:sz w:val="18"/>
                <w:szCs w:val="18"/>
                <w:color w:val="auto"/>
              </w:rPr>
              <w:t>Professional fees</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388</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539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1,210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Data processing fees</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306</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858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160"/>
              <w:spacing w:after="0"/>
              <w:rPr>
                <w:sz w:val="20"/>
                <w:szCs w:val="20"/>
                <w:color w:val="auto"/>
              </w:rPr>
            </w:pPr>
            <w:r>
              <w:rPr>
                <w:rFonts w:ascii="Arial" w:cs="Arial" w:eastAsia="Arial" w:hAnsi="Arial"/>
                <w:sz w:val="18"/>
                <w:szCs w:val="18"/>
                <w:color w:val="auto"/>
              </w:rPr>
              <w:t>Marketing expense</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249</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688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Loan acquisition and collection expense</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352</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1,285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160"/>
              <w:spacing w:after="0"/>
              <w:rPr>
                <w:sz w:val="20"/>
                <w:szCs w:val="20"/>
                <w:color w:val="auto"/>
              </w:rPr>
            </w:pPr>
            <w:r>
              <w:rPr>
                <w:rFonts w:ascii="Arial" w:cs="Arial" w:eastAsia="Arial" w:hAnsi="Arial"/>
                <w:sz w:val="18"/>
                <w:szCs w:val="18"/>
                <w:color w:val="auto"/>
              </w:rPr>
              <w:t>FDIC insurance premiums</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125</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364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Intangible asset amortization</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205</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735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160"/>
              <w:spacing w:after="0"/>
              <w:rPr>
                <w:sz w:val="20"/>
                <w:szCs w:val="20"/>
                <w:color w:val="auto"/>
              </w:rPr>
            </w:pPr>
            <w:r>
              <w:rPr>
                <w:rFonts w:ascii="Arial" w:cs="Arial" w:eastAsia="Arial" w:hAnsi="Arial"/>
                <w:sz w:val="18"/>
                <w:szCs w:val="18"/>
                <w:color w:val="auto"/>
              </w:rPr>
              <w:t>Other noninterest expense</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686</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598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2,112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1,836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noninterest expense</w:t>
            </w:r>
          </w:p>
        </w:tc>
        <w:tc>
          <w:tcPr>
            <w:tcW w:w="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8,831</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7,233</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24,467</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20,748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570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Income (loss) from continuing operations before income tax expense</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40"/>
              <w:spacing w:after="0" w:line="205" w:lineRule="exact"/>
              <w:rPr>
                <w:sz w:val="20"/>
                <w:szCs w:val="20"/>
                <w:color w:val="auto"/>
              </w:rPr>
            </w:pPr>
            <w:r>
              <w:rPr>
                <w:rFonts w:ascii="Arial" w:cs="Arial" w:eastAsia="Arial" w:hAnsi="Arial"/>
                <w:sz w:val="18"/>
                <w:szCs w:val="18"/>
                <w:color w:val="auto"/>
                <w:w w:val="88"/>
              </w:rPr>
              <w:t>2,477</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80"/>
              <w:spacing w:after="0" w:line="205" w:lineRule="exact"/>
              <w:rPr>
                <w:sz w:val="20"/>
                <w:szCs w:val="20"/>
                <w:color w:val="auto"/>
              </w:rPr>
            </w:pPr>
            <w:r>
              <w:rPr>
                <w:rFonts w:ascii="Arial" w:cs="Arial" w:eastAsia="Arial" w:hAnsi="Arial"/>
                <w:sz w:val="18"/>
                <w:szCs w:val="18"/>
                <w:color w:val="auto"/>
              </w:rPr>
              <w:t>169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00"/>
              <w:spacing w:after="0" w:line="205" w:lineRule="exact"/>
              <w:rPr>
                <w:sz w:val="20"/>
                <w:szCs w:val="20"/>
                <w:color w:val="auto"/>
              </w:rPr>
            </w:pPr>
            <w:r>
              <w:rPr>
                <w:rFonts w:ascii="Arial" w:cs="Arial" w:eastAsia="Arial" w:hAnsi="Arial"/>
                <w:sz w:val="18"/>
                <w:szCs w:val="18"/>
                <w:color w:val="auto"/>
              </w:rPr>
              <w:t>6,215</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line="205" w:lineRule="exact"/>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bl>
    <w:p>
      <w:pPr>
        <w:sectPr>
          <w:pgSz w:w="11900" w:h="16900" w:orient="portrait"/>
          <w:cols w:equalWidth="0" w:num="1">
            <w:col w:w="11420"/>
          </w:cols>
          <w:pgMar w:left="240" w:top="140" w:right="239"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(benefit)</w:t>
            </w: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811</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2,000</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 from continuing operations</w:t>
            </w:r>
          </w:p>
        </w:tc>
        <w:tc>
          <w:tcPr>
            <w:tcW w:w="1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1,666</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4,215</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Discontinued operations:</w:t>
            </w: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Income from discontinued operations</w:t>
            </w:r>
          </w:p>
        </w:tc>
        <w:tc>
          <w:tcPr>
            <w:tcW w:w="14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42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0</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Gain on sale of discontinued operations</w:t>
            </w: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Income tax expense</w:t>
            </w: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income from discontinued operations</w:t>
            </w:r>
          </w:p>
        </w:tc>
        <w:tc>
          <w:tcPr>
            <w:tcW w:w="1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7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Net income</w:t>
            </w:r>
          </w:p>
        </w:tc>
        <w:tc>
          <w:tcPr>
            <w:tcW w:w="11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1,666</w:t>
            </w:r>
          </w:p>
        </w:tc>
        <w:tc>
          <w:tcPr>
            <w:tcW w:w="14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4,215</w:t>
            </w:r>
          </w:p>
        </w:tc>
        <w:tc>
          <w:tcPr>
            <w:tcW w:w="3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1,115</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700" w:type="dxa"/>
            <w:vAlign w:val="bottom"/>
            <w:tcBorders>
              <w:bottom w:val="single" w:sz="8" w:color="CCEEFF"/>
            </w:tcBorders>
            <w:shd w:val="clear" w:color="auto" w:fill="CCEEFF"/>
          </w:tcPr>
          <w:p>
            <w:pPr>
              <w:ind w:left="160"/>
              <w:spacing w:after="0" w:line="196" w:lineRule="exact"/>
              <w:rPr>
                <w:sz w:val="20"/>
                <w:szCs w:val="20"/>
                <w:color w:val="auto"/>
              </w:rPr>
            </w:pPr>
            <w:r>
              <w:rPr>
                <w:rFonts w:ascii="Arial" w:cs="Arial" w:eastAsia="Arial" w:hAnsi="Arial"/>
                <w:sz w:val="18"/>
                <w:szCs w:val="18"/>
                <w:color w:val="auto"/>
              </w:rPr>
              <w:t>Net income available to common stockholders</w:t>
            </w:r>
          </w:p>
        </w:tc>
        <w:tc>
          <w:tcPr>
            <w:tcW w:w="11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1,666</w:t>
            </w:r>
          </w:p>
        </w:tc>
        <w:tc>
          <w:tcPr>
            <w:tcW w:w="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70</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3,860</w:t>
            </w:r>
          </w:p>
        </w:tc>
        <w:tc>
          <w:tcPr>
            <w:tcW w:w="3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821</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7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shares outstanding:</w:t>
            </w: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Basic</w:t>
            </w: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10,425,576</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3,494,498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10,397,280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3,494,498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10,425,576</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3,512,273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10,397,280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3,494,498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Earnings per common share:</w:t>
            </w: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340"/>
              <w:spacing w:after="0"/>
              <w:rPr>
                <w:sz w:val="20"/>
                <w:szCs w:val="20"/>
                <w:color w:val="auto"/>
              </w:rPr>
            </w:pPr>
            <w:r>
              <w:rPr>
                <w:rFonts w:ascii="Arial" w:cs="Arial" w:eastAsia="Arial" w:hAnsi="Arial"/>
                <w:sz w:val="18"/>
                <w:szCs w:val="18"/>
                <w:color w:val="auto"/>
              </w:rPr>
              <w:t>Income (loss) from continuing operations</w:t>
            </w:r>
          </w:p>
        </w:tc>
        <w:tc>
          <w:tcPr>
            <w:tcW w:w="14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0.16</w:t>
            </w:r>
          </w:p>
        </w:tc>
        <w:tc>
          <w:tcPr>
            <w:tcW w:w="42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0.02</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0.37</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from discontinued operations</w:t>
            </w: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0.00</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0.00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7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Net income</w:t>
            </w:r>
          </w:p>
        </w:tc>
        <w:tc>
          <w:tcPr>
            <w:tcW w:w="118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0.16</w:t>
            </w:r>
          </w:p>
        </w:tc>
        <w:tc>
          <w:tcPr>
            <w:tcW w:w="14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0.37</w:t>
            </w:r>
          </w:p>
        </w:tc>
        <w:tc>
          <w:tcPr>
            <w:tcW w:w="3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0.23</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700" w:type="dxa"/>
            <w:vAlign w:val="bottom"/>
            <w:shd w:val="clear" w:color="auto" w:fill="CCEEFF"/>
          </w:tcPr>
          <w:p>
            <w:pPr>
              <w:ind w:left="160"/>
              <w:spacing w:after="0" w:line="170" w:lineRule="exact"/>
              <w:rPr>
                <w:sz w:val="20"/>
                <w:szCs w:val="20"/>
                <w:color w:val="auto"/>
              </w:rPr>
            </w:pPr>
            <w:r>
              <w:rPr>
                <w:rFonts w:ascii="Arial" w:cs="Arial" w:eastAsia="Arial" w:hAnsi="Arial"/>
                <w:sz w:val="18"/>
                <w:szCs w:val="18"/>
                <w:color w:val="auto"/>
              </w:rPr>
              <w:t>Diluted:</w:t>
            </w:r>
          </w:p>
        </w:tc>
        <w:tc>
          <w:tcPr>
            <w:tcW w:w="1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340"/>
              <w:spacing w:after="0"/>
              <w:rPr>
                <w:sz w:val="20"/>
                <w:szCs w:val="20"/>
                <w:color w:val="auto"/>
              </w:rPr>
            </w:pPr>
            <w:r>
              <w:rPr>
                <w:rFonts w:ascii="Arial" w:cs="Arial" w:eastAsia="Arial" w:hAnsi="Arial"/>
                <w:sz w:val="18"/>
                <w:szCs w:val="18"/>
                <w:color w:val="auto"/>
              </w:rPr>
              <w:t>Income (loss) from continuing operations</w:t>
            </w:r>
          </w:p>
        </w:tc>
        <w:tc>
          <w:tcPr>
            <w:tcW w:w="14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0.16</w:t>
            </w:r>
          </w:p>
        </w:tc>
        <w:tc>
          <w:tcPr>
            <w:tcW w:w="42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0.02</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0.37</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from discontinued operations</w:t>
            </w: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0.00</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0.00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7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Net income</w:t>
            </w:r>
          </w:p>
        </w:tc>
        <w:tc>
          <w:tcPr>
            <w:tcW w:w="118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0.16</w:t>
            </w:r>
          </w:p>
        </w:tc>
        <w:tc>
          <w:tcPr>
            <w:tcW w:w="14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0.37</w:t>
            </w:r>
          </w:p>
        </w:tc>
        <w:tc>
          <w:tcPr>
            <w:tcW w:w="3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0.23</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70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dividends declared per common share</w:t>
            </w:r>
          </w:p>
        </w:tc>
        <w:tc>
          <w:tcPr>
            <w:tcW w:w="11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0.09</w:t>
            </w:r>
          </w:p>
        </w:tc>
        <w:tc>
          <w:tcPr>
            <w:tcW w:w="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0.09</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0.27</w:t>
            </w:r>
          </w:p>
        </w:tc>
        <w:tc>
          <w:tcPr>
            <w:tcW w:w="3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0.27</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NORTHEAST BANCORP AND SUBSIDIARY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780" w:type="dxa"/>
            <w:vAlign w:val="bottom"/>
            <w:gridSpan w:val="7"/>
          </w:tcPr>
          <w:p>
            <w:pPr>
              <w:jc w:val="right"/>
              <w:ind w:right="400"/>
              <w:spacing w:after="0"/>
              <w:rPr>
                <w:sz w:val="20"/>
                <w:szCs w:val="20"/>
                <w:color w:val="auto"/>
              </w:rPr>
            </w:pPr>
            <w:r>
              <w:rPr>
                <w:rFonts w:ascii="Arial" w:cs="Arial" w:eastAsia="Arial" w:hAnsi="Arial"/>
                <w:sz w:val="14"/>
                <w:szCs w:val="14"/>
                <w:b w:val="1"/>
                <w:bCs w:val="1"/>
                <w:color w:val="auto"/>
              </w:rPr>
              <w:t>Three Months Ended March 31,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4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Nine Months Ended March 31,</w:t>
            </w:r>
          </w:p>
        </w:tc>
        <w:tc>
          <w:tcPr>
            <w:tcW w:w="0" w:type="dxa"/>
            <w:vAlign w:val="bottom"/>
          </w:tcPr>
          <w:p>
            <w:pPr>
              <w:spacing w:after="0"/>
              <w:rPr>
                <w:sz w:val="1"/>
                <w:szCs w:val="1"/>
                <w:color w:val="auto"/>
              </w:rPr>
            </w:pPr>
          </w:p>
        </w:tc>
      </w:tr>
      <w:tr>
        <w:trPr>
          <w:trHeight w:val="142"/>
        </w:trPr>
        <w:tc>
          <w:tcPr>
            <w:tcW w:w="560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42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2012</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59"/>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1,666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4,215</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Other comprehensive (loss) income, before tax:</w:t>
            </w: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Available-for-sale securities:</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360"/>
              <w:spacing w:after="0"/>
              <w:rPr>
                <w:sz w:val="20"/>
                <w:szCs w:val="20"/>
                <w:color w:val="auto"/>
              </w:rPr>
            </w:pPr>
            <w:r>
              <w:rPr>
                <w:rFonts w:ascii="Arial" w:cs="Arial" w:eastAsia="Arial" w:hAnsi="Arial"/>
                <w:sz w:val="18"/>
                <w:szCs w:val="18"/>
                <w:color w:val="auto"/>
                <w:w w:val="95"/>
              </w:rPr>
              <w:t>Change in net unrealized gain or loss on available-for-sale securities</w:t>
            </w: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(687)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(318)</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676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Reclassification adjustment for net gains included in net income</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(792)</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(1,111)</w:t>
            </w:r>
          </w:p>
        </w:tc>
        <w:tc>
          <w:tcPr>
            <w:tcW w:w="0" w:type="dxa"/>
            <w:vAlign w:val="bottom"/>
          </w:tcPr>
          <w:p>
            <w:pPr>
              <w:spacing w:after="0"/>
              <w:rPr>
                <w:sz w:val="1"/>
                <w:szCs w:val="1"/>
                <w:color w:val="auto"/>
              </w:rPr>
            </w:pPr>
          </w:p>
        </w:tc>
      </w:tr>
      <w:tr>
        <w:trPr>
          <w:trHeight w:val="210"/>
        </w:trPr>
        <w:tc>
          <w:tcPr>
            <w:tcW w:w="5600" w:type="dxa"/>
            <w:vAlign w:val="bottom"/>
          </w:tcPr>
          <w:p>
            <w:pPr>
              <w:spacing w:after="0"/>
              <w:rPr>
                <w:sz w:val="20"/>
                <w:szCs w:val="20"/>
                <w:color w:val="auto"/>
              </w:rPr>
            </w:pPr>
            <w:r>
              <w:rPr>
                <w:rFonts w:ascii="Arial" w:cs="Arial" w:eastAsia="Arial" w:hAnsi="Arial"/>
                <w:sz w:val="18"/>
                <w:szCs w:val="18"/>
                <w:color w:val="auto"/>
              </w:rPr>
              <w:t>Total available-for-sale securities</w:t>
            </w:r>
          </w:p>
        </w:tc>
        <w:tc>
          <w:tcPr>
            <w:tcW w:w="30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(164)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(1,110)</w:t>
            </w:r>
          </w:p>
        </w:tc>
        <w:tc>
          <w:tcPr>
            <w:tcW w:w="3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(435)</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Derivatives and hedging activities:</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360"/>
              <w:spacing w:after="0"/>
              <w:rPr>
                <w:sz w:val="20"/>
                <w:szCs w:val="20"/>
                <w:color w:val="auto"/>
              </w:rPr>
            </w:pPr>
            <w:r>
              <w:rPr>
                <w:rFonts w:ascii="Arial" w:cs="Arial" w:eastAsia="Arial" w:hAnsi="Arial"/>
                <w:sz w:val="18"/>
                <w:szCs w:val="18"/>
                <w:color w:val="auto"/>
              </w:rPr>
              <w:t>Change in accumulated loss on effective cash flow hedges</w:t>
            </w: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127</w:t>
            </w:r>
          </w:p>
        </w:tc>
        <w:tc>
          <w:tcPr>
            <w:tcW w:w="2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Reclassification adjustments for net gains included in net income</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(54)</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color w:val="auto"/>
              </w:rPr>
              <w:t>Total derivatives and hedging activities</w:t>
            </w:r>
          </w:p>
        </w:tc>
        <w:tc>
          <w:tcPr>
            <w:tcW w:w="3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45</w:t>
            </w:r>
          </w:p>
        </w:tc>
        <w:tc>
          <w:tcPr>
            <w:tcW w:w="1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73</w:t>
            </w:r>
          </w:p>
        </w:tc>
        <w:tc>
          <w:tcPr>
            <w:tcW w:w="3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(194)</w:t>
            </w:r>
          </w:p>
        </w:tc>
        <w:tc>
          <w:tcPr>
            <w:tcW w:w="1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0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other comprehensive loss, before tax</w:t>
            </w:r>
          </w:p>
        </w:tc>
        <w:tc>
          <w:tcPr>
            <w:tcW w:w="3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(119)</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(1,425)</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(1,037)</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180"/>
              <w:spacing w:after="0"/>
              <w:rPr>
                <w:sz w:val="20"/>
                <w:szCs w:val="20"/>
                <w:color w:val="auto"/>
              </w:rPr>
            </w:pPr>
            <w:r>
              <w:rPr>
                <w:rFonts w:ascii="Arial" w:cs="Arial" w:eastAsia="Arial" w:hAnsi="Arial"/>
                <w:sz w:val="18"/>
                <w:szCs w:val="18"/>
                <w:color w:val="auto"/>
              </w:rPr>
              <w:t>Income tax benefit related to other comprehensive loss</w:t>
            </w: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(484)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(353)</w:t>
            </w:r>
          </w:p>
        </w:tc>
        <w:tc>
          <w:tcPr>
            <w:tcW w:w="2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10"/>
        </w:trPr>
        <w:tc>
          <w:tcPr>
            <w:tcW w:w="560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comprehensive loss, net of tax</w:t>
            </w:r>
          </w:p>
        </w:tc>
        <w:tc>
          <w:tcPr>
            <w:tcW w:w="3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00" w:type="dxa"/>
            <w:vAlign w:val="bottom"/>
          </w:tcPr>
          <w:p>
            <w:pPr>
              <w:ind w:left="180"/>
              <w:spacing w:after="0"/>
              <w:rPr>
                <w:sz w:val="20"/>
                <w:szCs w:val="20"/>
                <w:color w:val="auto"/>
              </w:rPr>
            </w:pPr>
            <w:r>
              <w:rPr>
                <w:rFonts w:ascii="Arial" w:cs="Arial" w:eastAsia="Arial" w:hAnsi="Arial"/>
                <w:sz w:val="18"/>
                <w:szCs w:val="18"/>
                <w:color w:val="auto"/>
              </w:rPr>
              <w:t>Comprehensive income (loss)</w:t>
            </w:r>
          </w:p>
        </w:tc>
        <w:tc>
          <w:tcPr>
            <w:tcW w:w="300" w:type="dxa"/>
            <w:vAlign w:val="bottom"/>
          </w:tcPr>
          <w:p>
            <w:pPr>
              <w:spacing w:after="0"/>
              <w:rPr>
                <w:sz w:val="19"/>
                <w:szCs w:val="19"/>
                <w:color w:val="auto"/>
              </w:rPr>
            </w:pPr>
          </w:p>
        </w:tc>
        <w:tc>
          <w:tcPr>
            <w:tcW w:w="740" w:type="dxa"/>
            <w:vAlign w:val="bottom"/>
            <w:tcBorders>
              <w:bottom w:val="single" w:sz="8" w:color="auto"/>
            </w:tcBorders>
          </w:tcPr>
          <w:p>
            <w:pPr>
              <w:jc w:val="right"/>
              <w:ind w:right="559"/>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1,587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(773</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3,531</w:t>
            </w:r>
          </w:p>
        </w:tc>
        <w:tc>
          <w:tcPr>
            <w:tcW w:w="300" w:type="dxa"/>
            <w:vAlign w:val="bottom"/>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NORTHEAST BANCORP AND SUBSIDIARY</w:t>
      </w:r>
    </w:p>
    <w:p>
      <w:pPr>
        <w:spacing w:after="0" w:line="27" w:lineRule="exact"/>
        <w:rPr>
          <w:sz w:val="20"/>
          <w:szCs w:val="20"/>
          <w:color w:val="auto"/>
        </w:rPr>
      </w:pPr>
    </w:p>
    <w:p>
      <w:pPr>
        <w:ind w:right="4880"/>
        <w:spacing w:after="0" w:line="250" w:lineRule="auto"/>
        <w:rPr>
          <w:sz w:val="20"/>
          <w:szCs w:val="20"/>
          <w:color w:val="auto"/>
        </w:rPr>
      </w:pPr>
      <w:r>
        <w:rPr>
          <w:rFonts w:ascii="Arial" w:cs="Arial" w:eastAsia="Arial" w:hAnsi="Arial"/>
          <w:sz w:val="18"/>
          <w:szCs w:val="18"/>
          <w:b w:val="1"/>
          <w:bCs w:val="1"/>
          <w:color w:val="auto"/>
        </w:rPr>
        <w:t xml:space="preserve">CONSOLIDATED STATEMENTS OF CHANGES IN STOCKHOLDERS’ EQUITY </w:t>
      </w:r>
      <w:r>
        <w:rPr>
          <w:rFonts w:ascii="Arial" w:cs="Arial" w:eastAsia="Arial" w:hAnsi="Arial"/>
          <w:sz w:val="18"/>
          <w:szCs w:val="18"/>
          <w:color w:val="auto"/>
        </w:rPr>
        <w:t>(Unaudited)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 except share and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Accumulated</w:t>
            </w:r>
          </w:p>
        </w:tc>
        <w:tc>
          <w:tcPr>
            <w:tcW w:w="9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86"/>
        </w:trPr>
        <w:tc>
          <w:tcPr>
            <w:tcW w:w="30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4"/>
            <w:vMerge w:val="restart"/>
          </w:tcPr>
          <w:p>
            <w:pPr>
              <w:jc w:val="center"/>
              <w:ind w:left="339"/>
              <w:spacing w:after="0"/>
              <w:rPr>
                <w:sz w:val="20"/>
                <w:szCs w:val="20"/>
                <w:color w:val="auto"/>
              </w:rPr>
            </w:pPr>
            <w:r>
              <w:rPr>
                <w:rFonts w:ascii="Arial" w:cs="Arial" w:eastAsia="Arial" w:hAnsi="Arial"/>
                <w:sz w:val="14"/>
                <w:szCs w:val="14"/>
                <w:b w:val="1"/>
                <w:bCs w:val="1"/>
                <w:color w:val="auto"/>
                <w:w w:val="93"/>
              </w:rPr>
              <w:t>Non-</w:t>
            </w: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Other</w:t>
            </w:r>
          </w:p>
        </w:tc>
        <w:tc>
          <w:tcPr>
            <w:tcW w:w="9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11"/>
        </w:trPr>
        <w:tc>
          <w:tcPr>
            <w:tcW w:w="3000" w:type="dxa"/>
            <w:vAlign w:val="bottom"/>
          </w:tcPr>
          <w:p>
            <w:pPr>
              <w:spacing w:after="0"/>
              <w:rPr>
                <w:sz w:val="9"/>
                <w:szCs w:val="9"/>
                <w:color w:val="auto"/>
              </w:rPr>
            </w:pPr>
          </w:p>
        </w:tc>
        <w:tc>
          <w:tcPr>
            <w:tcW w:w="1280" w:type="dxa"/>
            <w:vAlign w:val="bottom"/>
            <w:gridSpan w:val="3"/>
            <w:vMerge w:val="restart"/>
          </w:tcPr>
          <w:p>
            <w:pPr>
              <w:jc w:val="right"/>
              <w:ind w:right="7"/>
              <w:spacing w:after="0"/>
              <w:rPr>
                <w:sz w:val="20"/>
                <w:szCs w:val="20"/>
                <w:color w:val="auto"/>
              </w:rPr>
            </w:pPr>
            <w:r>
              <w:rPr>
                <w:rFonts w:ascii="Arial" w:cs="Arial" w:eastAsia="Arial" w:hAnsi="Arial"/>
                <w:sz w:val="14"/>
                <w:szCs w:val="14"/>
                <w:b w:val="1"/>
                <w:bCs w:val="1"/>
                <w:color w:val="auto"/>
              </w:rPr>
              <w:t>Preferred Stock</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20" w:type="dxa"/>
            <w:vAlign w:val="bottom"/>
            <w:gridSpan w:val="4"/>
            <w:vMerge w:val="restart"/>
          </w:tcPr>
          <w:p>
            <w:pPr>
              <w:jc w:val="right"/>
              <w:ind w:right="180"/>
              <w:spacing w:after="0"/>
              <w:rPr>
                <w:sz w:val="20"/>
                <w:szCs w:val="20"/>
                <w:color w:val="auto"/>
              </w:rPr>
            </w:pPr>
            <w:r>
              <w:rPr>
                <w:rFonts w:ascii="Arial" w:cs="Arial" w:eastAsia="Arial" w:hAnsi="Arial"/>
                <w:sz w:val="14"/>
                <w:szCs w:val="14"/>
                <w:b w:val="1"/>
                <w:bCs w:val="1"/>
                <w:color w:val="auto"/>
                <w:w w:val="94"/>
              </w:rPr>
              <w:t>Voting Common Stock</w:t>
            </w:r>
          </w:p>
        </w:tc>
        <w:tc>
          <w:tcPr>
            <w:tcW w:w="1080" w:type="dxa"/>
            <w:vAlign w:val="bottom"/>
            <w:gridSpan w:val="4"/>
            <w:vMerge w:val="continue"/>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9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6"/>
              </w:rPr>
              <w:t>Additional</w:t>
            </w:r>
          </w:p>
        </w:tc>
        <w:tc>
          <w:tcPr>
            <w:tcW w:w="7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Retained</w:t>
            </w:r>
          </w:p>
        </w:tc>
        <w:tc>
          <w:tcPr>
            <w:tcW w:w="10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1"/>
              </w:rPr>
              <w:t>Comprehensive</w:t>
            </w:r>
          </w:p>
        </w:tc>
        <w:tc>
          <w:tcPr>
            <w:tcW w:w="9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4"/>
            <w:vMerge w:val="continue"/>
          </w:tcPr>
          <w:p>
            <w:pPr>
              <w:spacing w:after="0"/>
              <w:rPr>
                <w:sz w:val="12"/>
                <w:szCs w:val="12"/>
                <w:color w:val="auto"/>
              </w:rPr>
            </w:pPr>
          </w:p>
        </w:tc>
        <w:tc>
          <w:tcPr>
            <w:tcW w:w="1540" w:type="dxa"/>
            <w:vAlign w:val="bottom"/>
            <w:gridSpan w:val="6"/>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voting Common Stock</w:t>
            </w:r>
          </w:p>
        </w:tc>
        <w:tc>
          <w:tcPr>
            <w:tcW w:w="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30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99"/>
              </w:rPr>
              <w:t>Paid-</w:t>
            </w: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6"/>
        </w:trPr>
        <w:tc>
          <w:tcPr>
            <w:tcW w:w="3000" w:type="dxa"/>
            <w:vAlign w:val="bottom"/>
          </w:tcPr>
          <w:p>
            <w:pPr>
              <w:spacing w:after="0"/>
              <w:rPr>
                <w:sz w:val="9"/>
                <w:szCs w:val="9"/>
                <w:color w:val="auto"/>
              </w:rPr>
            </w:pPr>
          </w:p>
        </w:tc>
        <w:tc>
          <w:tcPr>
            <w:tcW w:w="7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Shares</w:t>
            </w:r>
          </w:p>
        </w:tc>
        <w:tc>
          <w:tcPr>
            <w:tcW w:w="7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8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Shares</w:t>
            </w:r>
          </w:p>
        </w:tc>
        <w:tc>
          <w:tcPr>
            <w:tcW w:w="78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Amount</w:t>
            </w:r>
          </w:p>
        </w:tc>
        <w:tc>
          <w:tcPr>
            <w:tcW w:w="7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9"/>
                <w:szCs w:val="9"/>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7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Earnings</w:t>
            </w:r>
          </w:p>
        </w:tc>
        <w:tc>
          <w:tcPr>
            <w:tcW w:w="106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0"/>
              </w:rPr>
              <w:t>Income (Loss)</w:t>
            </w:r>
          </w:p>
        </w:tc>
        <w:tc>
          <w:tcPr>
            <w:tcW w:w="9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71"/>
        </w:trPr>
        <w:tc>
          <w:tcPr>
            <w:tcW w:w="30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in Capital</w:t>
            </w:r>
          </w:p>
        </w:tc>
        <w:tc>
          <w:tcPr>
            <w:tcW w:w="760" w:type="dxa"/>
            <w:vAlign w:val="bottom"/>
            <w:gridSpan w:val="2"/>
            <w:vMerge w:val="continue"/>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June 30, 2011</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4,227</w:t>
            </w:r>
          </w:p>
        </w:tc>
        <w:tc>
          <w:tcPr>
            <w:tcW w:w="1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47"/>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3,312,173</w:t>
            </w:r>
          </w:p>
        </w:tc>
        <w:tc>
          <w:tcPr>
            <w:tcW w:w="1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  3,312</w:t>
            </w:r>
          </w:p>
        </w:tc>
        <w:tc>
          <w:tcPr>
            <w:tcW w:w="1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195,351</w:t>
            </w: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49,943</w:t>
            </w: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$ 11,726</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64,954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Net income</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500" w:type="dxa"/>
            <w:vAlign w:val="bottom"/>
          </w:tcPr>
          <w:p>
            <w:pPr>
              <w:spacing w:after="0"/>
              <w:rPr>
                <w:sz w:val="18"/>
                <w:szCs w:val="18"/>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0</w:t>
            </w: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0</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1,115</w:t>
            </w:r>
          </w:p>
        </w:tc>
        <w:tc>
          <w:tcPr>
            <w:tcW w:w="2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1,115</w:t>
            </w: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 net of tax</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5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w:t>
            </w: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(415)</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bl>
    <w:p>
      <w:pPr>
        <w:sectPr>
          <w:pgSz w:w="11900" w:h="16838" w:orient="portrait"/>
          <w:cols w:equalWidth="0" w:num="1">
            <w:col w:w="11420"/>
          </w:cols>
          <w:pgMar w:left="240" w:top="140" w:right="239" w:bottom="0" w:gutter="0" w:footer="0" w:header="0"/>
        </w:sectPr>
      </w:pPr>
    </w:p>
    <w:bookmarkStart w:id="4" w:name="page5"/>
    <w:bookmarkEnd w:id="4"/>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00" w:type="dxa"/>
            <w:vAlign w:val="bottom"/>
            <w:gridSpan w:val="4"/>
          </w:tcPr>
          <w:p>
            <w:pPr>
              <w:spacing w:after="0"/>
              <w:rPr>
                <w:sz w:val="20"/>
                <w:szCs w:val="20"/>
                <w:color w:val="auto"/>
              </w:rPr>
            </w:pPr>
            <w:r>
              <w:rPr>
                <w:rFonts w:ascii="Arial" w:cs="Arial" w:eastAsia="Arial" w:hAnsi="Arial"/>
                <w:sz w:val="18"/>
                <w:szCs w:val="18"/>
                <w:color w:val="auto"/>
              </w:rPr>
              <w:t>Dividends on preferred stock</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480" w:type="dxa"/>
            <w:vAlign w:val="bottom"/>
          </w:tcPr>
          <w:p>
            <w:pPr>
              <w:spacing w:after="0"/>
              <w:rPr>
                <w:sz w:val="20"/>
                <w:szCs w:val="20"/>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20"/>
                <w:szCs w:val="20"/>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0"/>
                <w:szCs w:val="20"/>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(159)</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(159)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8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Dividends on common stock at $0.27</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per share</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48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(946)</w:t>
            </w: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w:t>
            </w: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3"/>
          </w:tcPr>
          <w:p>
            <w:pPr>
              <w:spacing w:after="0"/>
              <w:rPr>
                <w:sz w:val="20"/>
                <w:szCs w:val="20"/>
                <w:color w:val="auto"/>
              </w:rPr>
            </w:pPr>
            <w:r>
              <w:rPr>
                <w:rFonts w:ascii="Arial" w:cs="Arial" w:eastAsia="Arial" w:hAnsi="Arial"/>
                <w:sz w:val="18"/>
                <w:szCs w:val="18"/>
                <w:color w:val="auto"/>
              </w:rPr>
              <w:t>Stock-based compensation</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480" w:type="dxa"/>
            <w:vAlign w:val="bottom"/>
          </w:tcPr>
          <w:p>
            <w:pPr>
              <w:spacing w:after="0"/>
              <w:rPr>
                <w:sz w:val="18"/>
                <w:szCs w:val="18"/>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Accretion of preferred stock</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4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135</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(135)</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000" w:type="dxa"/>
            <w:vAlign w:val="bottom"/>
            <w:gridSpan w:val="3"/>
          </w:tcPr>
          <w:p>
            <w:pPr>
              <w:spacing w:after="0"/>
              <w:rPr>
                <w:sz w:val="20"/>
                <w:szCs w:val="20"/>
                <w:color w:val="auto"/>
              </w:rPr>
            </w:pPr>
            <w:r>
              <w:rPr>
                <w:rFonts w:ascii="Arial" w:cs="Arial" w:eastAsia="Arial" w:hAnsi="Arial"/>
                <w:sz w:val="18"/>
                <w:szCs w:val="18"/>
                <w:color w:val="auto"/>
              </w:rPr>
              <w:t>Balance at March 31, 2012</w:t>
            </w:r>
          </w:p>
        </w:tc>
        <w:tc>
          <w:tcPr>
            <w:tcW w:w="200" w:type="dxa"/>
            <w:vAlign w:val="bottom"/>
            <w:tcBorders>
              <w:top w:val="single" w:sz="8" w:color="auto"/>
              <w:bottom w:val="single" w:sz="8" w:color="auto"/>
            </w:tcBorders>
          </w:tcPr>
          <w:p>
            <w:pPr>
              <w:spacing w:after="0"/>
              <w:rPr>
                <w:sz w:val="21"/>
                <w:szCs w:val="21"/>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4,227</w:t>
            </w:r>
          </w:p>
        </w:tc>
        <w:tc>
          <w:tcPr>
            <w:tcW w:w="120" w:type="dxa"/>
            <w:vAlign w:val="bottom"/>
          </w:tcPr>
          <w:p>
            <w:pPr>
              <w:spacing w:after="0"/>
              <w:rPr>
                <w:sz w:val="21"/>
                <w:szCs w:val="21"/>
                <w:color w:val="auto"/>
              </w:rPr>
            </w:pPr>
          </w:p>
        </w:tc>
        <w:tc>
          <w:tcPr>
            <w:tcW w:w="480" w:type="dxa"/>
            <w:vAlign w:val="bottom"/>
            <w:tcBorders>
              <w:top w:val="single" w:sz="8" w:color="auto"/>
              <w:bottom w:val="single" w:sz="8" w:color="auto"/>
            </w:tcBorders>
          </w:tcPr>
          <w:p>
            <w:pPr>
              <w:jc w:val="right"/>
              <w:ind w:right="325"/>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3,312,173</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3,312</w:t>
            </w:r>
          </w:p>
        </w:tc>
        <w:tc>
          <w:tcPr>
            <w:tcW w:w="120" w:type="dxa"/>
            <w:vAlign w:val="bottom"/>
          </w:tcPr>
          <w:p>
            <w:pPr>
              <w:spacing w:after="0"/>
              <w:rPr>
                <w:sz w:val="21"/>
                <w:szCs w:val="21"/>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195,351</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50,399</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11,601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tcPr>
          <w:p>
            <w:pPr>
              <w:spacing w:after="0"/>
              <w:rPr>
                <w:sz w:val="21"/>
                <w:szCs w:val="21"/>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(641)</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64,870</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260" w:type="dxa"/>
            <w:vAlign w:val="bottom"/>
            <w:tcBorders>
              <w:top w:val="single" w:sz="8" w:color="CCEEFF"/>
            </w:tcBorders>
            <w:shd w:val="clear" w:color="auto" w:fill="CCEEFF"/>
          </w:tcPr>
          <w:p>
            <w:pPr>
              <w:spacing w:after="0"/>
              <w:rPr>
                <w:sz w:val="17"/>
                <w:szCs w:val="17"/>
                <w:color w:val="auto"/>
              </w:rPr>
            </w:pPr>
          </w:p>
        </w:tc>
        <w:tc>
          <w:tcPr>
            <w:tcW w:w="17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gridSpan w:val="3"/>
          </w:tcPr>
          <w:p>
            <w:pPr>
              <w:spacing w:after="0"/>
              <w:rPr>
                <w:sz w:val="20"/>
                <w:szCs w:val="20"/>
                <w:color w:val="auto"/>
              </w:rPr>
            </w:pPr>
            <w:r>
              <w:rPr>
                <w:rFonts w:ascii="Arial" w:cs="Arial" w:eastAsia="Arial" w:hAnsi="Arial"/>
                <w:sz w:val="18"/>
                <w:szCs w:val="18"/>
                <w:color w:val="auto"/>
              </w:rPr>
              <w:t>Balance at June 30, 2012</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4,227</w:t>
            </w:r>
          </w:p>
        </w:tc>
        <w:tc>
          <w:tcPr>
            <w:tcW w:w="480" w:type="dxa"/>
            <w:vAlign w:val="bottom"/>
          </w:tcPr>
          <w:p>
            <w:pPr>
              <w:jc w:val="right"/>
              <w:ind w:right="325"/>
              <w:spacing w:after="0"/>
              <w:rPr>
                <w:sz w:val="20"/>
                <w:szCs w:val="20"/>
                <w:color w:val="auto"/>
              </w:rPr>
            </w:pPr>
            <w:r>
              <w:rPr>
                <w:rFonts w:ascii="Arial" w:cs="Arial" w:eastAsia="Arial" w:hAnsi="Arial"/>
                <w:sz w:val="15"/>
                <w:szCs w:val="15"/>
                <w:color w:val="auto"/>
                <w:w w:val="71"/>
              </w:rPr>
              <w:t>$</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9,307,127</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9,307</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1,076,314</w:t>
            </w:r>
          </w:p>
        </w:tc>
        <w:tc>
          <w:tcPr>
            <w:tcW w:w="80" w:type="dxa"/>
            <w:vAlign w:val="bottom"/>
          </w:tcPr>
          <w:p>
            <w:pPr>
              <w:spacing w:after="0"/>
              <w:rPr>
                <w:sz w:val="18"/>
                <w:szCs w:val="18"/>
                <w:color w:val="auto"/>
              </w:rPr>
            </w:pPr>
          </w:p>
        </w:tc>
        <w:tc>
          <w:tcPr>
            <w:tcW w:w="220" w:type="dxa"/>
            <w:vAlign w:val="bottom"/>
            <w:gridSpan w:val="2"/>
          </w:tcPr>
          <w:p>
            <w:pPr>
              <w:jc w:val="right"/>
              <w:ind w:right="25"/>
              <w:spacing w:after="0"/>
              <w:rPr>
                <w:sz w:val="20"/>
                <w:szCs w:val="20"/>
                <w:color w:val="auto"/>
              </w:rPr>
            </w:pPr>
            <w:r>
              <w:rPr>
                <w:rFonts w:ascii="Arial" w:cs="Arial" w:eastAsia="Arial" w:hAnsi="Arial"/>
                <w:sz w:val="18"/>
                <w:szCs w:val="18"/>
                <w:color w:val="auto"/>
                <w:w w:val="99"/>
              </w:rPr>
              <w:t>$</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1,076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gridSpan w:val="3"/>
          </w:tcPr>
          <w:p>
            <w:pPr>
              <w:jc w:val="right"/>
              <w:ind w:right="120"/>
              <w:spacing w:after="0"/>
              <w:rPr>
                <w:sz w:val="20"/>
                <w:szCs w:val="20"/>
                <w:color w:val="auto"/>
              </w:rPr>
            </w:pPr>
            <w:r>
              <w:rPr>
                <w:rFonts w:ascii="Arial" w:cs="Arial" w:eastAsia="Arial" w:hAnsi="Arial"/>
                <w:sz w:val="18"/>
                <w:szCs w:val="18"/>
                <w:color w:val="auto"/>
              </w:rPr>
              <w:t>96,359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12,235</w:t>
            </w:r>
          </w:p>
        </w:tc>
        <w:tc>
          <w:tcPr>
            <w:tcW w:w="280" w:type="dxa"/>
            <w:vAlign w:val="bottom"/>
            <w:gridSpan w:val="2"/>
          </w:tcPr>
          <w:p>
            <w:pPr>
              <w:jc w:val="right"/>
              <w:ind w:right="70"/>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158</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119,139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4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4,215</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3"/>
          </w:tcPr>
          <w:p>
            <w:pPr>
              <w:spacing w:after="0"/>
              <w:rPr>
                <w:sz w:val="20"/>
                <w:szCs w:val="20"/>
                <w:color w:val="auto"/>
              </w:rPr>
            </w:pPr>
            <w:r>
              <w:rPr>
                <w:rFonts w:ascii="Arial" w:cs="Arial" w:eastAsia="Arial" w:hAnsi="Arial"/>
                <w:sz w:val="18"/>
                <w:szCs w:val="18"/>
                <w:color w:val="auto"/>
              </w:rPr>
              <w:t>Other comprehensive loss, net of tax</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480" w:type="dxa"/>
            <w:vAlign w:val="bottom"/>
          </w:tcPr>
          <w:p>
            <w:pPr>
              <w:spacing w:after="0"/>
              <w:rPr>
                <w:sz w:val="18"/>
                <w:szCs w:val="18"/>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(684)</w:t>
            </w: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(684)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8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Conversion of non-voting common</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stock to voting common stock</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48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195,351</w:t>
            </w:r>
          </w:p>
        </w:tc>
        <w:tc>
          <w:tcPr>
            <w:tcW w:w="18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195</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(195,351)</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(195)</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w:t>
            </w: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w:t>
            </w: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3"/>
          </w:tcPr>
          <w:p>
            <w:pPr>
              <w:spacing w:after="0"/>
              <w:rPr>
                <w:sz w:val="20"/>
                <w:szCs w:val="20"/>
                <w:color w:val="auto"/>
              </w:rPr>
            </w:pPr>
            <w:r>
              <w:rPr>
                <w:rFonts w:ascii="Arial" w:cs="Arial" w:eastAsia="Arial" w:hAnsi="Arial"/>
                <w:sz w:val="18"/>
                <w:szCs w:val="18"/>
                <w:color w:val="auto"/>
              </w:rPr>
              <w:t>Dividends on preferred stock</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480" w:type="dxa"/>
            <w:vAlign w:val="bottom"/>
          </w:tcPr>
          <w:p>
            <w:pPr>
              <w:spacing w:after="0"/>
              <w:rPr>
                <w:sz w:val="18"/>
                <w:szCs w:val="18"/>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(113)</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8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Dividends on common stock at $0.27</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per share</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48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(2,809)</w:t>
            </w: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w:t>
            </w: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(2,809)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3"/>
          </w:tcPr>
          <w:p>
            <w:pPr>
              <w:spacing w:after="0"/>
              <w:rPr>
                <w:sz w:val="20"/>
                <w:szCs w:val="20"/>
                <w:color w:val="auto"/>
              </w:rPr>
            </w:pPr>
            <w:r>
              <w:rPr>
                <w:rFonts w:ascii="Arial" w:cs="Arial" w:eastAsia="Arial" w:hAnsi="Arial"/>
                <w:sz w:val="18"/>
                <w:szCs w:val="18"/>
                <w:color w:val="auto"/>
              </w:rPr>
              <w:t>Offering costs</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480" w:type="dxa"/>
            <w:vAlign w:val="bottom"/>
          </w:tcPr>
          <w:p>
            <w:pPr>
              <w:spacing w:after="0"/>
              <w:rPr>
                <w:sz w:val="18"/>
                <w:szCs w:val="18"/>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4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374</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3"/>
          </w:tcPr>
          <w:p>
            <w:pPr>
              <w:spacing w:after="0"/>
              <w:rPr>
                <w:sz w:val="20"/>
                <w:szCs w:val="20"/>
                <w:color w:val="auto"/>
              </w:rPr>
            </w:pPr>
            <w:r>
              <w:rPr>
                <w:rFonts w:ascii="Arial" w:cs="Arial" w:eastAsia="Arial" w:hAnsi="Arial"/>
                <w:sz w:val="18"/>
                <w:szCs w:val="18"/>
                <w:color w:val="auto"/>
              </w:rPr>
              <w:t>Issuance of restricted common stock</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480" w:type="dxa"/>
            <w:vAlign w:val="bottom"/>
          </w:tcPr>
          <w:p>
            <w:pPr>
              <w:spacing w:after="0"/>
              <w:rPr>
                <w:sz w:val="18"/>
                <w:szCs w:val="18"/>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63,202</w:t>
            </w: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8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Redemption of preferred stock and</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warrants</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(4,227)</w:t>
            </w:r>
          </w:p>
        </w:tc>
        <w:tc>
          <w:tcPr>
            <w:tcW w:w="48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(4)</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(4,322)</w:t>
            </w:r>
          </w:p>
        </w:tc>
        <w:tc>
          <w:tcPr>
            <w:tcW w:w="12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w:t>
            </w: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w:t>
            </w: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(4,326)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gridSpan w:val="2"/>
          </w:tcPr>
          <w:p>
            <w:pPr>
              <w:spacing w:after="0"/>
              <w:rPr>
                <w:sz w:val="20"/>
                <w:szCs w:val="20"/>
                <w:color w:val="auto"/>
              </w:rPr>
            </w:pPr>
            <w:r>
              <w:rPr>
                <w:rFonts w:ascii="Arial" w:cs="Arial" w:eastAsia="Arial" w:hAnsi="Arial"/>
                <w:sz w:val="18"/>
                <w:szCs w:val="18"/>
                <w:color w:val="auto"/>
              </w:rPr>
              <w:t>Accretion of preferred stock</w:t>
            </w:r>
          </w:p>
        </w:tc>
        <w:tc>
          <w:tcPr>
            <w:tcW w:w="2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480" w:type="dxa"/>
            <w:vAlign w:val="bottom"/>
          </w:tcPr>
          <w:p>
            <w:pPr>
              <w:spacing w:after="0"/>
              <w:rPr>
                <w:sz w:val="18"/>
                <w:szCs w:val="18"/>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8"/>
                <w:szCs w:val="18"/>
                <w:color w:val="auto"/>
              </w:rPr>
              <w:t>268</w:t>
            </w:r>
          </w:p>
        </w:tc>
        <w:tc>
          <w:tcPr>
            <w:tcW w:w="1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(268)</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March 31, 2013</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9,565,680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9,566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880,963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92,556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13,260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115,737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8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180" w:type="dxa"/>
            <w:vAlign w:val="bottom"/>
            <w:gridSpan w:val="18"/>
          </w:tcPr>
          <w:p>
            <w:pPr>
              <w:spacing w:after="0"/>
              <w:rPr>
                <w:sz w:val="20"/>
                <w:szCs w:val="20"/>
                <w:color w:val="auto"/>
              </w:rPr>
            </w:pPr>
            <w:r>
              <w:rPr>
                <w:rFonts w:ascii="Arial" w:cs="Arial" w:eastAsia="Arial" w:hAnsi="Arial"/>
                <w:sz w:val="18"/>
                <w:szCs w:val="18"/>
                <w:i w:val="1"/>
                <w:iCs w:val="1"/>
                <w:color w:val="auto"/>
                <w:w w:val="91"/>
              </w:rPr>
              <w:t>The accompanying notes are an integral part of these unaudited consolidated financial statements.</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1920" w:type="dxa"/>
            <w:vAlign w:val="bottom"/>
            <w:tcBorders>
              <w:bottom w:val="single" w:sz="8" w:color="010101"/>
            </w:tcBorders>
            <w:gridSpan w:val="2"/>
          </w:tcPr>
          <w:p>
            <w:pPr>
              <w:spacing w:after="0"/>
              <w:rPr>
                <w:sz w:val="11"/>
                <w:szCs w:val="11"/>
                <w:color w:val="auto"/>
              </w:rPr>
            </w:pPr>
          </w:p>
        </w:tc>
        <w:tc>
          <w:tcPr>
            <w:tcW w:w="4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48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7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48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72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48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54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7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3200" w:type="dxa"/>
            <w:vAlign w:val="bottom"/>
            <w:gridSpan w:val="4"/>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80" w:type="dxa"/>
            <w:vAlign w:val="bottom"/>
            <w:gridSpan w:val="2"/>
            <w:shd w:val="clear" w:color="auto" w:fill="0000EE"/>
          </w:tcPr>
          <w:p>
            <w:pPr>
              <w:spacing w:after="0" w:line="20" w:lineRule="exact"/>
              <w:rPr>
                <w:sz w:val="1"/>
                <w:szCs w:val="1"/>
                <w:color w:val="auto"/>
              </w:rPr>
            </w:pPr>
          </w:p>
        </w:tc>
        <w:tc>
          <w:tcPr>
            <w:tcW w:w="250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3780" w:type="dxa"/>
            <w:vAlign w:val="bottom"/>
            <w:gridSpan w:val="6"/>
          </w:tcPr>
          <w:p>
            <w:pPr>
              <w:spacing w:after="0"/>
              <w:rPr>
                <w:sz w:val="20"/>
                <w:szCs w:val="20"/>
                <w:color w:val="auto"/>
              </w:rPr>
            </w:pPr>
            <w:r>
              <w:rPr>
                <w:rFonts w:ascii="Arial" w:cs="Arial" w:eastAsia="Arial" w:hAnsi="Arial"/>
                <w:sz w:val="18"/>
                <w:szCs w:val="18"/>
                <w:b w:val="1"/>
                <w:bCs w:val="1"/>
                <w:color w:val="auto"/>
              </w:rPr>
              <w:t>NORTHEAST BANCORP AND SUBSIDIARY</w:t>
            </w: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4260" w:type="dxa"/>
            <w:vAlign w:val="bottom"/>
            <w:gridSpan w:val="7"/>
          </w:tcPr>
          <w:p>
            <w:pPr>
              <w:spacing w:after="0"/>
              <w:rPr>
                <w:sz w:val="20"/>
                <w:szCs w:val="20"/>
                <w:color w:val="auto"/>
              </w:rPr>
            </w:pPr>
            <w:r>
              <w:rPr>
                <w:rFonts w:ascii="Arial" w:cs="Arial" w:eastAsia="Arial" w:hAnsi="Arial"/>
                <w:sz w:val="18"/>
                <w:szCs w:val="18"/>
                <w:b w:val="1"/>
                <w:bCs w:val="1"/>
                <w:color w:val="auto"/>
                <w:w w:val="99"/>
              </w:rPr>
              <w:t>CONSOLIDATED STATEMENTS OF CASH FLOWS</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0" w:type="dxa"/>
            <w:vAlign w:val="bottom"/>
            <w:gridSpan w:val="4"/>
          </w:tcPr>
          <w:p>
            <w:pPr>
              <w:spacing w:after="0"/>
              <w:rPr>
                <w:sz w:val="20"/>
                <w:szCs w:val="20"/>
                <w:color w:val="auto"/>
              </w:rPr>
            </w:pPr>
            <w:r>
              <w:rPr>
                <w:rFonts w:ascii="Arial" w:cs="Arial" w:eastAsia="Arial" w:hAnsi="Arial"/>
                <w:sz w:val="18"/>
                <w:szCs w:val="18"/>
                <w:color w:val="auto"/>
              </w:rPr>
              <w:t>(Unaudited)</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00" w:type="dxa"/>
            <w:vAlign w:val="bottom"/>
            <w:gridSpan w:val="4"/>
          </w:tcPr>
          <w:p>
            <w:pPr>
              <w:spacing w:after="0"/>
              <w:rPr>
                <w:sz w:val="20"/>
                <w:szCs w:val="20"/>
                <w:color w:val="auto"/>
              </w:rPr>
            </w:pPr>
            <w:r>
              <w:rPr>
                <w:rFonts w:ascii="Arial" w:cs="Arial" w:eastAsia="Arial" w:hAnsi="Arial"/>
                <w:sz w:val="18"/>
                <w:szCs w:val="18"/>
                <w:color w:val="auto"/>
              </w:rPr>
              <w:t>(Dollars in thousands)</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40" w:type="dxa"/>
            <w:vAlign w:val="bottom"/>
            <w:gridSpan w:val="10"/>
          </w:tcPr>
          <w:p>
            <w:pPr>
              <w:jc w:val="right"/>
              <w:ind w:right="660"/>
              <w:spacing w:after="0"/>
              <w:rPr>
                <w:sz w:val="20"/>
                <w:szCs w:val="20"/>
                <w:color w:val="auto"/>
              </w:rPr>
            </w:pPr>
            <w:r>
              <w:rPr>
                <w:rFonts w:ascii="Arial" w:cs="Arial" w:eastAsia="Arial" w:hAnsi="Arial"/>
                <w:sz w:val="14"/>
                <w:szCs w:val="14"/>
                <w:b w:val="1"/>
                <w:bCs w:val="1"/>
                <w:color w:val="auto"/>
                <w:w w:val="98"/>
              </w:rPr>
              <w:t>Nine Months Ended March 31,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Borders>
              <w:bottom w:val="single" w:sz="8" w:color="CCEEFF"/>
            </w:tcBorders>
          </w:tcPr>
          <w:p>
            <w:pPr>
              <w:spacing w:after="0"/>
              <w:rPr>
                <w:sz w:val="12"/>
                <w:szCs w:val="12"/>
                <w:color w:val="auto"/>
              </w:rPr>
            </w:pPr>
          </w:p>
        </w:tc>
        <w:tc>
          <w:tcPr>
            <w:tcW w:w="17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48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7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4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7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4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2013</w:t>
            </w:r>
          </w:p>
        </w:tc>
        <w:tc>
          <w:tcPr>
            <w:tcW w:w="8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18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auto"/>
              </w:rPr>
              <w:t>Operating activities:</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3"/>
          </w:tcPr>
          <w:p>
            <w:pPr>
              <w:ind w:left="160"/>
              <w:spacing w:after="0"/>
              <w:rPr>
                <w:sz w:val="20"/>
                <w:szCs w:val="20"/>
                <w:color w:val="auto"/>
              </w:rPr>
            </w:pPr>
            <w:r>
              <w:rPr>
                <w:rFonts w:ascii="Arial" w:cs="Arial" w:eastAsia="Arial" w:hAnsi="Arial"/>
                <w:sz w:val="18"/>
                <w:szCs w:val="18"/>
                <w:color w:val="auto"/>
              </w:rPr>
              <w:t>Net income</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5"/>
          </w:tcPr>
          <w:p>
            <w:pPr>
              <w:jc w:val="right"/>
              <w:ind w:right="280"/>
              <w:spacing w:after="0"/>
              <w:rPr>
                <w:sz w:val="20"/>
                <w:szCs w:val="20"/>
                <w:color w:val="auto"/>
              </w:rPr>
            </w:pPr>
            <w:r>
              <w:rPr>
                <w:rFonts w:ascii="Arial" w:cs="Arial" w:eastAsia="Arial" w:hAnsi="Arial"/>
                <w:sz w:val="18"/>
                <w:szCs w:val="18"/>
                <w:color w:val="auto"/>
              </w:rPr>
              <w:t>4,215</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1,115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15"/>
            <w:shd w:val="clear" w:color="auto" w:fill="CCEEFF"/>
          </w:tcPr>
          <w:p>
            <w:pPr>
              <w:ind w:left="160"/>
              <w:spacing w:after="0"/>
              <w:rPr>
                <w:sz w:val="20"/>
                <w:szCs w:val="20"/>
                <w:color w:val="auto"/>
              </w:rPr>
            </w:pPr>
            <w:r>
              <w:rPr>
                <w:rFonts w:ascii="Arial" w:cs="Arial" w:eastAsia="Arial" w:hAnsi="Arial"/>
                <w:sz w:val="18"/>
                <w:szCs w:val="18"/>
                <w:color w:val="auto"/>
                <w:w w:val="94"/>
              </w:rPr>
              <w:t>Adjustments to reconcile net income to net cash provided by (used in) operating activities:</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3"/>
          </w:tcPr>
          <w:p>
            <w:pPr>
              <w:ind w:left="340"/>
              <w:spacing w:after="0"/>
              <w:rPr>
                <w:sz w:val="20"/>
                <w:szCs w:val="20"/>
                <w:color w:val="auto"/>
              </w:rPr>
            </w:pPr>
            <w:r>
              <w:rPr>
                <w:rFonts w:ascii="Arial" w:cs="Arial" w:eastAsia="Arial" w:hAnsi="Arial"/>
                <w:sz w:val="18"/>
                <w:szCs w:val="18"/>
                <w:color w:val="auto"/>
              </w:rPr>
              <w:t>Provision for loan losses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3"/>
          </w:tcPr>
          <w:p>
            <w:pPr>
              <w:jc w:val="right"/>
              <w:ind w:right="280"/>
              <w:spacing w:after="0"/>
              <w:rPr>
                <w:sz w:val="20"/>
                <w:szCs w:val="20"/>
                <w:color w:val="auto"/>
              </w:rPr>
            </w:pPr>
            <w:r>
              <w:rPr>
                <w:rFonts w:ascii="Arial" w:cs="Arial" w:eastAsia="Arial" w:hAnsi="Arial"/>
                <w:sz w:val="18"/>
                <w:szCs w:val="18"/>
                <w:color w:val="auto"/>
                <w:w w:val="86"/>
              </w:rPr>
              <w:t>821</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15"/>
            <w:shd w:val="clear" w:color="auto" w:fill="CCEEFF"/>
          </w:tcPr>
          <w:p>
            <w:pPr>
              <w:ind w:left="340"/>
              <w:spacing w:after="0"/>
              <w:rPr>
                <w:sz w:val="20"/>
                <w:szCs w:val="20"/>
                <w:color w:val="auto"/>
              </w:rPr>
            </w:pPr>
            <w:r>
              <w:rPr>
                <w:rFonts w:ascii="Arial" w:cs="Arial" w:eastAsia="Arial" w:hAnsi="Arial"/>
                <w:sz w:val="18"/>
                <w:szCs w:val="18"/>
                <w:color w:val="auto"/>
                <w:w w:val="96"/>
              </w:rPr>
              <w:t>Gain on sale or impairment of real estate owned and other repossessed collateral, net</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(681)</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6"/>
          </w:tcPr>
          <w:p>
            <w:pPr>
              <w:ind w:left="340"/>
              <w:spacing w:after="0"/>
              <w:rPr>
                <w:sz w:val="20"/>
                <w:szCs w:val="20"/>
                <w:color w:val="auto"/>
              </w:rPr>
            </w:pPr>
            <w:r>
              <w:rPr>
                <w:rFonts w:ascii="Arial" w:cs="Arial" w:eastAsia="Arial" w:hAnsi="Arial"/>
                <w:sz w:val="18"/>
                <w:szCs w:val="18"/>
                <w:color w:val="auto"/>
              </w:rPr>
              <w:t>Accretion of fair value adjustments on loans, net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5"/>
          </w:tcPr>
          <w:p>
            <w:pPr>
              <w:jc w:val="right"/>
              <w:ind w:right="220"/>
              <w:spacing w:after="0"/>
              <w:rPr>
                <w:sz w:val="20"/>
                <w:szCs w:val="20"/>
                <w:color w:val="auto"/>
              </w:rPr>
            </w:pPr>
            <w:r>
              <w:rPr>
                <w:rFonts w:ascii="Arial" w:cs="Arial" w:eastAsia="Arial" w:hAnsi="Arial"/>
                <w:sz w:val="18"/>
                <w:szCs w:val="18"/>
                <w:color w:val="auto"/>
              </w:rPr>
              <w:t>(6,805)</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(1,559)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6"/>
            <w:shd w:val="clear" w:color="auto" w:fill="CCEEFF"/>
          </w:tcPr>
          <w:p>
            <w:pPr>
              <w:ind w:left="340"/>
              <w:spacing w:after="0"/>
              <w:rPr>
                <w:sz w:val="20"/>
                <w:szCs w:val="20"/>
                <w:color w:val="auto"/>
              </w:rPr>
            </w:pPr>
            <w:r>
              <w:rPr>
                <w:rFonts w:ascii="Arial" w:cs="Arial" w:eastAsia="Arial" w:hAnsi="Arial"/>
                <w:sz w:val="18"/>
                <w:szCs w:val="18"/>
                <w:color w:val="auto"/>
                <w:w w:val="95"/>
              </w:rPr>
              <w:t>Accretion of fair value adjustments on deposits, net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(758)</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8"/>
          </w:tcPr>
          <w:p>
            <w:pPr>
              <w:ind w:left="340"/>
              <w:spacing w:after="0"/>
              <w:rPr>
                <w:sz w:val="20"/>
                <w:szCs w:val="20"/>
                <w:color w:val="auto"/>
              </w:rPr>
            </w:pPr>
            <w:r>
              <w:rPr>
                <w:rFonts w:ascii="Arial" w:cs="Arial" w:eastAsia="Arial" w:hAnsi="Arial"/>
                <w:sz w:val="18"/>
                <w:szCs w:val="18"/>
                <w:color w:val="auto"/>
                <w:w w:val="97"/>
              </w:rPr>
              <w:t>Accretion of fair value adjustments on borrowings, net</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5"/>
          </w:tcPr>
          <w:p>
            <w:pPr>
              <w:jc w:val="right"/>
              <w:ind w:right="220"/>
              <w:spacing w:after="0"/>
              <w:rPr>
                <w:sz w:val="20"/>
                <w:szCs w:val="20"/>
                <w:color w:val="auto"/>
              </w:rPr>
            </w:pPr>
            <w:r>
              <w:rPr>
                <w:rFonts w:ascii="Arial" w:cs="Arial" w:eastAsia="Arial" w:hAnsi="Arial"/>
                <w:sz w:val="18"/>
                <w:szCs w:val="18"/>
                <w:color w:val="auto"/>
              </w:rPr>
              <w:t>(877)</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(1,621)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Originations of loans held for sale</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(106,770)</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(93,879)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5"/>
          </w:tcPr>
          <w:p>
            <w:pPr>
              <w:ind w:left="340"/>
              <w:spacing w:after="0"/>
              <w:rPr>
                <w:sz w:val="20"/>
                <w:szCs w:val="20"/>
                <w:color w:val="auto"/>
              </w:rPr>
            </w:pPr>
            <w:r>
              <w:rPr>
                <w:rFonts w:ascii="Arial" w:cs="Arial" w:eastAsia="Arial" w:hAnsi="Arial"/>
                <w:sz w:val="18"/>
                <w:szCs w:val="18"/>
                <w:color w:val="auto"/>
                <w:w w:val="92"/>
              </w:rPr>
              <w:t>Net proceeds from sales of loans held for sale</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5"/>
          </w:tcPr>
          <w:p>
            <w:pPr>
              <w:jc w:val="right"/>
              <w:ind w:right="280"/>
              <w:spacing w:after="0"/>
              <w:rPr>
                <w:sz w:val="20"/>
                <w:szCs w:val="20"/>
                <w:color w:val="auto"/>
              </w:rPr>
            </w:pPr>
            <w:r>
              <w:rPr>
                <w:rFonts w:ascii="Arial" w:cs="Arial" w:eastAsia="Arial" w:hAnsi="Arial"/>
                <w:sz w:val="18"/>
                <w:szCs w:val="18"/>
                <w:color w:val="auto"/>
              </w:rPr>
              <w:t>111,179</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94,761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Gain on sales of loans held for sale</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(2,295)</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3"/>
          </w:tcPr>
          <w:p>
            <w:pPr>
              <w:ind w:left="340"/>
              <w:spacing w:after="0"/>
              <w:rPr>
                <w:sz w:val="20"/>
                <w:szCs w:val="20"/>
                <w:color w:val="auto"/>
              </w:rPr>
            </w:pPr>
            <w:r>
              <w:rPr>
                <w:rFonts w:ascii="Arial" w:cs="Arial" w:eastAsia="Arial" w:hAnsi="Arial"/>
                <w:sz w:val="18"/>
                <w:szCs w:val="18"/>
                <w:color w:val="auto"/>
              </w:rPr>
              <w:t>Gain on sales of portfolio loans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5"/>
          </w:tcPr>
          <w:p>
            <w:pPr>
              <w:jc w:val="right"/>
              <w:ind w:right="220"/>
              <w:spacing w:after="0"/>
              <w:rPr>
                <w:sz w:val="20"/>
                <w:szCs w:val="20"/>
                <w:color w:val="auto"/>
              </w:rPr>
            </w:pPr>
            <w:r>
              <w:rPr>
                <w:rFonts w:ascii="Arial" w:cs="Arial" w:eastAsia="Arial" w:hAnsi="Arial"/>
                <w:sz w:val="18"/>
                <w:szCs w:val="18"/>
                <w:color w:val="auto"/>
              </w:rPr>
              <w:t>(2,226)</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(422)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Amortization of intangible assets</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w w:val="86"/>
              </w:rPr>
              <w:t>735</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3"/>
          </w:tcPr>
          <w:p>
            <w:pPr>
              <w:ind w:left="340"/>
              <w:spacing w:after="0"/>
              <w:rPr>
                <w:sz w:val="20"/>
                <w:szCs w:val="20"/>
                <w:color w:val="auto"/>
              </w:rPr>
            </w:pPr>
            <w:r>
              <w:rPr>
                <w:rFonts w:ascii="Arial" w:cs="Arial" w:eastAsia="Arial" w:hAnsi="Arial"/>
                <w:sz w:val="18"/>
                <w:szCs w:val="18"/>
                <w:color w:val="auto"/>
                <w:w w:val="91"/>
              </w:rPr>
              <w:t>Bank-owned life insurance income, net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5"/>
          </w:tcPr>
          <w:p>
            <w:pPr>
              <w:jc w:val="right"/>
              <w:ind w:right="220"/>
              <w:spacing w:after="0"/>
              <w:rPr>
                <w:sz w:val="20"/>
                <w:szCs w:val="20"/>
                <w:color w:val="auto"/>
              </w:rPr>
            </w:pPr>
            <w:r>
              <w:rPr>
                <w:rFonts w:ascii="Arial" w:cs="Arial" w:eastAsia="Arial" w:hAnsi="Arial"/>
                <w:sz w:val="18"/>
                <w:szCs w:val="18"/>
                <w:color w:val="auto"/>
              </w:rPr>
              <w:t>(599)</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(377)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Depreciation of premises and equipment</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5"/>
            <w:shd w:val="clear" w:color="auto" w:fill="CCEEFF"/>
          </w:tcPr>
          <w:p>
            <w:pPr>
              <w:jc w:val="right"/>
              <w:ind w:right="280"/>
              <w:spacing w:after="0"/>
              <w:rPr>
                <w:sz w:val="20"/>
                <w:szCs w:val="20"/>
                <w:color w:val="auto"/>
              </w:rPr>
            </w:pPr>
            <w:r>
              <w:rPr>
                <w:rFonts w:ascii="Arial" w:cs="Arial" w:eastAsia="Arial" w:hAnsi="Arial"/>
                <w:sz w:val="18"/>
                <w:szCs w:val="18"/>
                <w:color w:val="auto"/>
              </w:rPr>
              <w:t>1,283</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5"/>
          </w:tcPr>
          <w:p>
            <w:pPr>
              <w:ind w:left="340"/>
              <w:spacing w:after="0"/>
              <w:rPr>
                <w:sz w:val="20"/>
                <w:szCs w:val="20"/>
                <w:color w:val="auto"/>
              </w:rPr>
            </w:pPr>
            <w:r>
              <w:rPr>
                <w:rFonts w:ascii="Arial" w:cs="Arial" w:eastAsia="Arial" w:hAnsi="Arial"/>
                <w:sz w:val="18"/>
                <w:szCs w:val="18"/>
                <w:color w:val="auto"/>
              </w:rPr>
              <w:t>Gain on sale of premises and equipment</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3"/>
          </w:tcPr>
          <w:p>
            <w:pPr>
              <w:jc w:val="right"/>
              <w:ind w:right="280"/>
              <w:spacing w:after="0"/>
              <w:rPr>
                <w:sz w:val="20"/>
                <w:szCs w:val="20"/>
                <w:color w:val="auto"/>
              </w:rPr>
            </w:pPr>
            <w:r>
              <w:rPr>
                <w:rFonts w:ascii="Arial" w:cs="Arial" w:eastAsia="Arial" w:hAnsi="Arial"/>
                <w:sz w:val="18"/>
                <w:szCs w:val="18"/>
                <w:color w:val="auto"/>
              </w:rPr>
              <w:t>0</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w w:val="91"/>
              </w:rPr>
              <w:t>Net gain on sale of available-for-sale securities</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(792)</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3"/>
          </w:tcPr>
          <w:p>
            <w:pPr>
              <w:ind w:left="340"/>
              <w:spacing w:after="0"/>
              <w:rPr>
                <w:sz w:val="20"/>
                <w:szCs w:val="20"/>
                <w:color w:val="auto"/>
              </w:rPr>
            </w:pPr>
            <w:r>
              <w:rPr>
                <w:rFonts w:ascii="Arial" w:cs="Arial" w:eastAsia="Arial" w:hAnsi="Arial"/>
                <w:sz w:val="18"/>
                <w:szCs w:val="18"/>
                <w:color w:val="auto"/>
              </w:rPr>
              <w:t>Stock-based compensation</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3"/>
          </w:tcPr>
          <w:p>
            <w:pPr>
              <w:jc w:val="right"/>
              <w:ind w:right="280"/>
              <w:spacing w:after="0"/>
              <w:rPr>
                <w:sz w:val="20"/>
                <w:szCs w:val="20"/>
                <w:color w:val="auto"/>
              </w:rPr>
            </w:pPr>
            <w:r>
              <w:rPr>
                <w:rFonts w:ascii="Arial" w:cs="Arial" w:eastAsia="Arial" w:hAnsi="Arial"/>
                <w:sz w:val="18"/>
                <w:szCs w:val="18"/>
                <w:color w:val="auto"/>
                <w:w w:val="86"/>
              </w:rPr>
              <w:t>374</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w w:val="98"/>
              </w:rPr>
              <w:t>Gain on sale of assets of insurance division</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0</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3"/>
          </w:tcPr>
          <w:p>
            <w:pPr>
              <w:ind w:left="340"/>
              <w:spacing w:after="0"/>
              <w:rPr>
                <w:sz w:val="20"/>
                <w:szCs w:val="20"/>
                <w:color w:val="auto"/>
              </w:rPr>
            </w:pPr>
            <w:r>
              <w:rPr>
                <w:rFonts w:ascii="Arial" w:cs="Arial" w:eastAsia="Arial" w:hAnsi="Arial"/>
                <w:sz w:val="18"/>
                <w:szCs w:val="18"/>
                <w:color w:val="auto"/>
              </w:rPr>
              <w:t>Amortization of securities, net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5"/>
          </w:tcPr>
          <w:p>
            <w:pPr>
              <w:jc w:val="right"/>
              <w:ind w:right="280"/>
              <w:spacing w:after="0"/>
              <w:rPr>
                <w:sz w:val="20"/>
                <w:szCs w:val="20"/>
                <w:color w:val="auto"/>
              </w:rPr>
            </w:pPr>
            <w:r>
              <w:rPr>
                <w:rFonts w:ascii="Arial" w:cs="Arial" w:eastAsia="Arial" w:hAnsi="Arial"/>
                <w:sz w:val="18"/>
                <w:szCs w:val="18"/>
                <w:color w:val="auto"/>
              </w:rPr>
              <w:t>1,253</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1,239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w w:val="91"/>
              </w:rPr>
              <w:t>Changes in other assets and liabilities:</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3"/>
          </w:tcPr>
          <w:p>
            <w:pPr>
              <w:ind w:left="520"/>
              <w:spacing w:after="0"/>
              <w:rPr>
                <w:sz w:val="20"/>
                <w:szCs w:val="20"/>
                <w:color w:val="auto"/>
              </w:rPr>
            </w:pPr>
            <w:r>
              <w:rPr>
                <w:rFonts w:ascii="Arial" w:cs="Arial" w:eastAsia="Arial" w:hAnsi="Arial"/>
                <w:sz w:val="18"/>
                <w:szCs w:val="18"/>
                <w:color w:val="auto"/>
              </w:rPr>
              <w:t>Other assets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5"/>
          </w:tcPr>
          <w:p>
            <w:pPr>
              <w:jc w:val="right"/>
              <w:ind w:right="280"/>
              <w:spacing w:after="0"/>
              <w:rPr>
                <w:sz w:val="20"/>
                <w:szCs w:val="20"/>
                <w:color w:val="auto"/>
              </w:rPr>
            </w:pPr>
            <w:r>
              <w:rPr>
                <w:rFonts w:ascii="Arial" w:cs="Arial" w:eastAsia="Arial" w:hAnsi="Arial"/>
                <w:sz w:val="18"/>
                <w:szCs w:val="18"/>
                <w:color w:val="auto"/>
              </w:rPr>
              <w:t>1,828</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(513)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Other liabilities</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w w:val="86"/>
              </w:rPr>
              <w:t>737</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40" w:type="dxa"/>
            <w:vAlign w:val="bottom"/>
            <w:tcBorders>
              <w:bottom w:val="single" w:sz="8" w:color="CCEEFF"/>
            </w:tcBorders>
            <w:gridSpan w:val="6"/>
          </w:tcPr>
          <w:p>
            <w:pPr>
              <w:ind w:left="160"/>
              <w:spacing w:after="0"/>
              <w:rPr>
                <w:sz w:val="20"/>
                <w:szCs w:val="20"/>
                <w:color w:val="auto"/>
              </w:rPr>
            </w:pPr>
            <w:r>
              <w:rPr>
                <w:rFonts w:ascii="Arial" w:cs="Arial" w:eastAsia="Arial" w:hAnsi="Arial"/>
                <w:sz w:val="18"/>
                <w:szCs w:val="18"/>
                <w:color w:val="auto"/>
              </w:rPr>
              <w:t>Net cash provided by (used in) operating activities</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6"/>
              </w:rPr>
              <w:t>622</w:t>
            </w:r>
          </w:p>
        </w:tc>
        <w:tc>
          <w:tcPr>
            <w:tcW w:w="28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(4,316)</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gridSpan w:val="3"/>
          </w:tcPr>
          <w:p>
            <w:pPr>
              <w:spacing w:after="0"/>
              <w:rPr>
                <w:sz w:val="20"/>
                <w:szCs w:val="20"/>
                <w:color w:val="auto"/>
              </w:rPr>
            </w:pPr>
            <w:r>
              <w:rPr>
                <w:rFonts w:ascii="Arial" w:cs="Arial" w:eastAsia="Arial" w:hAnsi="Arial"/>
                <w:sz w:val="18"/>
                <w:szCs w:val="18"/>
                <w:color w:val="auto"/>
              </w:rPr>
              <w:t>Investing activities: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6"/>
            <w:shd w:val="clear" w:color="auto" w:fill="CCEEFF"/>
          </w:tcPr>
          <w:p>
            <w:pPr>
              <w:ind w:left="160"/>
              <w:spacing w:after="0"/>
              <w:rPr>
                <w:sz w:val="20"/>
                <w:szCs w:val="20"/>
                <w:color w:val="auto"/>
              </w:rPr>
            </w:pPr>
            <w:r>
              <w:rPr>
                <w:rFonts w:ascii="Arial" w:cs="Arial" w:eastAsia="Arial" w:hAnsi="Arial"/>
                <w:sz w:val="18"/>
                <w:szCs w:val="18"/>
                <w:color w:val="auto"/>
                <w:w w:val="99"/>
              </w:rPr>
              <w:t>Proceeds from sales of available-for-sale securities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5"/>
            <w:shd w:val="clear" w:color="auto" w:fill="CCEEFF"/>
          </w:tcPr>
          <w:p>
            <w:pPr>
              <w:jc w:val="right"/>
              <w:ind w:right="280"/>
              <w:spacing w:after="0"/>
              <w:rPr>
                <w:sz w:val="20"/>
                <w:szCs w:val="20"/>
                <w:color w:val="auto"/>
              </w:rPr>
            </w:pPr>
            <w:r>
              <w:rPr>
                <w:rFonts w:ascii="Arial" w:cs="Arial" w:eastAsia="Arial" w:hAnsi="Arial"/>
                <w:sz w:val="18"/>
                <w:szCs w:val="18"/>
                <w:color w:val="auto"/>
              </w:rPr>
              <w:t>159,579</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179,045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3"/>
          </w:tcPr>
          <w:p>
            <w:pPr>
              <w:ind w:left="160"/>
              <w:spacing w:after="0"/>
              <w:rPr>
                <w:sz w:val="20"/>
                <w:szCs w:val="20"/>
                <w:color w:val="auto"/>
              </w:rPr>
            </w:pPr>
            <w:r>
              <w:rPr>
                <w:rFonts w:ascii="Arial" w:cs="Arial" w:eastAsia="Arial" w:hAnsi="Arial"/>
                <w:sz w:val="18"/>
                <w:szCs w:val="18"/>
                <w:color w:val="auto"/>
                <w:w w:val="91"/>
              </w:rPr>
              <w:t>Purchases of available-for-sale securities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5"/>
          </w:tcPr>
          <w:p>
            <w:pPr>
              <w:jc w:val="right"/>
              <w:ind w:right="220"/>
              <w:spacing w:after="0"/>
              <w:rPr>
                <w:sz w:val="20"/>
                <w:szCs w:val="20"/>
                <w:color w:val="auto"/>
              </w:rPr>
            </w:pPr>
            <w:r>
              <w:rPr>
                <w:rFonts w:ascii="Arial" w:cs="Arial" w:eastAsia="Arial" w:hAnsi="Arial"/>
                <w:sz w:val="18"/>
                <w:szCs w:val="18"/>
                <w:color w:val="auto"/>
              </w:rPr>
              <w:t>(167,294)</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(185,991)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13"/>
            <w:shd w:val="clear" w:color="auto" w:fill="CCEEFF"/>
          </w:tcPr>
          <w:p>
            <w:pPr>
              <w:ind w:left="160"/>
              <w:spacing w:after="0"/>
              <w:rPr>
                <w:sz w:val="20"/>
                <w:szCs w:val="20"/>
                <w:color w:val="auto"/>
              </w:rPr>
            </w:pPr>
            <w:r>
              <w:rPr>
                <w:rFonts w:ascii="Arial" w:cs="Arial" w:eastAsia="Arial" w:hAnsi="Arial"/>
                <w:sz w:val="18"/>
                <w:szCs w:val="18"/>
                <w:color w:val="auto"/>
                <w:w w:val="93"/>
              </w:rPr>
              <w:t>Proceeds from maturities and principal payments on available-for-sale securities</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5"/>
            <w:shd w:val="clear" w:color="auto" w:fill="CCEEFF"/>
          </w:tcPr>
          <w:p>
            <w:pPr>
              <w:jc w:val="right"/>
              <w:ind w:right="280"/>
              <w:spacing w:after="0"/>
              <w:rPr>
                <w:sz w:val="20"/>
                <w:szCs w:val="20"/>
                <w:color w:val="auto"/>
              </w:rPr>
            </w:pPr>
            <w:r>
              <w:rPr>
                <w:rFonts w:ascii="Arial" w:cs="Arial" w:eastAsia="Arial" w:hAnsi="Arial"/>
                <w:sz w:val="18"/>
                <w:szCs w:val="18"/>
                <w:color w:val="auto"/>
              </w:rPr>
              <w:t>10,858</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3"/>
          </w:tcPr>
          <w:p>
            <w:pPr>
              <w:ind w:left="160"/>
              <w:spacing w:after="0"/>
              <w:rPr>
                <w:sz w:val="20"/>
                <w:szCs w:val="20"/>
                <w:color w:val="auto"/>
              </w:rPr>
            </w:pPr>
            <w:r>
              <w:rPr>
                <w:rFonts w:ascii="Arial" w:cs="Arial" w:eastAsia="Arial" w:hAnsi="Arial"/>
                <w:sz w:val="18"/>
                <w:szCs w:val="18"/>
                <w:color w:val="auto"/>
              </w:rPr>
              <w:t>Loan purchases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5"/>
          </w:tcPr>
          <w:p>
            <w:pPr>
              <w:jc w:val="right"/>
              <w:ind w:right="220"/>
              <w:spacing w:after="0"/>
              <w:rPr>
                <w:sz w:val="20"/>
                <w:szCs w:val="20"/>
                <w:color w:val="auto"/>
              </w:rPr>
            </w:pPr>
            <w:r>
              <w:rPr>
                <w:rFonts w:ascii="Arial" w:cs="Arial" w:eastAsia="Arial" w:hAnsi="Arial"/>
                <w:sz w:val="18"/>
                <w:szCs w:val="18"/>
                <w:color w:val="auto"/>
              </w:rPr>
              <w:t>(75,227)</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(59,849)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w w:val="97"/>
              </w:rPr>
              <w:t>Loan originations and principal collections, net</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5"/>
            <w:shd w:val="clear" w:color="auto" w:fill="CCEEFF"/>
          </w:tcPr>
          <w:p>
            <w:pPr>
              <w:jc w:val="right"/>
              <w:ind w:right="280"/>
              <w:spacing w:after="0"/>
              <w:rPr>
                <w:sz w:val="20"/>
                <w:szCs w:val="20"/>
                <w:color w:val="auto"/>
              </w:rPr>
            </w:pPr>
            <w:r>
              <w:rPr>
                <w:rFonts w:ascii="Arial" w:cs="Arial" w:eastAsia="Arial" w:hAnsi="Arial"/>
                <w:sz w:val="18"/>
                <w:szCs w:val="18"/>
                <w:color w:val="auto"/>
              </w:rPr>
              <w:t>49,759</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3"/>
          </w:tcPr>
          <w:p>
            <w:pPr>
              <w:ind w:left="160"/>
              <w:spacing w:after="0"/>
              <w:rPr>
                <w:sz w:val="20"/>
                <w:szCs w:val="20"/>
                <w:color w:val="auto"/>
              </w:rPr>
            </w:pPr>
            <w:r>
              <w:rPr>
                <w:rFonts w:ascii="Arial" w:cs="Arial" w:eastAsia="Arial" w:hAnsi="Arial"/>
                <w:sz w:val="18"/>
                <w:szCs w:val="18"/>
                <w:color w:val="auto"/>
                <w:w w:val="97"/>
              </w:rPr>
              <w:t>Purchases of premises and equipment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5"/>
          </w:tcPr>
          <w:p>
            <w:pPr>
              <w:jc w:val="right"/>
              <w:ind w:right="220"/>
              <w:spacing w:after="0"/>
              <w:rPr>
                <w:sz w:val="20"/>
                <w:szCs w:val="20"/>
                <w:color w:val="auto"/>
              </w:rPr>
            </w:pPr>
            <w:r>
              <w:rPr>
                <w:rFonts w:ascii="Arial" w:cs="Arial" w:eastAsia="Arial" w:hAnsi="Arial"/>
                <w:sz w:val="18"/>
                <w:szCs w:val="18"/>
                <w:color w:val="auto"/>
              </w:rPr>
              <w:t>(2,361)</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(1,841)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w w:val="92"/>
              </w:rPr>
              <w:t>Proceeds from sales of premises and equipment</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0</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3"/>
          </w:tcPr>
          <w:p>
            <w:pPr>
              <w:ind w:left="160"/>
              <w:spacing w:after="0"/>
              <w:rPr>
                <w:sz w:val="20"/>
                <w:szCs w:val="20"/>
                <w:color w:val="auto"/>
              </w:rPr>
            </w:pPr>
            <w:r>
              <w:rPr>
                <w:rFonts w:ascii="Arial" w:cs="Arial" w:eastAsia="Arial" w:hAnsi="Arial"/>
                <w:sz w:val="18"/>
                <w:szCs w:val="18"/>
                <w:color w:val="auto"/>
                <w:w w:val="99"/>
              </w:rPr>
              <w:t>Proceeds from sales of portfolio loans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5"/>
          </w:tcPr>
          <w:p>
            <w:pPr>
              <w:jc w:val="right"/>
              <w:ind w:right="280"/>
              <w:spacing w:after="0"/>
              <w:rPr>
                <w:sz w:val="20"/>
                <w:szCs w:val="20"/>
                <w:color w:val="auto"/>
              </w:rPr>
            </w:pPr>
            <w:r>
              <w:rPr>
                <w:rFonts w:ascii="Arial" w:cs="Arial" w:eastAsia="Arial" w:hAnsi="Arial"/>
                <w:sz w:val="18"/>
                <w:szCs w:val="18"/>
                <w:color w:val="auto"/>
              </w:rPr>
              <w:t>6,749</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2,405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w w:val="97"/>
              </w:rPr>
              <w:t>Proceeds from sales of repossessed collateral</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5"/>
            <w:shd w:val="clear" w:color="auto" w:fill="CCEEFF"/>
          </w:tcPr>
          <w:p>
            <w:pPr>
              <w:jc w:val="right"/>
              <w:ind w:right="280"/>
              <w:spacing w:after="0"/>
              <w:rPr>
                <w:sz w:val="20"/>
                <w:szCs w:val="20"/>
                <w:color w:val="auto"/>
              </w:rPr>
            </w:pPr>
            <w:r>
              <w:rPr>
                <w:rFonts w:ascii="Arial" w:cs="Arial" w:eastAsia="Arial" w:hAnsi="Arial"/>
                <w:sz w:val="18"/>
                <w:szCs w:val="18"/>
                <w:color w:val="auto"/>
              </w:rPr>
              <w:t>2,758</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3"/>
          </w:tcPr>
          <w:p>
            <w:pPr>
              <w:ind w:left="160"/>
              <w:spacing w:after="0"/>
              <w:rPr>
                <w:sz w:val="20"/>
                <w:szCs w:val="20"/>
                <w:color w:val="auto"/>
              </w:rPr>
            </w:pPr>
            <w:r>
              <w:rPr>
                <w:rFonts w:ascii="Arial" w:cs="Arial" w:eastAsia="Arial" w:hAnsi="Arial"/>
                <w:sz w:val="18"/>
                <w:szCs w:val="18"/>
                <w:color w:val="auto"/>
              </w:rPr>
              <w:t>Proceeds from life insurance benefits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3"/>
          </w:tcPr>
          <w:p>
            <w:pPr>
              <w:jc w:val="right"/>
              <w:ind w:right="280"/>
              <w:spacing w:after="0"/>
              <w:rPr>
                <w:sz w:val="20"/>
                <w:szCs w:val="20"/>
                <w:color w:val="auto"/>
              </w:rPr>
            </w:pPr>
            <w:r>
              <w:rPr>
                <w:rFonts w:ascii="Arial" w:cs="Arial" w:eastAsia="Arial" w:hAnsi="Arial"/>
                <w:sz w:val="18"/>
                <w:szCs w:val="18"/>
                <w:color w:val="auto"/>
                <w:w w:val="86"/>
              </w:rPr>
              <w:t>628</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w w:val="98"/>
              </w:rPr>
              <w:t>Proceeds from redemption of regulatory stock</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w w:val="86"/>
              </w:rPr>
              <w:t>352</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5"/>
          </w:tcPr>
          <w:p>
            <w:pPr>
              <w:ind w:left="160"/>
              <w:spacing w:after="0"/>
              <w:rPr>
                <w:sz w:val="20"/>
                <w:szCs w:val="20"/>
                <w:color w:val="auto"/>
              </w:rPr>
            </w:pPr>
            <w:r>
              <w:rPr>
                <w:rFonts w:ascii="Arial" w:cs="Arial" w:eastAsia="Arial" w:hAnsi="Arial"/>
                <w:sz w:val="18"/>
                <w:szCs w:val="18"/>
                <w:color w:val="auto"/>
                <w:w w:val="89"/>
              </w:rPr>
              <w:t>Proceeds from sale of assets of insurance division</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3"/>
          </w:tcPr>
          <w:p>
            <w:pPr>
              <w:jc w:val="right"/>
              <w:ind w:right="280"/>
              <w:spacing w:after="0"/>
              <w:rPr>
                <w:sz w:val="20"/>
                <w:szCs w:val="20"/>
                <w:color w:val="auto"/>
              </w:rPr>
            </w:pPr>
            <w:r>
              <w:rPr>
                <w:rFonts w:ascii="Arial" w:cs="Arial" w:eastAsia="Arial" w:hAnsi="Arial"/>
                <w:sz w:val="18"/>
                <w:szCs w:val="18"/>
                <w:color w:val="auto"/>
              </w:rPr>
              <w:t>0</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9,863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tcBorders>
              <w:top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Net cash used in investing activities</w:t>
            </w:r>
          </w:p>
        </w:tc>
        <w:tc>
          <w:tcPr>
            <w:tcW w:w="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(14,199)</w:t>
            </w:r>
          </w:p>
        </w:tc>
        <w:tc>
          <w:tcPr>
            <w:tcW w:w="2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(14,318)</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-6793230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-6793230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84" w:orient="portrait"/>
          <w:cols w:equalWidth="0" w:num="1">
            <w:col w:w="11460"/>
          </w:cols>
          <w:pgMar w:left="240" w:top="125" w:right="199" w:bottom="0" w:gutter="0" w:footer="0" w:header="0"/>
        </w:sectPr>
      </w:pPr>
    </w:p>
    <w:bookmarkStart w:id="5" w:name="page6"/>
    <w:bookmarkEnd w:id="5"/>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160"/>
              <w:spacing w:after="0"/>
              <w:rPr>
                <w:sz w:val="20"/>
                <w:szCs w:val="20"/>
                <w:color w:val="auto"/>
              </w:rPr>
            </w:pPr>
            <w:r>
              <w:rPr>
                <w:rFonts w:ascii="Arial" w:cs="Arial" w:eastAsia="Arial" w:hAnsi="Arial"/>
                <w:sz w:val="18"/>
                <w:szCs w:val="18"/>
                <w:color w:val="auto"/>
              </w:rPr>
              <w:t>Net increase in deposits</w:t>
            </w: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84,156</w:t>
            </w: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3,618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increase (decrease) in short-term borrowings</w:t>
            </w: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1,151</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160"/>
              <w:spacing w:after="0"/>
              <w:rPr>
                <w:sz w:val="20"/>
                <w:szCs w:val="20"/>
                <w:color w:val="auto"/>
              </w:rPr>
            </w:pPr>
            <w:r>
              <w:rPr>
                <w:rFonts w:ascii="Arial" w:cs="Arial" w:eastAsia="Arial" w:hAnsi="Arial"/>
                <w:sz w:val="18"/>
                <w:szCs w:val="18"/>
                <w:color w:val="auto"/>
              </w:rPr>
              <w:t>Dividends paid on preferred stock</w:t>
            </w: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(113)</w:t>
            </w:r>
          </w:p>
        </w:tc>
        <w:tc>
          <w:tcPr>
            <w:tcW w:w="4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Dividends paid on common stock</w:t>
            </w: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(2,809)</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160"/>
              <w:spacing w:after="0"/>
              <w:rPr>
                <w:sz w:val="20"/>
                <w:szCs w:val="20"/>
                <w:color w:val="auto"/>
              </w:rPr>
            </w:pPr>
            <w:r>
              <w:rPr>
                <w:rFonts w:ascii="Arial" w:cs="Arial" w:eastAsia="Arial" w:hAnsi="Arial"/>
                <w:sz w:val="18"/>
                <w:szCs w:val="18"/>
                <w:color w:val="auto"/>
              </w:rPr>
              <w:t>Stock offering costs</w:t>
            </w: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(59)</w:t>
            </w: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Repayment of structured repurchase agreements</w:t>
            </w: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(40,000)</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160"/>
              <w:spacing w:after="0"/>
              <w:rPr>
                <w:sz w:val="20"/>
                <w:szCs w:val="20"/>
                <w:color w:val="auto"/>
              </w:rPr>
            </w:pPr>
            <w:r>
              <w:rPr>
                <w:rFonts w:ascii="Arial" w:cs="Arial" w:eastAsia="Arial" w:hAnsi="Arial"/>
                <w:sz w:val="18"/>
                <w:szCs w:val="18"/>
                <w:color w:val="auto"/>
              </w:rPr>
              <w:t>Repayment of Federal Home Loan Bank advances</w:t>
            </w: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(10,000)</w:t>
            </w: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Repayment of other borrowings</w:t>
            </w: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160"/>
              <w:spacing w:after="0"/>
              <w:rPr>
                <w:sz w:val="20"/>
                <w:szCs w:val="20"/>
                <w:color w:val="auto"/>
              </w:rPr>
            </w:pPr>
            <w:r>
              <w:rPr>
                <w:rFonts w:ascii="Arial" w:cs="Arial" w:eastAsia="Arial" w:hAnsi="Arial"/>
                <w:sz w:val="18"/>
                <w:szCs w:val="18"/>
                <w:color w:val="auto"/>
              </w:rPr>
              <w:t>Redemption of preferred stock and warrants</w:t>
            </w: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4,326</w:t>
            </w: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Repayment of capital lease obligation</w:t>
            </w: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Net cash provided by (used in) financing activities</w:t>
            </w:r>
          </w:p>
        </w:tc>
        <w:tc>
          <w:tcPr>
            <w:tcW w:w="72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27,872</w:t>
            </w:r>
          </w:p>
        </w:tc>
        <w:tc>
          <w:tcPr>
            <w:tcW w:w="28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14,295</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128,274</w:t>
            </w: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83,931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72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142,569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64,880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5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Supplemental schedule of noncash investing and financing activities:</w:t>
            </w: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160"/>
              <w:spacing w:after="0"/>
              <w:rPr>
                <w:sz w:val="20"/>
                <w:szCs w:val="20"/>
                <w:color w:val="auto"/>
              </w:rPr>
            </w:pPr>
            <w:r>
              <w:rPr>
                <w:rFonts w:ascii="Arial" w:cs="Arial" w:eastAsia="Arial" w:hAnsi="Arial"/>
                <w:sz w:val="18"/>
                <w:szCs w:val="18"/>
                <w:color w:val="auto"/>
              </w:rPr>
              <w:t>Transfers from loans to real estate owned and other repossessed collateral</w:t>
            </w:r>
          </w:p>
        </w:tc>
        <w:tc>
          <w:tcPr>
            <w:tcW w:w="116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4,066</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Transfers from real estate owned and other repossessed collateral to loans</w:t>
            </w: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1,055</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60" w:type="dxa"/>
            <w:vAlign w:val="bottom"/>
          </w:tcPr>
          <w:p>
            <w:pPr>
              <w:ind w:left="160"/>
              <w:spacing w:after="0"/>
              <w:rPr>
                <w:sz w:val="20"/>
                <w:szCs w:val="20"/>
                <w:color w:val="auto"/>
              </w:rPr>
            </w:pPr>
            <w:r>
              <w:rPr>
                <w:rFonts w:ascii="Arial" w:cs="Arial" w:eastAsia="Arial" w:hAnsi="Arial"/>
                <w:sz w:val="18"/>
                <w:szCs w:val="18"/>
                <w:color w:val="auto"/>
                <w:w w:val="98"/>
              </w:rPr>
              <w:t>Transfers from premises and equipment to real estate owned and other repossessed collateral</w:t>
            </w: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270</w:t>
            </w:r>
          </w:p>
        </w:tc>
        <w:tc>
          <w:tcPr>
            <w:tcW w:w="44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NORTHEAST BANCORP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2013</w:t>
      </w:r>
    </w:p>
    <w:p>
      <w:pPr>
        <w:spacing w:after="0" w:line="207" w:lineRule="exact"/>
        <w:rPr>
          <w:sz w:val="20"/>
          <w:szCs w:val="20"/>
          <w:color w:val="auto"/>
        </w:rPr>
      </w:pPr>
    </w:p>
    <w:p>
      <w:pPr>
        <w:ind w:left="240" w:hanging="232"/>
        <w:spacing w:after="0"/>
        <w:tabs>
          <w:tab w:leader="none" w:pos="24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Basis of Presentation</w:t>
      </w:r>
    </w:p>
    <w:p>
      <w:pPr>
        <w:spacing w:after="0" w:line="229"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The accompanying unaudited condensed and consolidated interim financial statements include the accounts of Northeast Bancorp (“Northeast” or the “Company”) and its wholly-owned subsidiary, Northeast Bank (the “Bank”).</w:t>
      </w:r>
    </w:p>
    <w:p>
      <w:pPr>
        <w:spacing w:after="0" w:line="17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These financial statements have been prepared in accordance with accounting principles generally accepted in the United States of America (“GAAP”) for interim financial information and with the instructions to Form 10-Q and Article 10 of Regulation S-X. Accordingly, they do not include all of the information and notes required by GAAP for complete financial statements. In the opinion of management, the accompanying consolidated financial statements contain all adjustments (consisting principally of normal recurring accruals) considered necessary for a fair presentation of the Company’s financial position at March 31, 2013, the results of operations for the three and nine months ended March 31, 2013 and 2012, comprehensive income for the three and nine months ended March 31, 2013 and 2012, the changes in stockholders’ equity for the nine months ended March 31, 2013 and 2012, and the cash flows for the nine months ended March 31, 2013 and 2012. Operating results for the nine months ended March 31, 2013 are not necessarily indicative of the results that may be expected for the fiscal year ending June 30, 2013 (“Fiscal 2013”). For further information, refer to the audited consolidated financial statements and notes thereto for the fiscal year ended June 30, 2012 (“Fiscal 2012”) included in the Company’s Annual Report on Form 10-K filed with the Securities and Exchange Commission.</w:t>
      </w:r>
    </w:p>
    <w:p>
      <w:pPr>
        <w:spacing w:after="0" w:line="191" w:lineRule="exact"/>
        <w:rPr>
          <w:sz w:val="20"/>
          <w:szCs w:val="20"/>
          <w:color w:val="auto"/>
        </w:rPr>
      </w:pPr>
    </w:p>
    <w:p>
      <w:pPr>
        <w:ind w:left="240" w:hanging="232"/>
        <w:spacing w:after="0"/>
        <w:tabs>
          <w:tab w:leader="none" w:pos="24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Recent Accounting Pronouncements</w:t>
      </w:r>
    </w:p>
    <w:p>
      <w:pPr>
        <w:spacing w:after="0" w:line="229"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 xml:space="preserve">In December 2011, the Financial Accounting Standards Board (“FASB”) issued ASU No. 2011-11, </w:t>
      </w:r>
      <w:r>
        <w:rPr>
          <w:rFonts w:ascii="Arial" w:cs="Arial" w:eastAsia="Arial" w:hAnsi="Arial"/>
          <w:sz w:val="18"/>
          <w:szCs w:val="18"/>
          <w:i w:val="1"/>
          <w:iCs w:val="1"/>
          <w:color w:val="auto"/>
        </w:rPr>
        <w:t>Balance Sheet (Topic 210): Disclosures about Offsetting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Assets and Liabilities </w:t>
      </w:r>
      <w:r>
        <w:rPr>
          <w:rFonts w:ascii="Arial" w:cs="Arial" w:eastAsia="Arial" w:hAnsi="Arial"/>
          <w:sz w:val="18"/>
          <w:szCs w:val="18"/>
          <w:color w:val="auto"/>
        </w:rPr>
        <w:t>(“ASU 2011-11”). The update requires entities to disclose information about offsetting and related arrangements of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instruments and derivative instruments. The amendments require enhanced disclosures by requiring improved information about financial instruments and derivative instruments that are either (i) offset in accordance with current literature or (ii) subject to an enforceable master netting arrangement or similar agreement, irrespective of whether they are offset in accordance with current literature. ASU 2011-11 is effective for fiscal years, and interim periods within those years, beginning on or after January 1, 2013. The Company does not anticipate that the adoption of this guidance will have a material impact on the consolidated financial statements.</w:t>
      </w:r>
    </w:p>
    <w:p>
      <w:pPr>
        <w:spacing w:after="0" w:line="189"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 xml:space="preserve">In June 2011, the FASB issued ASU No. 2011-05, </w:t>
      </w:r>
      <w:r>
        <w:rPr>
          <w:rFonts w:ascii="Arial" w:cs="Arial" w:eastAsia="Arial" w:hAnsi="Arial"/>
          <w:sz w:val="16"/>
          <w:szCs w:val="16"/>
          <w:i w:val="1"/>
          <w:iCs w:val="1"/>
          <w:color w:val="auto"/>
        </w:rPr>
        <w:t>Comprehensive Income (Topic 220): Presentation of Comprehensive Income</w:t>
      </w:r>
      <w:r>
        <w:rPr>
          <w:rFonts w:ascii="Arial" w:cs="Arial" w:eastAsia="Arial" w:hAnsi="Arial"/>
          <w:sz w:val="16"/>
          <w:szCs w:val="16"/>
          <w:color w:val="auto"/>
        </w:rPr>
        <w:t xml:space="preserve"> (“ASU 2011-05”)</w:t>
      </w:r>
      <w:r>
        <w:rPr>
          <w:rFonts w:ascii="Arial" w:cs="Arial" w:eastAsia="Arial" w:hAnsi="Arial"/>
          <w:sz w:val="16"/>
          <w:szCs w:val="16"/>
          <w:i w:val="1"/>
          <w:iCs w:val="1"/>
          <w:color w:val="auto"/>
        </w:rPr>
        <w:t>.</w:t>
      </w:r>
      <w:r>
        <w:rPr>
          <w:rFonts w:ascii="Arial" w:cs="Arial" w:eastAsia="Arial" w:hAnsi="Arial"/>
          <w:sz w:val="16"/>
          <w:szCs w:val="16"/>
          <w:color w:val="auto"/>
        </w:rPr>
        <w:t xml:space="preserve"> The objective of this update is to improve the comparability, consistency, and transparency of financial reporting and to increase the prominence of items reported in other comprehensive income. The amendments in this update require that all non-owner changes in stockholders’ equity be presented either in as single continuous statement of comprehensive income or in two separate but consecutive statements. The amendments are effective for interim and annual periods beginning after December 15, 2011. The adoption of this guidance did not have a material impact on the consolidated financial statements.</w:t>
      </w:r>
    </w:p>
    <w:p>
      <w:pPr>
        <w:spacing w:after="0" w:line="15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 xml:space="preserve">In December 2011, the FASB issued ASU No. 2011-12, </w:t>
      </w:r>
      <w:r>
        <w:rPr>
          <w:rFonts w:ascii="Arial" w:cs="Arial" w:eastAsia="Arial" w:hAnsi="Arial"/>
          <w:sz w:val="18"/>
          <w:szCs w:val="18"/>
          <w:i w:val="1"/>
          <w:iCs w:val="1"/>
          <w:color w:val="auto"/>
        </w:rPr>
        <w:t>Comprehensive Income (Topic 220): Deferral of the Effective Date for Amendments to the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Presentation of Reclassifications of Items Out of Accumulated Other Comprehensive Income in Accounting Standards Update No. 2011-05. </w:t>
      </w:r>
      <w:r>
        <w:rPr>
          <w:rFonts w:ascii="Arial" w:cs="Arial" w:eastAsia="Arial" w:hAnsi="Arial"/>
          <w:sz w:val="18"/>
          <w:szCs w:val="18"/>
          <w:color w:val="auto"/>
        </w:rPr>
        <w:t>The amendments</w:t>
      </w:r>
      <w:r>
        <w:rPr>
          <w:rFonts w:ascii="Arial" w:cs="Arial" w:eastAsia="Arial" w:hAnsi="Arial"/>
          <w:sz w:val="18"/>
          <w:szCs w:val="18"/>
          <w:i w:val="1"/>
          <w:iCs w:val="1"/>
          <w:color w:val="auto"/>
        </w:rPr>
        <w:t xml:space="preserve"> </w:t>
      </w:r>
      <w:r>
        <w:rPr>
          <w:rFonts w:ascii="Arial" w:cs="Arial" w:eastAsia="Arial" w:hAnsi="Arial"/>
          <w:sz w:val="18"/>
          <w:szCs w:val="18"/>
          <w:color w:val="auto"/>
        </w:rPr>
        <w:t>in this update defer those changes in ASU 2011-05 that relate to the presentation of reclassifications out of accumulated other comprehensive income on the components of net income and other comprehensive income for all periods presented. All other requirements in ASU 2011-05 are not affected by this update. The amendments are effective for interim and annual periods beginning after December 15, 2011. The adoption of this guidance did not have a material impact on the consolidated financial statements.</w:t>
      </w:r>
    </w:p>
    <w:p>
      <w:pPr>
        <w:spacing w:after="0" w:line="193"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 xml:space="preserve">In January 2013, the FASB issued ASU No. 2013-01, </w:t>
      </w:r>
      <w:r>
        <w:rPr>
          <w:rFonts w:ascii="Arial" w:cs="Arial" w:eastAsia="Arial" w:hAnsi="Arial"/>
          <w:sz w:val="16"/>
          <w:szCs w:val="16"/>
          <w:i w:val="1"/>
          <w:iCs w:val="1"/>
          <w:color w:val="auto"/>
        </w:rPr>
        <w:t>Balance Sheet (Topic 210): Disclosures about Offsetting Assets and Liabilities</w:t>
      </w:r>
      <w:r>
        <w:rPr>
          <w:rFonts w:ascii="Arial" w:cs="Arial" w:eastAsia="Arial" w:hAnsi="Arial"/>
          <w:sz w:val="16"/>
          <w:szCs w:val="16"/>
          <w:color w:val="auto"/>
        </w:rPr>
        <w:t xml:space="preserve"> (“ASU 2013-01). The amendments clarify that the scope of Update 2011-11 applies to derivatives accounted for in accordance with Topic 815, Derivatives and Hedging, including bifurcated embedded derivatives, repurchase agreements and reverse repurchase agreements, and securities borrowing and securities lending transactions that are either offset in accordance with Section 210-20-45 or Section 815-10-45 or subject to an enforceable master netting arrangement or similar agreement.</w:t>
      </w:r>
    </w:p>
    <w:p>
      <w:pPr>
        <w:sectPr>
          <w:pgSz w:w="11900" w:h="16958" w:orient="portrait"/>
          <w:cols w:equalWidth="0" w:num="1">
            <w:col w:w="11420"/>
          </w:cols>
          <w:pgMar w:left="240" w:top="356" w:right="239" w:bottom="0" w:gutter="0" w:footer="0" w:header="0"/>
        </w:sectPr>
      </w:pPr>
    </w:p>
    <w:bookmarkStart w:id="6" w:name="page7"/>
    <w:bookmarkEnd w:id="6"/>
    <w:p>
      <w:pPr>
        <w:ind w:right="140"/>
        <w:spacing w:after="0" w:line="342" w:lineRule="auto"/>
        <w:rPr>
          <w:sz w:val="20"/>
          <w:szCs w:val="20"/>
          <w:color w:val="auto"/>
        </w:rPr>
      </w:pPr>
      <w:r>
        <w:rPr>
          <w:rFonts w:ascii="Arial" w:cs="Arial" w:eastAsia="Arial" w:hAnsi="Arial"/>
          <w:sz w:val="16"/>
          <w:szCs w:val="16"/>
          <w:color w:val="auto"/>
        </w:rPr>
        <w:t>The new standards are effective for annual periods beginning January 1, 2013 and for interim periods within those annual periods. Retrospective application is required. The Company does not anticipate that the adoption of this guidance will have a material impact on the consolidated financial statements.</w:t>
      </w:r>
    </w:p>
    <w:p>
      <w:pPr>
        <w:spacing w:after="0" w:line="12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In February 2013, the FASB issued ASU No. 2013-02, </w:t>
      </w:r>
      <w:r>
        <w:rPr>
          <w:rFonts w:ascii="Arial" w:cs="Arial" w:eastAsia="Arial" w:hAnsi="Arial"/>
          <w:sz w:val="16"/>
          <w:szCs w:val="16"/>
          <w:i w:val="1"/>
          <w:iCs w:val="1"/>
          <w:color w:val="auto"/>
        </w:rPr>
        <w:t>Comprehensive Income (Topic 220): Reporting of Amounts Reclassified out of Accumulated Other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Comprehensive Income </w:t>
      </w:r>
      <w:r>
        <w:rPr>
          <w:rFonts w:ascii="Arial" w:cs="Arial" w:eastAsia="Arial" w:hAnsi="Arial"/>
          <w:sz w:val="16"/>
          <w:szCs w:val="16"/>
          <w:color w:val="auto"/>
        </w:rPr>
        <w:t>(“ASU 2013-02”). This ASU requires entities to (1) present (either on the face of the statement where net income is presented or in</w:t>
      </w:r>
      <w:r>
        <w:rPr>
          <w:rFonts w:ascii="Arial" w:cs="Arial" w:eastAsia="Arial" w:hAnsi="Arial"/>
          <w:sz w:val="16"/>
          <w:szCs w:val="16"/>
          <w:i w:val="1"/>
          <w:iCs w:val="1"/>
          <w:color w:val="auto"/>
        </w:rPr>
        <w:t xml:space="preserve"> </w:t>
      </w:r>
      <w:r>
        <w:rPr>
          <w:rFonts w:ascii="Arial" w:cs="Arial" w:eastAsia="Arial" w:hAnsi="Arial"/>
          <w:sz w:val="16"/>
          <w:szCs w:val="16"/>
          <w:color w:val="auto"/>
        </w:rPr>
        <w:t>the notes) the effects on the line items of net income of significant amounts reclassified out of accumulated other comprehensive income—but only if the item reclassified is required under GAAP to be reclassified to net income in its entirety in the same reporting period and (2) cross-reference to other disclosures currently required under GAAP for other reclassification items (that are not required under GAAP) to be reclassified directly to net income in their entirety in the same reporting period. This would be the case when a portion of the amount reclassified out of accumulated other comprehensive income is initially transferred to a balance sheet account instead of directly to income or expense. The new standards are effective for reporting periods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beginning after December 15, 2012. The adoption of ASU No. 2013-02 did not have a material impact on the Company’s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240" w:hanging="232"/>
        <w:spacing w:after="0"/>
        <w:tabs>
          <w:tab w:leader="none" w:pos="2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Securities Available-for-Sale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Securities available-for-sale at amortized cost and approximate fair values are summarized below:</w:t>
      </w:r>
    </w:p>
    <w:p>
      <w:pPr>
        <w:spacing w:after="0" w:line="217" w:lineRule="exact"/>
        <w:rPr>
          <w:sz w:val="20"/>
          <w:szCs w:val="20"/>
          <w:color w:val="auto"/>
        </w:rPr>
      </w:pPr>
    </w:p>
    <w:tbl>
      <w:tblPr>
        <w:tblLayout w:type="fixed"/>
        <w:tblInd w:w="240" w:type="dxa"/>
        <w:tblCellMar>
          <w:top w:w="0" w:type="dxa"/>
          <w:left w:w="0" w:type="dxa"/>
          <w:bottom w:w="0" w:type="dxa"/>
          <w:right w:w="0" w:type="dxa"/>
        </w:tblCellMar>
      </w:tblPr>
      <w:tr>
        <w:trPr>
          <w:trHeight w:val="171"/>
        </w:trPr>
        <w:tc>
          <w:tcPr>
            <w:tcW w:w="36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 2013</w:t>
            </w:r>
          </w:p>
        </w:tc>
        <w:tc>
          <w:tcPr>
            <w:tcW w:w="9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right"/>
              <w:ind w:right="45"/>
              <w:spacing w:after="0"/>
              <w:rPr>
                <w:sz w:val="20"/>
                <w:szCs w:val="20"/>
                <w:color w:val="auto"/>
              </w:rPr>
            </w:pPr>
            <w:r>
              <w:rPr>
                <w:rFonts w:ascii="Arial" w:cs="Arial" w:eastAsia="Arial" w:hAnsi="Arial"/>
                <w:sz w:val="14"/>
                <w:szCs w:val="14"/>
                <w:b w:val="1"/>
                <w:bCs w:val="1"/>
                <w:color w:val="auto"/>
              </w:rPr>
              <w:t>June 30, 2012</w:t>
            </w:r>
          </w:p>
        </w:tc>
        <w:tc>
          <w:tcPr>
            <w:tcW w:w="9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19"/>
        </w:trPr>
        <w:tc>
          <w:tcPr>
            <w:tcW w:w="36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40" w:type="dxa"/>
            <w:vAlign w:val="bottom"/>
          </w:tcPr>
          <w:p>
            <w:pPr>
              <w:jc w:val="right"/>
              <w:ind w:right="260"/>
              <w:spacing w:after="0" w:line="119" w:lineRule="exact"/>
              <w:rPr>
                <w:sz w:val="20"/>
                <w:szCs w:val="20"/>
                <w:color w:val="auto"/>
              </w:rPr>
            </w:pPr>
            <w:r>
              <w:rPr>
                <w:rFonts w:ascii="Arial" w:cs="Arial" w:eastAsia="Arial" w:hAnsi="Arial"/>
                <w:sz w:val="13"/>
                <w:szCs w:val="13"/>
                <w:b w:val="1"/>
                <w:bCs w:val="1"/>
                <w:color w:val="auto"/>
              </w:rPr>
              <w:t>Amortized</w:t>
            </w: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40" w:type="dxa"/>
            <w:vAlign w:val="bottom"/>
          </w:tcPr>
          <w:p>
            <w:pPr>
              <w:jc w:val="right"/>
              <w:ind w:right="460"/>
              <w:spacing w:after="0" w:line="119" w:lineRule="exact"/>
              <w:rPr>
                <w:sz w:val="20"/>
                <w:szCs w:val="20"/>
                <w:color w:val="auto"/>
              </w:rPr>
            </w:pPr>
            <w:r>
              <w:rPr>
                <w:rFonts w:ascii="Arial" w:cs="Arial" w:eastAsia="Arial" w:hAnsi="Arial"/>
                <w:sz w:val="13"/>
                <w:szCs w:val="13"/>
                <w:b w:val="1"/>
                <w:bCs w:val="1"/>
                <w:color w:val="auto"/>
              </w:rPr>
              <w:t>Fair</w:t>
            </w: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jc w:val="right"/>
              <w:ind w:right="280"/>
              <w:spacing w:after="0" w:line="119" w:lineRule="exact"/>
              <w:rPr>
                <w:sz w:val="20"/>
                <w:szCs w:val="20"/>
                <w:color w:val="auto"/>
              </w:rPr>
            </w:pPr>
            <w:r>
              <w:rPr>
                <w:rFonts w:ascii="Arial" w:cs="Arial" w:eastAsia="Arial" w:hAnsi="Arial"/>
                <w:sz w:val="13"/>
                <w:szCs w:val="13"/>
                <w:b w:val="1"/>
                <w:bCs w:val="1"/>
                <w:color w:val="auto"/>
              </w:rPr>
              <w:t>Amortized</w:t>
            </w:r>
          </w:p>
        </w:tc>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80" w:type="dxa"/>
            <w:vAlign w:val="bottom"/>
          </w:tcPr>
          <w:p>
            <w:pPr>
              <w:jc w:val="center"/>
              <w:ind w:right="318"/>
              <w:spacing w:after="0" w:line="119" w:lineRule="exact"/>
              <w:rPr>
                <w:sz w:val="20"/>
                <w:szCs w:val="20"/>
                <w:color w:val="auto"/>
              </w:rPr>
            </w:pPr>
            <w:r>
              <w:rPr>
                <w:rFonts w:ascii="Arial" w:cs="Arial" w:eastAsia="Arial" w:hAnsi="Arial"/>
                <w:sz w:val="13"/>
                <w:szCs w:val="13"/>
                <w:b w:val="1"/>
                <w:bCs w:val="1"/>
                <w:color w:val="auto"/>
              </w:rPr>
              <w:t>Fair</w:t>
            </w:r>
          </w:p>
        </w:tc>
        <w:tc>
          <w:tcPr>
            <w:tcW w:w="120" w:type="dxa"/>
            <w:vAlign w:val="bottom"/>
          </w:tcPr>
          <w:p>
            <w:pPr>
              <w:spacing w:after="0"/>
              <w:rPr>
                <w:sz w:val="10"/>
                <w:szCs w:val="10"/>
                <w:color w:val="auto"/>
              </w:rPr>
            </w:pPr>
          </w:p>
        </w:tc>
      </w:tr>
      <w:tr>
        <w:trPr>
          <w:trHeight w:val="171"/>
        </w:trPr>
        <w:tc>
          <w:tcPr>
            <w:tcW w:w="36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right"/>
              <w:ind w:right="460"/>
              <w:spacing w:after="0"/>
              <w:rPr>
                <w:sz w:val="20"/>
                <w:szCs w:val="20"/>
                <w:color w:val="auto"/>
              </w:rPr>
            </w:pPr>
            <w:r>
              <w:rPr>
                <w:rFonts w:ascii="Arial" w:cs="Arial" w:eastAsia="Arial" w:hAnsi="Arial"/>
                <w:sz w:val="14"/>
                <w:szCs w:val="14"/>
                <w:b w:val="1"/>
                <w:bCs w:val="1"/>
                <w:color w:val="auto"/>
              </w:rPr>
              <w:t>Cost</w:t>
            </w: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tcPr>
          <w:p>
            <w:pPr>
              <w:jc w:val="right"/>
              <w:ind w:right="420"/>
              <w:spacing w:after="0"/>
              <w:rPr>
                <w:sz w:val="20"/>
                <w:szCs w:val="20"/>
                <w:color w:val="auto"/>
              </w:rPr>
            </w:pPr>
            <w:r>
              <w:rPr>
                <w:rFonts w:ascii="Arial" w:cs="Arial" w:eastAsia="Arial" w:hAnsi="Arial"/>
                <w:sz w:val="14"/>
                <w:szCs w:val="14"/>
                <w:b w:val="1"/>
                <w:bCs w:val="1"/>
                <w:color w:val="auto"/>
              </w:rPr>
              <w:t>Value</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right"/>
              <w:ind w:right="460"/>
              <w:spacing w:after="0"/>
              <w:rPr>
                <w:sz w:val="20"/>
                <w:szCs w:val="20"/>
                <w:color w:val="auto"/>
              </w:rPr>
            </w:pPr>
            <w:r>
              <w:rPr>
                <w:rFonts w:ascii="Arial" w:cs="Arial" w:eastAsia="Arial" w:hAnsi="Arial"/>
                <w:sz w:val="14"/>
                <w:szCs w:val="14"/>
                <w:b w:val="1"/>
                <w:bCs w:val="1"/>
                <w:color w:val="auto"/>
              </w:rPr>
              <w:t>Cost</w:t>
            </w: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0"/>
              </w:rPr>
              <w:t>Value</w:t>
            </w:r>
          </w:p>
        </w:tc>
      </w:tr>
      <w:tr>
        <w:trPr>
          <w:trHeight w:val="142"/>
        </w:trPr>
        <w:tc>
          <w:tcPr>
            <w:tcW w:w="36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600" w:type="dxa"/>
            <w:vAlign w:val="bottom"/>
            <w:tcBorders>
              <w:top w:val="single" w:sz="8" w:color="auto"/>
            </w:tcBorders>
            <w:gridSpan w:val="4"/>
          </w:tcPr>
          <w:p>
            <w:pPr>
              <w:jc w:val="right"/>
              <w:ind w:right="740"/>
              <w:spacing w:after="0" w:line="142" w:lineRule="exact"/>
              <w:rPr>
                <w:sz w:val="20"/>
                <w:szCs w:val="20"/>
                <w:color w:val="auto"/>
              </w:rPr>
            </w:pPr>
            <w:r>
              <w:rPr>
                <w:rFonts w:ascii="Arial" w:cs="Arial" w:eastAsia="Arial" w:hAnsi="Arial"/>
                <w:sz w:val="14"/>
                <w:szCs w:val="14"/>
                <w:b w:val="1"/>
                <w:bCs w:val="1"/>
                <w:color w:val="auto"/>
              </w:rPr>
              <w:t>(Dollars in thousands)</w:t>
            </w:r>
          </w:p>
        </w:tc>
        <w:tc>
          <w:tcPr>
            <w:tcW w:w="2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U.S. Government agency securities</w:t>
            </w:r>
          </w:p>
        </w:tc>
        <w:tc>
          <w:tcPr>
            <w:tcW w:w="128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45,422</w:t>
            </w:r>
          </w:p>
        </w:tc>
        <w:tc>
          <w:tcPr>
            <w:tcW w:w="70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45,482</w:t>
            </w:r>
          </w:p>
        </w:tc>
        <w:tc>
          <w:tcPr>
            <w:tcW w:w="52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45,824</w:t>
            </w:r>
          </w:p>
        </w:tc>
        <w:tc>
          <w:tcPr>
            <w:tcW w:w="680" w:type="dxa"/>
            <w:vAlign w:val="bottom"/>
            <w:gridSpan w:val="2"/>
            <w:shd w:val="clear" w:color="auto" w:fill="CCEEFF"/>
          </w:tcPr>
          <w:p>
            <w:pPr>
              <w:jc w:val="right"/>
              <w:ind w:right="245"/>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45,808</w:t>
            </w:r>
          </w:p>
        </w:tc>
        <w:tc>
          <w:tcPr>
            <w:tcW w:w="120" w:type="dxa"/>
            <w:vAlign w:val="bottom"/>
            <w:shd w:val="clear" w:color="auto" w:fill="CCEEFF"/>
          </w:tcPr>
          <w:p>
            <w:pPr>
              <w:spacing w:after="0"/>
              <w:rPr>
                <w:sz w:val="18"/>
                <w:szCs w:val="18"/>
                <w:color w:val="auto"/>
              </w:rPr>
            </w:pPr>
          </w:p>
        </w:tc>
      </w:tr>
      <w:tr>
        <w:trPr>
          <w:trHeight w:val="216"/>
        </w:trPr>
        <w:tc>
          <w:tcPr>
            <w:tcW w:w="36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Agency mortgage-backed securities</w:t>
            </w:r>
          </w:p>
        </w:tc>
        <w:tc>
          <w:tcPr>
            <w:tcW w:w="10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83,613</w:t>
            </w:r>
          </w:p>
        </w:tc>
        <w:tc>
          <w:tcPr>
            <w:tcW w:w="2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83,067</w:t>
            </w:r>
          </w:p>
        </w:tc>
        <w:tc>
          <w:tcPr>
            <w:tcW w:w="3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86,816</w:t>
            </w:r>
          </w:p>
        </w:tc>
        <w:tc>
          <w:tcPr>
            <w:tcW w:w="2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87,456</w:t>
            </w:r>
          </w:p>
        </w:tc>
        <w:tc>
          <w:tcPr>
            <w:tcW w:w="120" w:type="dxa"/>
            <w:vAlign w:val="bottom"/>
            <w:tcBorders>
              <w:bottom w:val="single" w:sz="8" w:color="CCEEFF"/>
            </w:tcBorders>
          </w:tcPr>
          <w:p>
            <w:pPr>
              <w:spacing w:after="0"/>
              <w:rPr>
                <w:sz w:val="18"/>
                <w:szCs w:val="18"/>
                <w:color w:val="auto"/>
              </w:rPr>
            </w:pPr>
          </w:p>
        </w:tc>
      </w:tr>
      <w:tr>
        <w:trPr>
          <w:trHeight w:val="210"/>
        </w:trPr>
        <w:tc>
          <w:tcPr>
            <w:tcW w:w="36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129,035</w:t>
            </w:r>
          </w:p>
        </w:tc>
        <w:tc>
          <w:tcPr>
            <w:tcW w:w="2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128,549</w:t>
            </w:r>
          </w:p>
        </w:tc>
        <w:tc>
          <w:tcPr>
            <w:tcW w:w="3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132,640</w:t>
            </w:r>
          </w:p>
        </w:tc>
        <w:tc>
          <w:tcPr>
            <w:tcW w:w="2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133,264</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
        </w:trPr>
        <w:tc>
          <w:tcPr>
            <w:tcW w:w="36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gross unrealized gains and unrealized losses on available-for-sale securities are as follows:</w:t>
      </w:r>
    </w:p>
    <w:p>
      <w:pPr>
        <w:spacing w:after="0" w:line="217" w:lineRule="exact"/>
        <w:rPr>
          <w:sz w:val="20"/>
          <w:szCs w:val="20"/>
          <w:color w:val="auto"/>
        </w:rPr>
      </w:pPr>
    </w:p>
    <w:tbl>
      <w:tblPr>
        <w:tblLayout w:type="fixed"/>
        <w:tblInd w:w="240" w:type="dxa"/>
        <w:tblCellMar>
          <w:top w:w="0" w:type="dxa"/>
          <w:left w:w="0" w:type="dxa"/>
          <w:bottom w:w="0" w:type="dxa"/>
          <w:right w:w="0" w:type="dxa"/>
        </w:tblCellMar>
      </w:tblPr>
      <w:tr>
        <w:trPr>
          <w:trHeight w:val="171"/>
        </w:trPr>
        <w:tc>
          <w:tcPr>
            <w:tcW w:w="36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right"/>
              <w:ind w:right="645"/>
              <w:spacing w:after="0"/>
              <w:rPr>
                <w:sz w:val="20"/>
                <w:szCs w:val="20"/>
                <w:color w:val="auto"/>
              </w:rPr>
            </w:pPr>
            <w:r>
              <w:rPr>
                <w:rFonts w:ascii="Arial" w:cs="Arial" w:eastAsia="Arial" w:hAnsi="Arial"/>
                <w:sz w:val="14"/>
                <w:szCs w:val="14"/>
                <w:b w:val="1"/>
                <w:bCs w:val="1"/>
                <w:color w:val="auto"/>
                <w:w w:val="94"/>
              </w:rPr>
              <w:t>March 31, 2013</w:t>
            </w:r>
          </w:p>
        </w:tc>
        <w:tc>
          <w:tcPr>
            <w:tcW w:w="3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4"/>
              </w:rPr>
              <w:t>June 30, 2012</w:t>
            </w:r>
          </w:p>
        </w:tc>
        <w:tc>
          <w:tcPr>
            <w:tcW w:w="10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19"/>
        </w:trPr>
        <w:tc>
          <w:tcPr>
            <w:tcW w:w="36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0" w:type="dxa"/>
            <w:vAlign w:val="bottom"/>
          </w:tcPr>
          <w:p>
            <w:pPr>
              <w:jc w:val="center"/>
              <w:ind w:left="249"/>
              <w:spacing w:after="0" w:line="119" w:lineRule="exact"/>
              <w:rPr>
                <w:sz w:val="20"/>
                <w:szCs w:val="20"/>
                <w:color w:val="auto"/>
              </w:rPr>
            </w:pPr>
            <w:r>
              <w:rPr>
                <w:rFonts w:ascii="Arial" w:cs="Arial" w:eastAsia="Arial" w:hAnsi="Arial"/>
                <w:sz w:val="13"/>
                <w:szCs w:val="13"/>
                <w:b w:val="1"/>
                <w:bCs w:val="1"/>
                <w:color w:val="auto"/>
                <w:w w:val="95"/>
              </w:rPr>
              <w:t>Gross</w:t>
            </w:r>
          </w:p>
        </w:tc>
        <w:tc>
          <w:tcPr>
            <w:tcW w:w="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60" w:type="dxa"/>
            <w:vAlign w:val="bottom"/>
          </w:tcPr>
          <w:p>
            <w:pPr>
              <w:jc w:val="center"/>
              <w:ind w:left="225"/>
              <w:spacing w:after="0" w:line="119" w:lineRule="exact"/>
              <w:rPr>
                <w:sz w:val="20"/>
                <w:szCs w:val="20"/>
                <w:color w:val="auto"/>
              </w:rPr>
            </w:pPr>
            <w:r>
              <w:rPr>
                <w:rFonts w:ascii="Arial" w:cs="Arial" w:eastAsia="Arial" w:hAnsi="Arial"/>
                <w:sz w:val="13"/>
                <w:szCs w:val="13"/>
                <w:b w:val="1"/>
                <w:bCs w:val="1"/>
                <w:color w:val="auto"/>
                <w:w w:val="95"/>
              </w:rPr>
              <w:t>Gross</w:t>
            </w:r>
          </w:p>
        </w:tc>
        <w:tc>
          <w:tcPr>
            <w:tcW w:w="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40" w:type="dxa"/>
            <w:vAlign w:val="bottom"/>
          </w:tcPr>
          <w:p>
            <w:pPr>
              <w:jc w:val="center"/>
              <w:ind w:left="249"/>
              <w:spacing w:after="0" w:line="119" w:lineRule="exact"/>
              <w:rPr>
                <w:sz w:val="20"/>
                <w:szCs w:val="20"/>
                <w:color w:val="auto"/>
              </w:rPr>
            </w:pPr>
            <w:r>
              <w:rPr>
                <w:rFonts w:ascii="Arial" w:cs="Arial" w:eastAsia="Arial" w:hAnsi="Arial"/>
                <w:sz w:val="13"/>
                <w:szCs w:val="13"/>
                <w:b w:val="1"/>
                <w:bCs w:val="1"/>
                <w:color w:val="auto"/>
                <w:w w:val="95"/>
              </w:rPr>
              <w:t>Gross</w:t>
            </w:r>
          </w:p>
        </w:tc>
        <w:tc>
          <w:tcPr>
            <w:tcW w:w="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60" w:type="dxa"/>
            <w:vAlign w:val="bottom"/>
          </w:tcPr>
          <w:p>
            <w:pPr>
              <w:jc w:val="center"/>
              <w:ind w:right="260"/>
              <w:spacing w:after="0" w:line="119" w:lineRule="exact"/>
              <w:rPr>
                <w:sz w:val="20"/>
                <w:szCs w:val="20"/>
                <w:color w:val="auto"/>
              </w:rPr>
            </w:pPr>
            <w:r>
              <w:rPr>
                <w:rFonts w:ascii="Arial" w:cs="Arial" w:eastAsia="Arial" w:hAnsi="Arial"/>
                <w:sz w:val="13"/>
                <w:szCs w:val="13"/>
                <w:b w:val="1"/>
                <w:bCs w:val="1"/>
                <w:color w:val="auto"/>
                <w:w w:val="95"/>
              </w:rPr>
              <w:t>Gross</w:t>
            </w:r>
          </w:p>
        </w:tc>
        <w:tc>
          <w:tcPr>
            <w:tcW w:w="120" w:type="dxa"/>
            <w:vAlign w:val="bottom"/>
          </w:tcPr>
          <w:p>
            <w:pPr>
              <w:spacing w:after="0"/>
              <w:rPr>
                <w:sz w:val="10"/>
                <w:szCs w:val="10"/>
                <w:color w:val="auto"/>
              </w:rPr>
            </w:pPr>
          </w:p>
        </w:tc>
      </w:tr>
      <w:tr>
        <w:trPr>
          <w:trHeight w:val="149"/>
        </w:trPr>
        <w:tc>
          <w:tcPr>
            <w:tcW w:w="36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0" w:type="dxa"/>
            <w:vAlign w:val="bottom"/>
          </w:tcPr>
          <w:p>
            <w:pPr>
              <w:jc w:val="center"/>
              <w:ind w:left="249"/>
              <w:spacing w:after="0" w:line="149" w:lineRule="exact"/>
              <w:rPr>
                <w:sz w:val="20"/>
                <w:szCs w:val="20"/>
                <w:color w:val="auto"/>
              </w:rPr>
            </w:pPr>
            <w:r>
              <w:rPr>
                <w:rFonts w:ascii="Arial" w:cs="Arial" w:eastAsia="Arial" w:hAnsi="Arial"/>
                <w:sz w:val="14"/>
                <w:szCs w:val="14"/>
                <w:b w:val="1"/>
                <w:bCs w:val="1"/>
                <w:color w:val="auto"/>
                <w:w w:val="95"/>
              </w:rPr>
              <w:t>Unrealized</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jc w:val="center"/>
              <w:ind w:left="225"/>
              <w:spacing w:after="0" w:line="149" w:lineRule="exact"/>
              <w:rPr>
                <w:sz w:val="20"/>
                <w:szCs w:val="20"/>
                <w:color w:val="auto"/>
              </w:rPr>
            </w:pPr>
            <w:r>
              <w:rPr>
                <w:rFonts w:ascii="Arial" w:cs="Arial" w:eastAsia="Arial" w:hAnsi="Arial"/>
                <w:sz w:val="14"/>
                <w:szCs w:val="14"/>
                <w:b w:val="1"/>
                <w:bCs w:val="1"/>
                <w:color w:val="auto"/>
                <w:w w:val="95"/>
              </w:rPr>
              <w:t>Unrealized</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center"/>
              <w:ind w:left="229"/>
              <w:spacing w:after="0" w:line="149" w:lineRule="exact"/>
              <w:rPr>
                <w:sz w:val="20"/>
                <w:szCs w:val="20"/>
                <w:color w:val="auto"/>
              </w:rPr>
            </w:pPr>
            <w:r>
              <w:rPr>
                <w:rFonts w:ascii="Arial" w:cs="Arial" w:eastAsia="Arial" w:hAnsi="Arial"/>
                <w:sz w:val="14"/>
                <w:szCs w:val="14"/>
                <w:b w:val="1"/>
                <w:bCs w:val="1"/>
                <w:color w:val="auto"/>
                <w:w w:val="93"/>
              </w:rPr>
              <w:t>Unrealized</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3"/>
              </w:rPr>
              <w:t>Unrealized</w:t>
            </w:r>
          </w:p>
        </w:tc>
      </w:tr>
      <w:tr>
        <w:trPr>
          <w:trHeight w:val="171"/>
        </w:trPr>
        <w:tc>
          <w:tcPr>
            <w:tcW w:w="36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0" w:type="dxa"/>
            <w:vAlign w:val="bottom"/>
          </w:tcPr>
          <w:p>
            <w:pPr>
              <w:jc w:val="center"/>
              <w:ind w:left="249"/>
              <w:spacing w:after="0"/>
              <w:rPr>
                <w:sz w:val="20"/>
                <w:szCs w:val="20"/>
                <w:color w:val="auto"/>
              </w:rPr>
            </w:pPr>
            <w:r>
              <w:rPr>
                <w:rFonts w:ascii="Arial" w:cs="Arial" w:eastAsia="Arial" w:hAnsi="Arial"/>
                <w:sz w:val="14"/>
                <w:szCs w:val="14"/>
                <w:b w:val="1"/>
                <w:bCs w:val="1"/>
                <w:color w:val="auto"/>
                <w:w w:val="92"/>
              </w:rPr>
              <w:t>Gains</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jc w:val="center"/>
              <w:ind w:left="225"/>
              <w:spacing w:after="0"/>
              <w:rPr>
                <w:sz w:val="20"/>
                <w:szCs w:val="20"/>
                <w:color w:val="auto"/>
              </w:rPr>
            </w:pPr>
            <w:r>
              <w:rPr>
                <w:rFonts w:ascii="Arial" w:cs="Arial" w:eastAsia="Arial" w:hAnsi="Arial"/>
                <w:sz w:val="14"/>
                <w:szCs w:val="14"/>
                <w:b w:val="1"/>
                <w:bCs w:val="1"/>
                <w:color w:val="auto"/>
                <w:w w:val="82"/>
              </w:rPr>
              <w:t>Losses</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center"/>
              <w:ind w:left="249"/>
              <w:spacing w:after="0"/>
              <w:rPr>
                <w:sz w:val="20"/>
                <w:szCs w:val="20"/>
                <w:color w:val="auto"/>
              </w:rPr>
            </w:pPr>
            <w:r>
              <w:rPr>
                <w:rFonts w:ascii="Arial" w:cs="Arial" w:eastAsia="Arial" w:hAnsi="Arial"/>
                <w:sz w:val="14"/>
                <w:szCs w:val="14"/>
                <w:b w:val="1"/>
                <w:bCs w:val="1"/>
                <w:color w:val="auto"/>
                <w:w w:val="92"/>
              </w:rPr>
              <w:t>Gains</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2"/>
              </w:rPr>
              <w:t>Losses</w:t>
            </w:r>
          </w:p>
        </w:tc>
      </w:tr>
      <w:tr>
        <w:trPr>
          <w:trHeight w:val="142"/>
        </w:trPr>
        <w:tc>
          <w:tcPr>
            <w:tcW w:w="36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700" w:type="dxa"/>
            <w:vAlign w:val="bottom"/>
            <w:tcBorders>
              <w:top w:val="single" w:sz="8" w:color="auto"/>
            </w:tcBorders>
            <w:gridSpan w:val="4"/>
          </w:tcPr>
          <w:p>
            <w:pPr>
              <w:jc w:val="right"/>
              <w:ind w:right="429"/>
              <w:spacing w:after="0" w:line="142" w:lineRule="exact"/>
              <w:rPr>
                <w:sz w:val="20"/>
                <w:szCs w:val="20"/>
                <w:color w:val="auto"/>
              </w:rPr>
            </w:pPr>
            <w:r>
              <w:rPr>
                <w:rFonts w:ascii="Arial" w:cs="Arial" w:eastAsia="Arial" w:hAnsi="Arial"/>
                <w:sz w:val="14"/>
                <w:szCs w:val="14"/>
                <w:b w:val="1"/>
                <w:bCs w:val="1"/>
                <w:color w:val="auto"/>
              </w:rPr>
              <w:t>(Dollars in thousands)</w:t>
            </w:r>
          </w:p>
        </w:tc>
        <w:tc>
          <w:tcPr>
            <w:tcW w:w="3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U.S. Government agency securities</w:t>
            </w:r>
          </w:p>
        </w:tc>
        <w:tc>
          <w:tcPr>
            <w:tcW w:w="2080" w:type="dxa"/>
            <w:vAlign w:val="bottom"/>
            <w:gridSpan w:val="2"/>
            <w:shd w:val="clear" w:color="auto" w:fill="CCEEFF"/>
          </w:tcPr>
          <w:p>
            <w:pPr>
              <w:jc w:val="right"/>
              <w:ind w:right="849"/>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340" w:type="dxa"/>
            <w:vAlign w:val="bottom"/>
            <w:gridSpan w:val="2"/>
            <w:shd w:val="clear" w:color="auto" w:fill="CCEEFF"/>
          </w:tcPr>
          <w:p>
            <w:pPr>
              <w:jc w:val="right"/>
              <w:ind w:right="885"/>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340" w:type="dxa"/>
            <w:vAlign w:val="bottom"/>
            <w:gridSpan w:val="2"/>
            <w:shd w:val="clear" w:color="auto" w:fill="CCEEFF"/>
          </w:tcPr>
          <w:p>
            <w:pPr>
              <w:jc w:val="right"/>
              <w:ind w:right="889"/>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8"/>
                <w:szCs w:val="18"/>
                <w:color w:val="auto"/>
              </w:rPr>
            </w:pPr>
          </w:p>
        </w:tc>
      </w:tr>
      <w:tr>
        <w:trPr>
          <w:trHeight w:val="216"/>
        </w:trPr>
        <w:tc>
          <w:tcPr>
            <w:tcW w:w="36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Agency mortgage-backed securities</w:t>
            </w:r>
          </w:p>
        </w:tc>
        <w:tc>
          <w:tcPr>
            <w:tcW w:w="108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28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588</w:t>
            </w:r>
          </w:p>
        </w:tc>
        <w:tc>
          <w:tcPr>
            <w:tcW w:w="3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640</w:t>
            </w:r>
          </w:p>
        </w:tc>
        <w:tc>
          <w:tcPr>
            <w:tcW w:w="2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20" w:type="dxa"/>
            <w:vAlign w:val="bottom"/>
            <w:tcBorders>
              <w:bottom w:val="single" w:sz="8" w:color="CCEEFF"/>
            </w:tcBorders>
          </w:tcPr>
          <w:p>
            <w:pPr>
              <w:spacing w:after="0"/>
              <w:rPr>
                <w:sz w:val="18"/>
                <w:szCs w:val="18"/>
                <w:color w:val="auto"/>
              </w:rPr>
            </w:pPr>
          </w:p>
        </w:tc>
      </w:tr>
      <w:tr>
        <w:trPr>
          <w:trHeight w:val="210"/>
        </w:trPr>
        <w:tc>
          <w:tcPr>
            <w:tcW w:w="36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849"/>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2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885"/>
              <w:spacing w:after="0"/>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588</w:t>
            </w:r>
          </w:p>
        </w:tc>
        <w:tc>
          <w:tcPr>
            <w:tcW w:w="3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889"/>
              <w:spacing w:after="0"/>
              <w:rPr>
                <w:sz w:val="20"/>
                <w:szCs w:val="20"/>
                <w:color w:val="auto"/>
              </w:rPr>
            </w:pPr>
            <w:r>
              <w:rPr>
                <w:rFonts w:ascii="Arial" w:cs="Arial" w:eastAsia="Arial" w:hAnsi="Arial"/>
                <w:sz w:val="15"/>
                <w:szCs w:val="15"/>
                <w:color w:val="auto"/>
                <w:w w:val="71"/>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645</w:t>
            </w:r>
          </w:p>
        </w:tc>
        <w:tc>
          <w:tcPr>
            <w:tcW w:w="2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
        </w:trPr>
        <w:tc>
          <w:tcPr>
            <w:tcW w:w="36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When securities are sold, the adjusted cost of the specific security sold is used to compute the gain or loss on sale. The following table summarizes realized gains and losses on available-for-sale securities.</w:t>
      </w:r>
    </w:p>
    <w:p>
      <w:pPr>
        <w:spacing w:after="0" w:line="162" w:lineRule="exact"/>
        <w:rPr>
          <w:sz w:val="20"/>
          <w:szCs w:val="20"/>
          <w:color w:val="auto"/>
        </w:rPr>
      </w:pPr>
    </w:p>
    <w:tbl>
      <w:tblPr>
        <w:tblLayout w:type="fixed"/>
        <w:tblInd w:w="240" w:type="dxa"/>
        <w:tblCellMar>
          <w:top w:w="0" w:type="dxa"/>
          <w:left w:w="0" w:type="dxa"/>
          <w:bottom w:w="0" w:type="dxa"/>
          <w:right w:w="0" w:type="dxa"/>
        </w:tblCellMar>
      </w:tblPr>
      <w:tr>
        <w:trPr>
          <w:trHeight w:val="171"/>
        </w:trPr>
        <w:tc>
          <w:tcPr>
            <w:tcW w:w="2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0" w:type="dxa"/>
            <w:vAlign w:val="bottom"/>
            <w:tcBorders>
              <w:bottom w:val="single" w:sz="8" w:color="auto"/>
            </w:tcBorders>
            <w:gridSpan w:val="4"/>
          </w:tcPr>
          <w:p>
            <w:pPr>
              <w:jc w:val="right"/>
              <w:ind w:right="47"/>
              <w:spacing w:after="0"/>
              <w:rPr>
                <w:sz w:val="20"/>
                <w:szCs w:val="20"/>
                <w:color w:val="auto"/>
              </w:rPr>
            </w:pPr>
            <w:r>
              <w:rPr>
                <w:rFonts w:ascii="Arial" w:cs="Arial" w:eastAsia="Arial" w:hAnsi="Arial"/>
                <w:sz w:val="14"/>
                <w:szCs w:val="14"/>
                <w:b w:val="1"/>
                <w:bCs w:val="1"/>
                <w:color w:val="auto"/>
              </w:rPr>
              <w:t>Three Months Ended March 31,</w:t>
            </w:r>
          </w:p>
        </w:tc>
        <w:tc>
          <w:tcPr>
            <w:tcW w:w="4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560" w:type="dxa"/>
            <w:vAlign w:val="bottom"/>
            <w:tcBorders>
              <w:bottom w:val="single" w:sz="8" w:color="auto"/>
            </w:tcBorders>
            <w:gridSpan w:val="5"/>
          </w:tcPr>
          <w:p>
            <w:pPr>
              <w:jc w:val="right"/>
              <w:ind w:right="5"/>
              <w:spacing w:after="0"/>
              <w:rPr>
                <w:sz w:val="20"/>
                <w:szCs w:val="20"/>
                <w:color w:val="auto"/>
              </w:rPr>
            </w:pPr>
            <w:r>
              <w:rPr>
                <w:rFonts w:ascii="Arial" w:cs="Arial" w:eastAsia="Arial" w:hAnsi="Arial"/>
                <w:sz w:val="14"/>
                <w:szCs w:val="14"/>
                <w:b w:val="1"/>
                <w:bCs w:val="1"/>
                <w:color w:val="auto"/>
              </w:rPr>
              <w:t>Nine Months Ended March 31,</w:t>
            </w:r>
          </w:p>
        </w:tc>
        <w:tc>
          <w:tcPr>
            <w:tcW w:w="4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2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40" w:type="dxa"/>
            <w:vAlign w:val="bottom"/>
            <w:tcBorders>
              <w:bottom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2013</w:t>
            </w:r>
          </w:p>
        </w:tc>
        <w:tc>
          <w:tcPr>
            <w:tcW w:w="32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2"/>
          </w:tcPr>
          <w:p>
            <w:pPr>
              <w:jc w:val="right"/>
              <w:ind w:right="67"/>
              <w:spacing w:after="0" w:line="142" w:lineRule="exact"/>
              <w:rPr>
                <w:sz w:val="20"/>
                <w:szCs w:val="20"/>
                <w:color w:val="auto"/>
              </w:rPr>
            </w:pPr>
            <w:r>
              <w:rPr>
                <w:rFonts w:ascii="Arial" w:cs="Arial" w:eastAsia="Arial" w:hAnsi="Arial"/>
                <w:sz w:val="14"/>
                <w:szCs w:val="14"/>
                <w:b w:val="1"/>
                <w:bCs w:val="1"/>
                <w:color w:val="auto"/>
              </w:rPr>
              <w:t>2012</w:t>
            </w:r>
          </w:p>
        </w:tc>
        <w:tc>
          <w:tcPr>
            <w:tcW w:w="4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2013</w:t>
            </w:r>
          </w:p>
        </w:tc>
        <w:tc>
          <w:tcPr>
            <w:tcW w:w="4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4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2"/>
        </w:trPr>
        <w:tc>
          <w:tcPr>
            <w:tcW w:w="2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0" w:type="dxa"/>
            <w:vAlign w:val="bottom"/>
            <w:gridSpan w:val="4"/>
          </w:tcPr>
          <w:p>
            <w:pPr>
              <w:jc w:val="right"/>
              <w:ind w:right="322"/>
              <w:spacing w:after="0" w:line="142" w:lineRule="exact"/>
              <w:rPr>
                <w:sz w:val="20"/>
                <w:szCs w:val="20"/>
                <w:color w:val="auto"/>
              </w:rPr>
            </w:pPr>
            <w:r>
              <w:rPr>
                <w:rFonts w:ascii="Arial" w:cs="Arial" w:eastAsia="Arial" w:hAnsi="Arial"/>
                <w:sz w:val="14"/>
                <w:szCs w:val="14"/>
                <w:b w:val="1"/>
                <w:bCs w:val="1"/>
                <w:color w:val="auto"/>
              </w:rPr>
              <w:t>(Dollars in thousands)</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Gross realized gains</w:t>
            </w:r>
          </w:p>
        </w:tc>
        <w:tc>
          <w:tcPr>
            <w:tcW w:w="1880" w:type="dxa"/>
            <w:vAlign w:val="bottom"/>
            <w:gridSpan w:val="2"/>
            <w:shd w:val="clear" w:color="auto" w:fill="CCEEFF"/>
          </w:tcPr>
          <w:p>
            <w:pPr>
              <w:jc w:val="right"/>
              <w:ind w:right="862"/>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40" w:type="dxa"/>
            <w:vAlign w:val="bottom"/>
            <w:gridSpan w:val="2"/>
            <w:shd w:val="clear" w:color="auto" w:fill="CCEEFF"/>
          </w:tcPr>
          <w:p>
            <w:pPr>
              <w:jc w:val="right"/>
              <w:ind w:right="807"/>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1240" w:type="dxa"/>
            <w:vAlign w:val="bottom"/>
            <w:gridSpan w:val="2"/>
            <w:shd w:val="clear" w:color="auto" w:fill="CCEEFF"/>
          </w:tcPr>
          <w:p>
            <w:pPr>
              <w:jc w:val="right"/>
              <w:ind w:right="782"/>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745"/>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w:t>
            </w:r>
          </w:p>
        </w:tc>
        <w:tc>
          <w:tcPr>
            <w:tcW w:w="120" w:type="dxa"/>
            <w:vAlign w:val="bottom"/>
            <w:shd w:val="clear" w:color="auto" w:fill="CCEEFF"/>
          </w:tcPr>
          <w:p>
            <w:pPr>
              <w:spacing w:after="0"/>
              <w:rPr>
                <w:sz w:val="18"/>
                <w:szCs w:val="18"/>
                <w:color w:val="auto"/>
              </w:rPr>
            </w:pPr>
          </w:p>
        </w:tc>
      </w:tr>
      <w:tr>
        <w:trPr>
          <w:trHeight w:val="216"/>
        </w:trPr>
        <w:tc>
          <w:tcPr>
            <w:tcW w:w="2340" w:type="dxa"/>
            <w:vAlign w:val="bottom"/>
          </w:tcPr>
          <w:p>
            <w:pPr>
              <w:spacing w:after="0"/>
              <w:rPr>
                <w:sz w:val="20"/>
                <w:szCs w:val="20"/>
                <w:color w:val="auto"/>
              </w:rPr>
            </w:pPr>
            <w:r>
              <w:rPr>
                <w:rFonts w:ascii="Arial" w:cs="Arial" w:eastAsia="Arial" w:hAnsi="Arial"/>
                <w:sz w:val="18"/>
                <w:szCs w:val="18"/>
                <w:color w:val="auto"/>
              </w:rPr>
              <w:t>Gross realized losses</w:t>
            </w:r>
          </w:p>
        </w:tc>
        <w:tc>
          <w:tcPr>
            <w:tcW w:w="8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(69)</w:t>
            </w:r>
          </w:p>
        </w:tc>
      </w:tr>
      <w:tr>
        <w:trPr>
          <w:trHeight w:val="210"/>
        </w:trPr>
        <w:tc>
          <w:tcPr>
            <w:tcW w:w="23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security gains</w:t>
            </w:r>
          </w:p>
        </w:tc>
        <w:tc>
          <w:tcPr>
            <w:tcW w:w="840" w:type="dxa"/>
            <w:vAlign w:val="bottom"/>
            <w:tcBorders>
              <w:top w:val="single" w:sz="8" w:color="CCEEFF"/>
              <w:bottom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ind w:right="862"/>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ind w:right="807"/>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ind w:right="782"/>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ind w:right="745"/>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2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At March 31, 2013, investment securities with a fair value of approximately $50.2 million were pledged as collateral to secure outstanding borrowings.</w:t>
      </w:r>
    </w:p>
    <w:p>
      <w:pPr>
        <w:spacing w:after="0" w:line="23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following summarizes the Company’s gross unrealized losses and fair values aggregated by investment category and length of time that individual securities have been in a continuous unrealized loss position.</w:t>
      </w:r>
    </w:p>
    <w:p>
      <w:pPr>
        <w:spacing w:after="0" w:line="162" w:lineRule="exact"/>
        <w:rPr>
          <w:sz w:val="20"/>
          <w:szCs w:val="20"/>
          <w:color w:val="auto"/>
        </w:rPr>
      </w:pPr>
    </w:p>
    <w:tbl>
      <w:tblPr>
        <w:tblLayout w:type="fixed"/>
        <w:tblInd w:w="240" w:type="dxa"/>
        <w:tblCellMar>
          <w:top w:w="0" w:type="dxa"/>
          <w:left w:w="0" w:type="dxa"/>
          <w:bottom w:w="0" w:type="dxa"/>
          <w:right w:w="0" w:type="dxa"/>
        </w:tblCellMar>
      </w:tblPr>
      <w:tr>
        <w:trPr>
          <w:trHeight w:val="171"/>
        </w:trPr>
        <w:tc>
          <w:tcPr>
            <w:tcW w:w="2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6"/>
              </w:rPr>
              <w:t>March 31, 2013</w:t>
            </w:r>
          </w:p>
        </w:tc>
        <w:tc>
          <w:tcPr>
            <w:tcW w:w="1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2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240" w:type="dxa"/>
            <w:vAlign w:val="bottom"/>
            <w:tcBorders>
              <w:bottom w:val="single" w:sz="8" w:color="auto"/>
            </w:tcBorders>
            <w:gridSpan w:val="4"/>
          </w:tcPr>
          <w:p>
            <w:pPr>
              <w:jc w:val="right"/>
              <w:ind w:right="518"/>
              <w:spacing w:after="0" w:line="142" w:lineRule="exact"/>
              <w:rPr>
                <w:sz w:val="20"/>
                <w:szCs w:val="20"/>
                <w:color w:val="auto"/>
              </w:rPr>
            </w:pPr>
            <w:r>
              <w:rPr>
                <w:rFonts w:ascii="Arial" w:cs="Arial" w:eastAsia="Arial" w:hAnsi="Arial"/>
                <w:sz w:val="14"/>
                <w:szCs w:val="14"/>
                <w:b w:val="1"/>
                <w:bCs w:val="1"/>
                <w:color w:val="auto"/>
              </w:rPr>
              <w:t>Less than 12 Months</w:t>
            </w:r>
          </w:p>
        </w:tc>
        <w:tc>
          <w:tcPr>
            <w:tcW w:w="2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100" w:type="dxa"/>
            <w:vAlign w:val="bottom"/>
            <w:tcBorders>
              <w:bottom w:val="single" w:sz="8" w:color="auto"/>
            </w:tcBorders>
            <w:gridSpan w:val="3"/>
          </w:tcPr>
          <w:p>
            <w:pPr>
              <w:ind w:left="340"/>
              <w:spacing w:after="0" w:line="142" w:lineRule="exact"/>
              <w:rPr>
                <w:sz w:val="20"/>
                <w:szCs w:val="20"/>
                <w:color w:val="auto"/>
              </w:rPr>
            </w:pPr>
            <w:r>
              <w:rPr>
                <w:rFonts w:ascii="Arial" w:cs="Arial" w:eastAsia="Arial" w:hAnsi="Arial"/>
                <w:sz w:val="14"/>
                <w:szCs w:val="14"/>
                <w:b w:val="1"/>
                <w:bCs w:val="1"/>
                <w:color w:val="auto"/>
              </w:rPr>
              <w:t>More than 12 Months</w:t>
            </w:r>
          </w:p>
        </w:tc>
        <w:tc>
          <w:tcPr>
            <w:tcW w:w="1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3"/>
          </w:tcPr>
          <w:p>
            <w:pPr>
              <w:jc w:val="right"/>
              <w:ind w:right="30"/>
              <w:spacing w:after="0" w:line="142" w:lineRule="exact"/>
              <w:rPr>
                <w:sz w:val="20"/>
                <w:szCs w:val="20"/>
                <w:color w:val="auto"/>
              </w:rPr>
            </w:pPr>
            <w:r>
              <w:rPr>
                <w:rFonts w:ascii="Arial" w:cs="Arial" w:eastAsia="Arial" w:hAnsi="Arial"/>
                <w:sz w:val="14"/>
                <w:szCs w:val="14"/>
                <w:b w:val="1"/>
                <w:bCs w:val="1"/>
                <w:color w:val="auto"/>
              </w:rPr>
              <w:t>Total</w:t>
            </w:r>
          </w:p>
        </w:tc>
        <w:tc>
          <w:tcPr>
            <w:tcW w:w="10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19"/>
        </w:trPr>
        <w:tc>
          <w:tcPr>
            <w:tcW w:w="2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jc w:val="center"/>
              <w:ind w:right="160"/>
              <w:spacing w:after="0" w:line="119" w:lineRule="exact"/>
              <w:rPr>
                <w:sz w:val="20"/>
                <w:szCs w:val="20"/>
                <w:color w:val="auto"/>
              </w:rPr>
            </w:pPr>
            <w:r>
              <w:rPr>
                <w:rFonts w:ascii="Arial" w:cs="Arial" w:eastAsia="Arial" w:hAnsi="Arial"/>
                <w:sz w:val="13"/>
                <w:szCs w:val="13"/>
                <w:b w:val="1"/>
                <w:bCs w:val="1"/>
                <w:color w:val="auto"/>
              </w:rPr>
              <w:t>Fair</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jc w:val="center"/>
              <w:ind w:right="78"/>
              <w:spacing w:after="0" w:line="119" w:lineRule="exact"/>
              <w:rPr>
                <w:sz w:val="20"/>
                <w:szCs w:val="20"/>
                <w:color w:val="auto"/>
              </w:rPr>
            </w:pPr>
            <w:r>
              <w:rPr>
                <w:rFonts w:ascii="Arial" w:cs="Arial" w:eastAsia="Arial" w:hAnsi="Arial"/>
                <w:sz w:val="13"/>
                <w:szCs w:val="13"/>
                <w:b w:val="1"/>
                <w:bCs w:val="1"/>
                <w:color w:val="auto"/>
              </w:rPr>
              <w:t>Unrealized</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jc w:val="center"/>
              <w:ind w:right="162"/>
              <w:spacing w:after="0" w:line="119" w:lineRule="exact"/>
              <w:rPr>
                <w:sz w:val="20"/>
                <w:szCs w:val="20"/>
                <w:color w:val="auto"/>
              </w:rPr>
            </w:pPr>
            <w:r>
              <w:rPr>
                <w:rFonts w:ascii="Arial" w:cs="Arial" w:eastAsia="Arial" w:hAnsi="Arial"/>
                <w:sz w:val="13"/>
                <w:szCs w:val="13"/>
                <w:b w:val="1"/>
                <w:bCs w:val="1"/>
                <w:color w:val="auto"/>
              </w:rPr>
              <w:t>Fair</w:t>
            </w:r>
          </w:p>
        </w:tc>
        <w:tc>
          <w:tcPr>
            <w:tcW w:w="220" w:type="dxa"/>
            <w:vAlign w:val="bottom"/>
          </w:tcPr>
          <w:p>
            <w:pPr>
              <w:spacing w:after="0"/>
              <w:rPr>
                <w:sz w:val="10"/>
                <w:szCs w:val="10"/>
                <w:color w:val="auto"/>
              </w:rPr>
            </w:pPr>
          </w:p>
        </w:tc>
        <w:tc>
          <w:tcPr>
            <w:tcW w:w="980" w:type="dxa"/>
            <w:vAlign w:val="bottom"/>
          </w:tcPr>
          <w:p>
            <w:pPr>
              <w:jc w:val="center"/>
              <w:ind w:left="89"/>
              <w:spacing w:after="0" w:line="119" w:lineRule="exact"/>
              <w:rPr>
                <w:sz w:val="20"/>
                <w:szCs w:val="20"/>
                <w:color w:val="auto"/>
              </w:rPr>
            </w:pPr>
            <w:r>
              <w:rPr>
                <w:rFonts w:ascii="Arial" w:cs="Arial" w:eastAsia="Arial" w:hAnsi="Arial"/>
                <w:sz w:val="13"/>
                <w:szCs w:val="13"/>
                <w:b w:val="1"/>
                <w:bCs w:val="1"/>
                <w:color w:val="auto"/>
              </w:rPr>
              <w:t>Unrealized</w:t>
            </w: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jc w:val="center"/>
              <w:ind w:right="160"/>
              <w:spacing w:after="0" w:line="119" w:lineRule="exact"/>
              <w:rPr>
                <w:sz w:val="20"/>
                <w:szCs w:val="20"/>
                <w:color w:val="auto"/>
              </w:rPr>
            </w:pPr>
            <w:r>
              <w:rPr>
                <w:rFonts w:ascii="Arial" w:cs="Arial" w:eastAsia="Arial" w:hAnsi="Arial"/>
                <w:sz w:val="13"/>
                <w:szCs w:val="13"/>
                <w:b w:val="1"/>
                <w:bCs w:val="1"/>
                <w:color w:val="auto"/>
              </w:rPr>
              <w:t>Fair</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jc w:val="center"/>
              <w:ind w:right="98"/>
              <w:spacing w:after="0" w:line="119" w:lineRule="exact"/>
              <w:rPr>
                <w:sz w:val="20"/>
                <w:szCs w:val="20"/>
                <w:color w:val="auto"/>
              </w:rPr>
            </w:pPr>
            <w:r>
              <w:rPr>
                <w:rFonts w:ascii="Arial" w:cs="Arial" w:eastAsia="Arial" w:hAnsi="Arial"/>
                <w:sz w:val="13"/>
                <w:szCs w:val="13"/>
                <w:b w:val="1"/>
                <w:bCs w:val="1"/>
                <w:color w:val="auto"/>
              </w:rPr>
              <w:t>Unrealized</w:t>
            </w:r>
          </w:p>
        </w:tc>
        <w:tc>
          <w:tcPr>
            <w:tcW w:w="120" w:type="dxa"/>
            <w:vAlign w:val="bottom"/>
          </w:tcPr>
          <w:p>
            <w:pPr>
              <w:spacing w:after="0"/>
              <w:rPr>
                <w:sz w:val="10"/>
                <w:szCs w:val="10"/>
                <w:color w:val="auto"/>
              </w:rPr>
            </w:pPr>
          </w:p>
        </w:tc>
      </w:tr>
      <w:tr>
        <w:trPr>
          <w:trHeight w:val="171"/>
        </w:trPr>
        <w:tc>
          <w:tcPr>
            <w:tcW w:w="2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center"/>
              <w:ind w:right="160"/>
              <w:spacing w:after="0"/>
              <w:rPr>
                <w:sz w:val="20"/>
                <w:szCs w:val="20"/>
                <w:color w:val="auto"/>
              </w:rPr>
            </w:pPr>
            <w:r>
              <w:rPr>
                <w:rFonts w:ascii="Arial" w:cs="Arial" w:eastAsia="Arial" w:hAnsi="Arial"/>
                <w:sz w:val="14"/>
                <w:szCs w:val="14"/>
                <w:b w:val="1"/>
                <w:bCs w:val="1"/>
                <w:color w:val="auto"/>
                <w:w w:val="90"/>
              </w:rPr>
              <w:t>Value</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center"/>
              <w:ind w:right="78"/>
              <w:spacing w:after="0"/>
              <w:rPr>
                <w:sz w:val="20"/>
                <w:szCs w:val="20"/>
                <w:color w:val="auto"/>
              </w:rPr>
            </w:pPr>
            <w:r>
              <w:rPr>
                <w:rFonts w:ascii="Arial" w:cs="Arial" w:eastAsia="Arial" w:hAnsi="Arial"/>
                <w:sz w:val="14"/>
                <w:szCs w:val="14"/>
                <w:b w:val="1"/>
                <w:bCs w:val="1"/>
                <w:color w:val="auto"/>
                <w:w w:val="82"/>
              </w:rPr>
              <w:t>Losses</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center"/>
              <w:ind w:right="162"/>
              <w:spacing w:after="0"/>
              <w:rPr>
                <w:sz w:val="20"/>
                <w:szCs w:val="20"/>
                <w:color w:val="auto"/>
              </w:rPr>
            </w:pPr>
            <w:r>
              <w:rPr>
                <w:rFonts w:ascii="Arial" w:cs="Arial" w:eastAsia="Arial" w:hAnsi="Arial"/>
                <w:sz w:val="14"/>
                <w:szCs w:val="14"/>
                <w:b w:val="1"/>
                <w:bCs w:val="1"/>
                <w:color w:val="auto"/>
                <w:w w:val="90"/>
              </w:rPr>
              <w:t>Value</w:t>
            </w:r>
          </w:p>
        </w:tc>
        <w:tc>
          <w:tcPr>
            <w:tcW w:w="220" w:type="dxa"/>
            <w:vAlign w:val="bottom"/>
          </w:tcPr>
          <w:p>
            <w:pPr>
              <w:spacing w:after="0"/>
              <w:rPr>
                <w:sz w:val="14"/>
                <w:szCs w:val="14"/>
                <w:color w:val="auto"/>
              </w:rPr>
            </w:pPr>
          </w:p>
        </w:tc>
        <w:tc>
          <w:tcPr>
            <w:tcW w:w="980" w:type="dxa"/>
            <w:vAlign w:val="bottom"/>
          </w:tcPr>
          <w:p>
            <w:pPr>
              <w:jc w:val="center"/>
              <w:ind w:left="69"/>
              <w:spacing w:after="0"/>
              <w:rPr>
                <w:sz w:val="20"/>
                <w:szCs w:val="20"/>
                <w:color w:val="auto"/>
              </w:rPr>
            </w:pPr>
            <w:r>
              <w:rPr>
                <w:rFonts w:ascii="Arial" w:cs="Arial" w:eastAsia="Arial" w:hAnsi="Arial"/>
                <w:sz w:val="14"/>
                <w:szCs w:val="14"/>
                <w:b w:val="1"/>
                <w:bCs w:val="1"/>
                <w:color w:val="auto"/>
                <w:w w:val="82"/>
              </w:rPr>
              <w:t>Losses</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center"/>
              <w:ind w:right="160"/>
              <w:spacing w:after="0"/>
              <w:rPr>
                <w:sz w:val="20"/>
                <w:szCs w:val="20"/>
                <w:color w:val="auto"/>
              </w:rPr>
            </w:pPr>
            <w:r>
              <w:rPr>
                <w:rFonts w:ascii="Arial" w:cs="Arial" w:eastAsia="Arial" w:hAnsi="Arial"/>
                <w:sz w:val="14"/>
                <w:szCs w:val="14"/>
                <w:b w:val="1"/>
                <w:bCs w:val="1"/>
                <w:color w:val="auto"/>
                <w:w w:val="90"/>
              </w:rPr>
              <w:t>Value</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2"/>
              </w:rPr>
              <w:t>Losses</w:t>
            </w:r>
          </w:p>
        </w:tc>
      </w:tr>
      <w:tr>
        <w:trPr>
          <w:trHeight w:val="142"/>
        </w:trPr>
        <w:tc>
          <w:tcPr>
            <w:tcW w:w="2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100" w:type="dxa"/>
            <w:vAlign w:val="bottom"/>
            <w:tcBorders>
              <w:top w:val="single" w:sz="8" w:color="auto"/>
            </w:tcBorders>
            <w:gridSpan w:val="3"/>
          </w:tcPr>
          <w:p>
            <w:pPr>
              <w:ind w:left="360"/>
              <w:spacing w:after="0" w:line="142" w:lineRule="exact"/>
              <w:rPr>
                <w:sz w:val="20"/>
                <w:szCs w:val="20"/>
                <w:color w:val="auto"/>
              </w:rPr>
            </w:pPr>
            <w:r>
              <w:rPr>
                <w:rFonts w:ascii="Arial" w:cs="Arial" w:eastAsia="Arial" w:hAnsi="Arial"/>
                <w:sz w:val="14"/>
                <w:szCs w:val="14"/>
                <w:b w:val="1"/>
                <w:bCs w:val="1"/>
                <w:color w:val="auto"/>
              </w:rPr>
              <w:t>(Dollars in thousands)</w:t>
            </w:r>
          </w:p>
        </w:tc>
        <w:tc>
          <w:tcPr>
            <w:tcW w:w="1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w w:val="98"/>
              </w:rPr>
              <w:t>U.S. Government agency securities</w:t>
            </w:r>
          </w:p>
        </w:tc>
        <w:tc>
          <w:tcPr>
            <w:tcW w:w="4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0" w:type="dxa"/>
            <w:vAlign w:val="bottom"/>
            <w:gridSpan w:val="2"/>
            <w:shd w:val="clear" w:color="auto" w:fill="CCEEFF"/>
          </w:tcPr>
          <w:p>
            <w:pPr>
              <w:jc w:val="right"/>
              <w:ind w:right="829"/>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w w:val="97"/>
              </w:rPr>
              <w:t>Agency mortgage-backed securities</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64,958</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64,958</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w:t>
            </w:r>
          </w:p>
        </w:tc>
        <w:tc>
          <w:tcPr>
            <w:tcW w:w="120" w:type="dxa"/>
            <w:vAlign w:val="bottom"/>
          </w:tcPr>
          <w:p>
            <w:pPr>
              <w:spacing w:after="0"/>
              <w:rPr>
                <w:sz w:val="18"/>
                <w:szCs w:val="18"/>
                <w:color w:val="auto"/>
              </w:rPr>
            </w:pPr>
          </w:p>
        </w:tc>
      </w:tr>
      <w:tr>
        <w:trPr>
          <w:trHeight w:val="210"/>
        </w:trPr>
        <w:tc>
          <w:tcPr>
            <w:tcW w:w="2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64,958</w:t>
            </w:r>
          </w:p>
        </w:tc>
        <w:tc>
          <w:tcPr>
            <w:tcW w:w="22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w:t>
            </w:r>
          </w:p>
        </w:tc>
        <w:tc>
          <w:tcPr>
            <w:tcW w:w="22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18"/>
                <w:szCs w:val="18"/>
                <w:color w:val="auto"/>
              </w:rPr>
            </w:pPr>
          </w:p>
        </w:tc>
        <w:tc>
          <w:tcPr>
            <w:tcW w:w="980" w:type="dxa"/>
            <w:vAlign w:val="bottom"/>
            <w:tcBorders>
              <w:bottom w:val="single" w:sz="8" w:color="auto"/>
            </w:tcBorders>
          </w:tcPr>
          <w:p>
            <w:pPr>
              <w:jc w:val="right"/>
              <w:ind w:right="829"/>
              <w:spacing w:after="0"/>
              <w:rPr>
                <w:sz w:val="20"/>
                <w:szCs w:val="20"/>
                <w:color w:val="auto"/>
              </w:rPr>
            </w:pPr>
            <w:r>
              <w:rPr>
                <w:rFonts w:ascii="Arial" w:cs="Arial" w:eastAsia="Arial" w:hAnsi="Arial"/>
                <w:sz w:val="15"/>
                <w:szCs w:val="15"/>
                <w:color w:val="auto"/>
                <w:w w:val="71"/>
              </w:rPr>
              <w: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18"/>
                <w:szCs w:val="18"/>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64,958</w:t>
            </w:r>
          </w:p>
        </w:tc>
        <w:tc>
          <w:tcPr>
            <w:tcW w:w="2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w:t>
            </w:r>
          </w:p>
        </w:tc>
        <w:tc>
          <w:tcPr>
            <w:tcW w:w="120" w:type="dxa"/>
            <w:vAlign w:val="bottom"/>
          </w:tcPr>
          <w:p>
            <w:pPr>
              <w:spacing w:after="0"/>
              <w:rPr>
                <w:sz w:val="18"/>
                <w:szCs w:val="18"/>
                <w:color w:val="auto"/>
              </w:rPr>
            </w:pPr>
          </w:p>
        </w:tc>
      </w:tr>
      <w:tr>
        <w:trPr>
          <w:trHeight w:val="20"/>
        </w:trPr>
        <w:tc>
          <w:tcPr>
            <w:tcW w:w="2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45"/>
        </w:trPr>
        <w:tc>
          <w:tcPr>
            <w:tcW w:w="2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June 30, 2012</w:t>
            </w: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2"/>
        </w:trPr>
        <w:tc>
          <w:tcPr>
            <w:tcW w:w="2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240" w:type="dxa"/>
            <w:vAlign w:val="bottom"/>
            <w:tcBorders>
              <w:bottom w:val="single" w:sz="8" w:color="auto"/>
            </w:tcBorders>
            <w:gridSpan w:val="4"/>
          </w:tcPr>
          <w:p>
            <w:pPr>
              <w:jc w:val="right"/>
              <w:ind w:right="518"/>
              <w:spacing w:after="0" w:line="142" w:lineRule="exact"/>
              <w:rPr>
                <w:sz w:val="20"/>
                <w:szCs w:val="20"/>
                <w:color w:val="auto"/>
              </w:rPr>
            </w:pPr>
            <w:r>
              <w:rPr>
                <w:rFonts w:ascii="Arial" w:cs="Arial" w:eastAsia="Arial" w:hAnsi="Arial"/>
                <w:sz w:val="14"/>
                <w:szCs w:val="14"/>
                <w:b w:val="1"/>
                <w:bCs w:val="1"/>
                <w:color w:val="auto"/>
              </w:rPr>
              <w:t>Less than 12 Months</w:t>
            </w:r>
          </w:p>
        </w:tc>
        <w:tc>
          <w:tcPr>
            <w:tcW w:w="2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100" w:type="dxa"/>
            <w:vAlign w:val="bottom"/>
            <w:tcBorders>
              <w:bottom w:val="single" w:sz="8" w:color="auto"/>
            </w:tcBorders>
            <w:gridSpan w:val="3"/>
          </w:tcPr>
          <w:p>
            <w:pPr>
              <w:ind w:left="340"/>
              <w:spacing w:after="0" w:line="142" w:lineRule="exact"/>
              <w:rPr>
                <w:sz w:val="20"/>
                <w:szCs w:val="20"/>
                <w:color w:val="auto"/>
              </w:rPr>
            </w:pPr>
            <w:r>
              <w:rPr>
                <w:rFonts w:ascii="Arial" w:cs="Arial" w:eastAsia="Arial" w:hAnsi="Arial"/>
                <w:sz w:val="14"/>
                <w:szCs w:val="14"/>
                <w:b w:val="1"/>
                <w:bCs w:val="1"/>
                <w:color w:val="auto"/>
              </w:rPr>
              <w:t>More than 12 Months</w:t>
            </w:r>
          </w:p>
        </w:tc>
        <w:tc>
          <w:tcPr>
            <w:tcW w:w="1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3"/>
          </w:tcPr>
          <w:p>
            <w:pPr>
              <w:jc w:val="right"/>
              <w:ind w:right="30"/>
              <w:spacing w:after="0" w:line="142" w:lineRule="exact"/>
              <w:rPr>
                <w:sz w:val="20"/>
                <w:szCs w:val="20"/>
                <w:color w:val="auto"/>
              </w:rPr>
            </w:pPr>
            <w:r>
              <w:rPr>
                <w:rFonts w:ascii="Arial" w:cs="Arial" w:eastAsia="Arial" w:hAnsi="Arial"/>
                <w:sz w:val="14"/>
                <w:szCs w:val="14"/>
                <w:b w:val="1"/>
                <w:bCs w:val="1"/>
                <w:color w:val="auto"/>
              </w:rPr>
              <w:t>Total</w:t>
            </w:r>
          </w:p>
        </w:tc>
        <w:tc>
          <w:tcPr>
            <w:tcW w:w="10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19"/>
        </w:trPr>
        <w:tc>
          <w:tcPr>
            <w:tcW w:w="2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jc w:val="center"/>
              <w:ind w:right="160"/>
              <w:spacing w:after="0" w:line="119" w:lineRule="exact"/>
              <w:rPr>
                <w:sz w:val="20"/>
                <w:szCs w:val="20"/>
                <w:color w:val="auto"/>
              </w:rPr>
            </w:pPr>
            <w:r>
              <w:rPr>
                <w:rFonts w:ascii="Arial" w:cs="Arial" w:eastAsia="Arial" w:hAnsi="Arial"/>
                <w:sz w:val="13"/>
                <w:szCs w:val="13"/>
                <w:b w:val="1"/>
                <w:bCs w:val="1"/>
                <w:color w:val="auto"/>
              </w:rPr>
              <w:t>Fair</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jc w:val="center"/>
              <w:ind w:right="78"/>
              <w:spacing w:after="0" w:line="119" w:lineRule="exact"/>
              <w:rPr>
                <w:sz w:val="20"/>
                <w:szCs w:val="20"/>
                <w:color w:val="auto"/>
              </w:rPr>
            </w:pPr>
            <w:r>
              <w:rPr>
                <w:rFonts w:ascii="Arial" w:cs="Arial" w:eastAsia="Arial" w:hAnsi="Arial"/>
                <w:sz w:val="13"/>
                <w:szCs w:val="13"/>
                <w:b w:val="1"/>
                <w:bCs w:val="1"/>
                <w:color w:val="auto"/>
              </w:rPr>
              <w:t>Unrealized</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jc w:val="center"/>
              <w:ind w:right="162"/>
              <w:spacing w:after="0" w:line="119" w:lineRule="exact"/>
              <w:rPr>
                <w:sz w:val="20"/>
                <w:szCs w:val="20"/>
                <w:color w:val="auto"/>
              </w:rPr>
            </w:pPr>
            <w:r>
              <w:rPr>
                <w:rFonts w:ascii="Arial" w:cs="Arial" w:eastAsia="Arial" w:hAnsi="Arial"/>
                <w:sz w:val="13"/>
                <w:szCs w:val="13"/>
                <w:b w:val="1"/>
                <w:bCs w:val="1"/>
                <w:color w:val="auto"/>
              </w:rPr>
              <w:t>Fair</w:t>
            </w:r>
          </w:p>
        </w:tc>
        <w:tc>
          <w:tcPr>
            <w:tcW w:w="220" w:type="dxa"/>
            <w:vAlign w:val="bottom"/>
          </w:tcPr>
          <w:p>
            <w:pPr>
              <w:spacing w:after="0"/>
              <w:rPr>
                <w:sz w:val="10"/>
                <w:szCs w:val="10"/>
                <w:color w:val="auto"/>
              </w:rPr>
            </w:pPr>
          </w:p>
        </w:tc>
        <w:tc>
          <w:tcPr>
            <w:tcW w:w="980" w:type="dxa"/>
            <w:vAlign w:val="bottom"/>
          </w:tcPr>
          <w:p>
            <w:pPr>
              <w:jc w:val="center"/>
              <w:ind w:left="89"/>
              <w:spacing w:after="0" w:line="119" w:lineRule="exact"/>
              <w:rPr>
                <w:sz w:val="20"/>
                <w:szCs w:val="20"/>
                <w:color w:val="auto"/>
              </w:rPr>
            </w:pPr>
            <w:r>
              <w:rPr>
                <w:rFonts w:ascii="Arial" w:cs="Arial" w:eastAsia="Arial" w:hAnsi="Arial"/>
                <w:sz w:val="13"/>
                <w:szCs w:val="13"/>
                <w:b w:val="1"/>
                <w:bCs w:val="1"/>
                <w:color w:val="auto"/>
              </w:rPr>
              <w:t>Unrealized</w:t>
            </w: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jc w:val="center"/>
              <w:ind w:right="160"/>
              <w:spacing w:after="0" w:line="119" w:lineRule="exact"/>
              <w:rPr>
                <w:sz w:val="20"/>
                <w:szCs w:val="20"/>
                <w:color w:val="auto"/>
              </w:rPr>
            </w:pPr>
            <w:r>
              <w:rPr>
                <w:rFonts w:ascii="Arial" w:cs="Arial" w:eastAsia="Arial" w:hAnsi="Arial"/>
                <w:sz w:val="13"/>
                <w:szCs w:val="13"/>
                <w:b w:val="1"/>
                <w:bCs w:val="1"/>
                <w:color w:val="auto"/>
              </w:rPr>
              <w:t>Fair</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jc w:val="center"/>
              <w:ind w:right="98"/>
              <w:spacing w:after="0" w:line="119" w:lineRule="exact"/>
              <w:rPr>
                <w:sz w:val="20"/>
                <w:szCs w:val="20"/>
                <w:color w:val="auto"/>
              </w:rPr>
            </w:pPr>
            <w:r>
              <w:rPr>
                <w:rFonts w:ascii="Arial" w:cs="Arial" w:eastAsia="Arial" w:hAnsi="Arial"/>
                <w:sz w:val="13"/>
                <w:szCs w:val="13"/>
                <w:b w:val="1"/>
                <w:bCs w:val="1"/>
                <w:color w:val="auto"/>
              </w:rPr>
              <w:t>Unrealized</w:t>
            </w:r>
          </w:p>
        </w:tc>
        <w:tc>
          <w:tcPr>
            <w:tcW w:w="120" w:type="dxa"/>
            <w:vAlign w:val="bottom"/>
          </w:tcPr>
          <w:p>
            <w:pPr>
              <w:spacing w:after="0"/>
              <w:rPr>
                <w:sz w:val="10"/>
                <w:szCs w:val="10"/>
                <w:color w:val="auto"/>
              </w:rPr>
            </w:pPr>
          </w:p>
        </w:tc>
      </w:tr>
      <w:tr>
        <w:trPr>
          <w:trHeight w:val="171"/>
        </w:trPr>
        <w:tc>
          <w:tcPr>
            <w:tcW w:w="2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center"/>
              <w:ind w:right="160"/>
              <w:spacing w:after="0"/>
              <w:rPr>
                <w:sz w:val="20"/>
                <w:szCs w:val="20"/>
                <w:color w:val="auto"/>
              </w:rPr>
            </w:pPr>
            <w:r>
              <w:rPr>
                <w:rFonts w:ascii="Arial" w:cs="Arial" w:eastAsia="Arial" w:hAnsi="Arial"/>
                <w:sz w:val="14"/>
                <w:szCs w:val="14"/>
                <w:b w:val="1"/>
                <w:bCs w:val="1"/>
                <w:color w:val="auto"/>
                <w:w w:val="90"/>
              </w:rPr>
              <w:t>Value</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center"/>
              <w:ind w:right="78"/>
              <w:spacing w:after="0"/>
              <w:rPr>
                <w:sz w:val="20"/>
                <w:szCs w:val="20"/>
                <w:color w:val="auto"/>
              </w:rPr>
            </w:pPr>
            <w:r>
              <w:rPr>
                <w:rFonts w:ascii="Arial" w:cs="Arial" w:eastAsia="Arial" w:hAnsi="Arial"/>
                <w:sz w:val="14"/>
                <w:szCs w:val="14"/>
                <w:b w:val="1"/>
                <w:bCs w:val="1"/>
                <w:color w:val="auto"/>
                <w:w w:val="82"/>
              </w:rPr>
              <w:t>Losses</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center"/>
              <w:ind w:right="162"/>
              <w:spacing w:after="0"/>
              <w:rPr>
                <w:sz w:val="20"/>
                <w:szCs w:val="20"/>
                <w:color w:val="auto"/>
              </w:rPr>
            </w:pPr>
            <w:r>
              <w:rPr>
                <w:rFonts w:ascii="Arial" w:cs="Arial" w:eastAsia="Arial" w:hAnsi="Arial"/>
                <w:sz w:val="14"/>
                <w:szCs w:val="14"/>
                <w:b w:val="1"/>
                <w:bCs w:val="1"/>
                <w:color w:val="auto"/>
                <w:w w:val="90"/>
              </w:rPr>
              <w:t>Value</w:t>
            </w:r>
          </w:p>
        </w:tc>
        <w:tc>
          <w:tcPr>
            <w:tcW w:w="220" w:type="dxa"/>
            <w:vAlign w:val="bottom"/>
          </w:tcPr>
          <w:p>
            <w:pPr>
              <w:spacing w:after="0"/>
              <w:rPr>
                <w:sz w:val="14"/>
                <w:szCs w:val="14"/>
                <w:color w:val="auto"/>
              </w:rPr>
            </w:pPr>
          </w:p>
        </w:tc>
        <w:tc>
          <w:tcPr>
            <w:tcW w:w="980" w:type="dxa"/>
            <w:vAlign w:val="bottom"/>
          </w:tcPr>
          <w:p>
            <w:pPr>
              <w:jc w:val="center"/>
              <w:ind w:left="69"/>
              <w:spacing w:after="0"/>
              <w:rPr>
                <w:sz w:val="20"/>
                <w:szCs w:val="20"/>
                <w:color w:val="auto"/>
              </w:rPr>
            </w:pPr>
            <w:r>
              <w:rPr>
                <w:rFonts w:ascii="Arial" w:cs="Arial" w:eastAsia="Arial" w:hAnsi="Arial"/>
                <w:sz w:val="14"/>
                <w:szCs w:val="14"/>
                <w:b w:val="1"/>
                <w:bCs w:val="1"/>
                <w:color w:val="auto"/>
                <w:w w:val="82"/>
              </w:rPr>
              <w:t>Losses</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center"/>
              <w:ind w:right="160"/>
              <w:spacing w:after="0"/>
              <w:rPr>
                <w:sz w:val="20"/>
                <w:szCs w:val="20"/>
                <w:color w:val="auto"/>
              </w:rPr>
            </w:pPr>
            <w:r>
              <w:rPr>
                <w:rFonts w:ascii="Arial" w:cs="Arial" w:eastAsia="Arial" w:hAnsi="Arial"/>
                <w:sz w:val="14"/>
                <w:szCs w:val="14"/>
                <w:b w:val="1"/>
                <w:bCs w:val="1"/>
                <w:color w:val="auto"/>
                <w:w w:val="90"/>
              </w:rPr>
              <w:t>Value</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2"/>
              </w:rPr>
              <w:t>Losses</w:t>
            </w:r>
          </w:p>
        </w:tc>
      </w:tr>
      <w:tr>
        <w:trPr>
          <w:trHeight w:val="142"/>
        </w:trPr>
        <w:tc>
          <w:tcPr>
            <w:tcW w:w="2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100" w:type="dxa"/>
            <w:vAlign w:val="bottom"/>
            <w:tcBorders>
              <w:top w:val="single" w:sz="8" w:color="auto"/>
            </w:tcBorders>
            <w:gridSpan w:val="3"/>
          </w:tcPr>
          <w:p>
            <w:pPr>
              <w:ind w:left="360"/>
              <w:spacing w:after="0" w:line="142" w:lineRule="exact"/>
              <w:rPr>
                <w:sz w:val="20"/>
                <w:szCs w:val="20"/>
                <w:color w:val="auto"/>
              </w:rPr>
            </w:pPr>
            <w:r>
              <w:rPr>
                <w:rFonts w:ascii="Arial" w:cs="Arial" w:eastAsia="Arial" w:hAnsi="Arial"/>
                <w:sz w:val="14"/>
                <w:szCs w:val="14"/>
                <w:b w:val="1"/>
                <w:bCs w:val="1"/>
                <w:color w:val="auto"/>
              </w:rPr>
              <w:t>(Dollars in thousands)</w:t>
            </w:r>
          </w:p>
        </w:tc>
        <w:tc>
          <w:tcPr>
            <w:tcW w:w="1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w w:val="98"/>
              </w:rPr>
              <w:t>U.S. Government agency securities</w:t>
            </w:r>
          </w:p>
        </w:tc>
        <w:tc>
          <w:tcPr>
            <w:tcW w:w="4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36,585</w:t>
            </w:r>
          </w:p>
        </w:tc>
        <w:tc>
          <w:tcPr>
            <w:tcW w:w="3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4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0" w:type="dxa"/>
            <w:vAlign w:val="bottom"/>
            <w:gridSpan w:val="2"/>
            <w:shd w:val="clear" w:color="auto" w:fill="CCEEFF"/>
          </w:tcPr>
          <w:p>
            <w:pPr>
              <w:jc w:val="right"/>
              <w:ind w:right="829"/>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36,585</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8"/>
                <w:szCs w:val="18"/>
                <w:color w:val="auto"/>
              </w:rPr>
            </w:pPr>
          </w:p>
        </w:tc>
      </w:tr>
      <w:tr>
        <w:trPr>
          <w:trHeight w:val="216"/>
        </w:trPr>
        <w:tc>
          <w:tcPr>
            <w:tcW w:w="2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7"/>
              </w:rPr>
              <w:t>Agency mortgage-backed securities</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22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20" w:type="dxa"/>
            <w:vAlign w:val="bottom"/>
            <w:tcBorders>
              <w:bottom w:val="single" w:sz="8" w:color="CCEEFF"/>
            </w:tcBorders>
          </w:tcPr>
          <w:p>
            <w:pPr>
              <w:spacing w:after="0"/>
              <w:rPr>
                <w:sz w:val="18"/>
                <w:szCs w:val="18"/>
                <w:color w:val="auto"/>
              </w:rPr>
            </w:pPr>
          </w:p>
        </w:tc>
      </w:tr>
      <w:tr>
        <w:trPr>
          <w:trHeight w:val="210"/>
        </w:trPr>
        <w:tc>
          <w:tcPr>
            <w:tcW w:w="28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36,585</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829"/>
              <w:spacing w:after="0"/>
              <w:rPr>
                <w:sz w:val="20"/>
                <w:szCs w:val="20"/>
                <w:color w:val="auto"/>
              </w:rPr>
            </w:pPr>
            <w:r>
              <w:rPr>
                <w:rFonts w:ascii="Arial" w:cs="Arial" w:eastAsia="Arial" w:hAnsi="Arial"/>
                <w:sz w:val="15"/>
                <w:szCs w:val="15"/>
                <w:color w:val="auto"/>
                <w:w w:val="71"/>
              </w:rPr>
              <w: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36,585</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
        </w:trPr>
        <w:tc>
          <w:tcPr>
            <w:tcW w:w="2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There were no other-than-temporary impairment losses on securities during the three and nine months ended March 31, 2013 or 2012.</w:t>
      </w:r>
    </w:p>
    <w:p>
      <w:pPr>
        <w:sectPr>
          <w:pgSz w:w="11900" w:h="16838" w:orient="portrait"/>
          <w:cols w:equalWidth="0" w:num="1">
            <w:col w:w="11400"/>
          </w:cols>
          <w:pgMar w:left="240" w:top="125" w:right="259" w:bottom="0" w:gutter="0" w:footer="0" w:header="0"/>
        </w:sectPr>
      </w:pPr>
    </w:p>
    <w:bookmarkStart w:id="7" w:name="page8"/>
    <w:bookmarkEnd w:id="7"/>
    <w:p>
      <w:pPr>
        <w:ind w:right="480"/>
        <w:spacing w:after="0" w:line="277" w:lineRule="auto"/>
        <w:rPr>
          <w:sz w:val="20"/>
          <w:szCs w:val="20"/>
          <w:color w:val="auto"/>
        </w:rPr>
      </w:pPr>
      <w:r>
        <w:rPr>
          <w:rFonts w:ascii="Arial" w:cs="Arial" w:eastAsia="Arial" w:hAnsi="Arial"/>
          <w:sz w:val="18"/>
          <w:szCs w:val="18"/>
          <w:color w:val="auto"/>
        </w:rPr>
        <w:t>At March 31, 2013, the Company did not have any securities in a continuous loss position for greater than twelve months. At March 31, 2013, all of the Company’s available-for-sale securities were issued or guaranteed by either government agencies or government-</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sponsored enterprises. The decline in fair value of the Company’s available-for-sale securities at March 31, 2013 is attributable to changes in interest rates.</w:t>
      </w:r>
    </w:p>
    <w:p>
      <w:pPr>
        <w:spacing w:after="0" w:line="248"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Management of the Company, in addition to considering current trends and economic conditions that may affect the quality of individual securities within the Company’s investment portfolio, also considers the Company’s ability and intent to hold such securities to maturity or recovery of cost. Management does not believe any of the Company’s available-for-sale securities are other-than-temporarily impaired at March 31, 2013.</w:t>
      </w:r>
    </w:p>
    <w:p>
      <w:pPr>
        <w:spacing w:after="0" w:line="166"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The amortized cost and fair values of available-for-sale debt securities by contractual maturity are shown below as of March 31, 2013. Actual maturities may differ from contractual maturities because borrowers may have the right to call or prepay obligations with or without call or prepayment penalties.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6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Amortized</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Fair</w:t>
            </w:r>
          </w:p>
        </w:tc>
        <w:tc>
          <w:tcPr>
            <w:tcW w:w="2660" w:type="dxa"/>
            <w:vAlign w:val="bottom"/>
          </w:tcPr>
          <w:p>
            <w:pPr>
              <w:spacing w:after="0"/>
              <w:rPr>
                <w:sz w:val="14"/>
                <w:szCs w:val="14"/>
                <w:color w:val="auto"/>
              </w:rPr>
            </w:pPr>
          </w:p>
        </w:tc>
      </w:tr>
      <w:tr>
        <w:trPr>
          <w:trHeight w:val="171"/>
        </w:trPr>
        <w:tc>
          <w:tcPr>
            <w:tcW w:w="196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Value</w:t>
            </w:r>
          </w:p>
        </w:tc>
        <w:tc>
          <w:tcPr>
            <w:tcW w:w="2660" w:type="dxa"/>
            <w:vAlign w:val="bottom"/>
          </w:tcPr>
          <w:p>
            <w:pPr>
              <w:spacing w:after="0"/>
              <w:rPr>
                <w:sz w:val="14"/>
                <w:szCs w:val="14"/>
                <w:color w:val="auto"/>
              </w:rPr>
            </w:pPr>
          </w:p>
        </w:tc>
      </w:tr>
      <w:tr>
        <w:trPr>
          <w:trHeight w:val="142"/>
        </w:trPr>
        <w:tc>
          <w:tcPr>
            <w:tcW w:w="196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780" w:type="dxa"/>
            <w:vAlign w:val="bottom"/>
            <w:tcBorders>
              <w:top w:val="single" w:sz="8" w:color="auto"/>
            </w:tcBorders>
            <w:gridSpan w:val="5"/>
          </w:tcPr>
          <w:p>
            <w:pPr>
              <w:jc w:val="right"/>
              <w:ind w:right="755"/>
              <w:spacing w:after="0" w:line="142" w:lineRule="exact"/>
              <w:rPr>
                <w:sz w:val="20"/>
                <w:szCs w:val="20"/>
                <w:color w:val="auto"/>
              </w:rPr>
            </w:pPr>
            <w:r>
              <w:rPr>
                <w:rFonts w:ascii="Arial" w:cs="Arial" w:eastAsia="Arial" w:hAnsi="Arial"/>
                <w:sz w:val="14"/>
                <w:szCs w:val="14"/>
                <w:b w:val="1"/>
                <w:bCs w:val="1"/>
                <w:color w:val="auto"/>
              </w:rPr>
              <w:t>(Dollars in thousands)</w:t>
            </w:r>
          </w:p>
        </w:tc>
        <w:tc>
          <w:tcPr>
            <w:tcW w:w="100" w:type="dxa"/>
            <w:vAlign w:val="bottom"/>
          </w:tcPr>
          <w:p>
            <w:pPr>
              <w:spacing w:after="0"/>
              <w:rPr>
                <w:sz w:val="12"/>
                <w:szCs w:val="12"/>
                <w:color w:val="auto"/>
              </w:rPr>
            </w:pPr>
          </w:p>
        </w:tc>
        <w:tc>
          <w:tcPr>
            <w:tcW w:w="2660" w:type="dxa"/>
            <w:vAlign w:val="bottom"/>
          </w:tcPr>
          <w:p>
            <w:pPr>
              <w:spacing w:after="0"/>
              <w:rPr>
                <w:sz w:val="12"/>
                <w:szCs w:val="12"/>
                <w:color w:val="auto"/>
              </w:rPr>
            </w:pPr>
          </w:p>
        </w:tc>
      </w:tr>
      <w:tr>
        <w:trPr>
          <w:trHeight w:val="216"/>
        </w:trPr>
        <w:tc>
          <w:tcPr>
            <w:tcW w:w="196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Due within one year</w:t>
            </w:r>
          </w:p>
        </w:tc>
        <w:tc>
          <w:tcPr>
            <w:tcW w:w="780" w:type="dxa"/>
            <w:vAlign w:val="bottom"/>
            <w:gridSpan w:val="2"/>
            <w:shd w:val="clear" w:color="auto" w:fill="CCEEFF"/>
          </w:tcPr>
          <w:p>
            <w:pPr>
              <w:jc w:val="center"/>
              <w:ind w:left="31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42,354</w:t>
            </w:r>
          </w:p>
        </w:tc>
        <w:tc>
          <w:tcPr>
            <w:tcW w:w="4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42,410</w:t>
            </w:r>
          </w:p>
        </w:tc>
        <w:tc>
          <w:tcPr>
            <w:tcW w:w="266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Due after one year through five years</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3,068</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3,072</w:t>
            </w:r>
          </w:p>
        </w:tc>
        <w:tc>
          <w:tcPr>
            <w:tcW w:w="266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Due after five years through ten years</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44,641</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44,579</w:t>
            </w:r>
          </w:p>
        </w:tc>
        <w:tc>
          <w:tcPr>
            <w:tcW w:w="266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Due after ten years</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38,972</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38,488</w:t>
            </w:r>
          </w:p>
        </w:tc>
        <w:tc>
          <w:tcPr>
            <w:tcW w:w="2660" w:type="dxa"/>
            <w:vAlign w:val="bottom"/>
          </w:tcPr>
          <w:p>
            <w:pPr>
              <w:spacing w:after="0"/>
              <w:rPr>
                <w:sz w:val="18"/>
                <w:szCs w:val="18"/>
                <w:color w:val="auto"/>
              </w:rPr>
            </w:pPr>
          </w:p>
        </w:tc>
      </w:tr>
      <w:tr>
        <w:trPr>
          <w:trHeight w:val="210"/>
        </w:trPr>
        <w:tc>
          <w:tcPr>
            <w:tcW w:w="1960" w:type="dxa"/>
            <w:vAlign w:val="bottom"/>
          </w:tcPr>
          <w:p>
            <w:pPr>
              <w:spacing w:after="0"/>
              <w:rPr>
                <w:sz w:val="18"/>
                <w:szCs w:val="18"/>
                <w:color w:val="auto"/>
              </w:rPr>
            </w:pPr>
          </w:p>
        </w:tc>
        <w:tc>
          <w:tcPr>
            <w:tcW w:w="318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center"/>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129,035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128,549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60" w:type="dxa"/>
            <w:vAlign w:val="bottom"/>
          </w:tcPr>
          <w:p>
            <w:pPr>
              <w:spacing w:after="0"/>
              <w:rPr>
                <w:sz w:val="18"/>
                <w:szCs w:val="18"/>
                <w:color w:val="auto"/>
              </w:rPr>
            </w:pPr>
          </w:p>
        </w:tc>
      </w:tr>
      <w:tr>
        <w:trPr>
          <w:trHeight w:val="20"/>
        </w:trPr>
        <w:tc>
          <w:tcPr>
            <w:tcW w:w="19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r>
        <w:trPr>
          <w:trHeight w:val="413"/>
        </w:trPr>
        <w:tc>
          <w:tcPr>
            <w:tcW w:w="196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780" w:type="dxa"/>
            <w:vAlign w:val="bottom"/>
            <w:gridSpan w:val="2"/>
          </w:tcPr>
          <w:p>
            <w:pPr>
              <w:jc w:val="center"/>
              <w:ind w:left="270"/>
              <w:spacing w:after="0"/>
              <w:rPr>
                <w:sz w:val="20"/>
                <w:szCs w:val="20"/>
                <w:color w:val="auto"/>
              </w:rPr>
            </w:pPr>
            <w:r>
              <w:rPr>
                <w:rFonts w:ascii="Arial" w:cs="Arial" w:eastAsia="Arial" w:hAnsi="Arial"/>
                <w:sz w:val="18"/>
                <w:szCs w:val="18"/>
                <w:color w:val="auto"/>
                <w:w w:val="89"/>
              </w:rPr>
              <w:t>11</w:t>
            </w: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60" w:type="dxa"/>
            <w:vAlign w:val="bottom"/>
          </w:tcPr>
          <w:p>
            <w:pPr>
              <w:spacing w:after="0"/>
              <w:rPr>
                <w:sz w:val="24"/>
                <w:szCs w:val="24"/>
                <w:color w:val="auto"/>
              </w:rPr>
            </w:pPr>
          </w:p>
        </w:tc>
      </w:tr>
      <w:tr>
        <w:trPr>
          <w:trHeight w:val="132"/>
        </w:trPr>
        <w:tc>
          <w:tcPr>
            <w:tcW w:w="1960" w:type="dxa"/>
            <w:vAlign w:val="bottom"/>
            <w:tcBorders>
              <w:bottom w:val="single" w:sz="8" w:color="010101"/>
            </w:tcBorders>
          </w:tcPr>
          <w:p>
            <w:pPr>
              <w:spacing w:after="0"/>
              <w:rPr>
                <w:sz w:val="11"/>
                <w:szCs w:val="11"/>
                <w:color w:val="auto"/>
              </w:rPr>
            </w:pPr>
          </w:p>
        </w:tc>
        <w:tc>
          <w:tcPr>
            <w:tcW w:w="3180" w:type="dxa"/>
            <w:vAlign w:val="bottom"/>
            <w:tcBorders>
              <w:bottom w:val="single" w:sz="8" w:color="010101"/>
            </w:tcBorders>
          </w:tcPr>
          <w:p>
            <w:pPr>
              <w:spacing w:after="0"/>
              <w:rPr>
                <w:sz w:val="11"/>
                <w:szCs w:val="11"/>
                <w:color w:val="auto"/>
              </w:rPr>
            </w:pPr>
          </w:p>
        </w:tc>
        <w:tc>
          <w:tcPr>
            <w:tcW w:w="54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12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0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266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240" w:hanging="232"/>
        <w:spacing w:after="0"/>
        <w:tabs>
          <w:tab w:leader="none" w:pos="2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Loans, Allowance for Loan Losses and Credit Quality</w:t>
      </w:r>
    </w:p>
    <w:p>
      <w:pPr>
        <w:spacing w:after="0" w:line="22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Loans are carried at the principal amounts outstanding, or amortized acquired fair value in the case of acquired loans, adjusted by partial charge-offs and net of deferred loan costs or fees. Loan fees and certain direct origination costs are deferred and amortized into interest income over the expected term of the loan using the level-yield method. When a loan is paid off, the unamortized portion is recognized in interest income. Interest income is accrued based upon the daily principal amount outstanding except for loans on nonaccrual status.</w:t>
      </w:r>
    </w:p>
    <w:p>
      <w:pPr>
        <w:spacing w:after="0" w:line="187"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 xml:space="preserve">All loans purchased by the Company in the secondary market by the Bank’s Loan Acquisition and Servicing Group (“LASG”) are accounted for under ASC 310-30, </w:t>
      </w:r>
      <w:r>
        <w:rPr>
          <w:rFonts w:ascii="Arial" w:cs="Arial" w:eastAsia="Arial" w:hAnsi="Arial"/>
          <w:sz w:val="17"/>
          <w:szCs w:val="17"/>
          <w:i w:val="1"/>
          <w:iCs w:val="1"/>
          <w:color w:val="auto"/>
        </w:rPr>
        <w:t>Receivables — Loans and Debt Securities Acquired with Deteriorated Credit Quality</w:t>
      </w:r>
      <w:r>
        <w:rPr>
          <w:rFonts w:ascii="Arial" w:cs="Arial" w:eastAsia="Arial" w:hAnsi="Arial"/>
          <w:sz w:val="17"/>
          <w:szCs w:val="17"/>
          <w:color w:val="auto"/>
        </w:rPr>
        <w:t xml:space="preserve"> (“ASC 310-30”). At acquisition, the effective interest rate is determined based on the discount rate that equates the present value of the Company’s estimate of cash flows with the purchase price of the loan. Prepayments are not assumed in determining a purchased loan’s effective interest rate and income accretion. The application of ASC 310-30 limits the yield that may be accreted on the purchased loan, or the “accretable yield,” to the excess of the Company’s estimate, at acquisition, of the expected undiscounted principal, interest, and other cash flows over the Company’s initial investment in the loan. The excess of contractually required payments receivable over the cash flows expected to be collected on the loan represents the purchased loan’s “nonaccretable difference.” Subsequent improvements in expected cash flows of loans with nonaccretable differences result in a prospective increase to the loan’s effective yield through a reclassification of some, or all, of the nonaccretable difference to accretable yield. The effect of subsequent declines in expected cash flows of purchased loans are recorded through a specific allocation in the allowance for loan losses.</w:t>
      </w:r>
    </w:p>
    <w:p>
      <w:pPr>
        <w:spacing w:after="0" w:line="17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Loans are generally placed on nonaccrual status when they are past due 90 days as to either principal or interest, or when in management’s judgment the collectability of interest or principal of the loan has been significantly impaired. Loans accounted for under ASC 310-30 are placed on nonaccrual when it is not possible to reach a reasonable expectation of the timing and amount of cash flows to be collected on the loan. When a loan has been placed on nonaccrual status, previously accrued and uncollected interest is reversed against interest on loans. Interest on nonaccrual loans is accounted for on a cash-basis or using the cost-recovery method when collectability is doubtful. A loan is returned to accrual status when collectability of principal is reasonably assured and the loan has performed for a reasonable period of time.</w:t>
      </w:r>
    </w:p>
    <w:p>
      <w:pPr>
        <w:spacing w:after="0" w:line="193"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In cases where a borrower experiences financial difficulties and the Company makes certain concessionary modifications to contractual terms, the loan is classified as a troubled debt restructuring (“TDR”). Concessionary modifications may include adjustments to interest rates, extensions of maturity, and other actions intended to minimize economic loss and avoid foreclosure or repossession of collateral. For loans accounted for under ASC 310-30, the Company evaluates whether it has granted a concession by comparing the restructured debt terms to the expected cash flows at acquisition plus any additional cash flows expected to be collected arising from changes in estimate after acquisition. As a result, if an ASC 310-30 loan is modified to be consistent with, or better than, the Company’s expectations at acquisition, the loan would not qualify as a TDR. Nonaccrual loans that are restructured generally remain on nonaccrual for a minimum period of six months to demonstrate that the borrower can meet the restructured terms. If the restructured loan is on accrual status prior to being modified, it is reviewed to determine if the modified loan should remain on accrual status. If the borrower’s ability to meet the revised payment schedule is not reasonably assured, the loan is classified as a nonaccrual loan. Loans classified as TDRs remain classified as such until the loan is paid off.</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composition of the Company’s loan portfolio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w w:val="94"/>
              </w:rPr>
              <w:t>March 31, 2013</w:t>
            </w:r>
          </w:p>
        </w:tc>
        <w:tc>
          <w:tcPr>
            <w:tcW w:w="3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w w:val="90"/>
              </w:rPr>
              <w:t>June 30, 2012</w:t>
            </w:r>
          </w:p>
        </w:tc>
        <w:tc>
          <w:tcPr>
            <w:tcW w:w="3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3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Originated</w:t>
            </w:r>
          </w:p>
        </w:tc>
        <w:tc>
          <w:tcPr>
            <w:tcW w:w="20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Purchased</w:t>
            </w:r>
          </w:p>
        </w:tc>
        <w:tc>
          <w:tcPr>
            <w:tcW w:w="3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35"/>
              <w:spacing w:after="0" w:line="142" w:lineRule="exact"/>
              <w:rPr>
                <w:sz w:val="20"/>
                <w:szCs w:val="20"/>
                <w:color w:val="auto"/>
              </w:rPr>
            </w:pPr>
            <w:r>
              <w:rPr>
                <w:rFonts w:ascii="Arial" w:cs="Arial" w:eastAsia="Arial" w:hAnsi="Arial"/>
                <w:sz w:val="14"/>
                <w:szCs w:val="14"/>
                <w:b w:val="1"/>
                <w:bCs w:val="1"/>
                <w:color w:val="auto"/>
              </w:rPr>
              <w:t>Total</w:t>
            </w:r>
          </w:p>
        </w:tc>
        <w:tc>
          <w:tcPr>
            <w:tcW w:w="2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Originated</w:t>
            </w:r>
          </w:p>
        </w:tc>
        <w:tc>
          <w:tcPr>
            <w:tcW w:w="2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Purchased</w:t>
            </w:r>
          </w:p>
        </w:tc>
        <w:tc>
          <w:tcPr>
            <w:tcW w:w="3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r>
      <w:tr>
        <w:trPr>
          <w:trHeight w:val="142"/>
        </w:trPr>
        <w:tc>
          <w:tcPr>
            <w:tcW w:w="3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380" w:type="dxa"/>
            <w:vAlign w:val="bottom"/>
            <w:gridSpan w:val="4"/>
          </w:tcPr>
          <w:p>
            <w:pPr>
              <w:jc w:val="right"/>
              <w:ind w:right="633"/>
              <w:spacing w:after="0" w:line="142" w:lineRule="exact"/>
              <w:rPr>
                <w:sz w:val="20"/>
                <w:szCs w:val="20"/>
                <w:color w:val="auto"/>
              </w:rPr>
            </w:pPr>
            <w:r>
              <w:rPr>
                <w:rFonts w:ascii="Arial" w:cs="Arial" w:eastAsia="Arial" w:hAnsi="Arial"/>
                <w:sz w:val="14"/>
                <w:szCs w:val="14"/>
                <w:b w:val="1"/>
                <w:bCs w:val="1"/>
                <w:color w:val="auto"/>
              </w:rPr>
              <w:t>(Dollars in thousands)</w:t>
            </w: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Residential real estate</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82,208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4,238</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86,446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90,944</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3,931</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94,875</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Home equity</w:t>
            </w:r>
          </w:p>
        </w:tc>
        <w:tc>
          <w:tcPr>
            <w:tcW w:w="160" w:type="dxa"/>
            <w:vAlign w:val="bottom"/>
          </w:tcPr>
          <w:p>
            <w:pPr>
              <w:spacing w:after="0"/>
              <w:rPr>
                <w:sz w:val="18"/>
                <w:szCs w:val="18"/>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37,848</w:t>
            </w:r>
          </w:p>
        </w:tc>
        <w:tc>
          <w:tcPr>
            <w:tcW w:w="200" w:type="dxa"/>
            <w:vAlign w:val="bottom"/>
          </w:tcPr>
          <w:p>
            <w:pPr>
              <w:spacing w:after="0"/>
              <w:rPr>
                <w:sz w:val="18"/>
                <w:szCs w:val="18"/>
                <w:color w:val="auto"/>
              </w:rPr>
            </w:pP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0</w:t>
            </w:r>
          </w:p>
        </w:tc>
        <w:tc>
          <w:tcPr>
            <w:tcW w:w="3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37,848</w:t>
            </w:r>
          </w:p>
        </w:tc>
        <w:tc>
          <w:tcPr>
            <w:tcW w:w="160" w:type="dxa"/>
            <w:vAlign w:val="bottom"/>
          </w:tcPr>
          <w:p>
            <w:pPr>
              <w:spacing w:after="0"/>
              <w:rPr>
                <w:sz w:val="18"/>
                <w:szCs w:val="18"/>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42,696</w:t>
            </w:r>
          </w:p>
        </w:tc>
        <w:tc>
          <w:tcPr>
            <w:tcW w:w="240" w:type="dxa"/>
            <w:vAlign w:val="bottom"/>
          </w:tcPr>
          <w:p>
            <w:pPr>
              <w:spacing w:after="0"/>
              <w:rPr>
                <w:sz w:val="18"/>
                <w:szCs w:val="18"/>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0</w:t>
            </w:r>
          </w:p>
        </w:tc>
        <w:tc>
          <w:tcPr>
            <w:tcW w:w="3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42,696</w:t>
            </w: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97,176</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126,264</w:t>
            </w:r>
          </w:p>
        </w:tc>
        <w:tc>
          <w:tcPr>
            <w:tcW w:w="3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223,440</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100,196</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80,539</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180,735</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Construction</w:t>
            </w:r>
          </w:p>
        </w:tc>
        <w:tc>
          <w:tcPr>
            <w:tcW w:w="160" w:type="dxa"/>
            <w:vAlign w:val="bottom"/>
          </w:tcPr>
          <w:p>
            <w:pPr>
              <w:spacing w:after="0"/>
              <w:rPr>
                <w:sz w:val="18"/>
                <w:szCs w:val="18"/>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42</w:t>
            </w:r>
          </w:p>
        </w:tc>
        <w:tc>
          <w:tcPr>
            <w:tcW w:w="200" w:type="dxa"/>
            <w:vAlign w:val="bottom"/>
          </w:tcPr>
          <w:p>
            <w:pPr>
              <w:spacing w:after="0"/>
              <w:rPr>
                <w:sz w:val="18"/>
                <w:szCs w:val="18"/>
                <w:color w:val="auto"/>
              </w:rPr>
            </w:pP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0</w:t>
            </w:r>
          </w:p>
        </w:tc>
        <w:tc>
          <w:tcPr>
            <w:tcW w:w="3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18"/>
                <w:szCs w:val="18"/>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1,187</w:t>
            </w:r>
          </w:p>
        </w:tc>
        <w:tc>
          <w:tcPr>
            <w:tcW w:w="240" w:type="dxa"/>
            <w:vAlign w:val="bottom"/>
          </w:tcPr>
          <w:p>
            <w:pPr>
              <w:spacing w:after="0"/>
              <w:rPr>
                <w:sz w:val="18"/>
                <w:szCs w:val="18"/>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0</w:t>
            </w:r>
          </w:p>
        </w:tc>
        <w:tc>
          <w:tcPr>
            <w:tcW w:w="3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1,187</w:t>
            </w: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Commercial business</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18,460</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0</w:t>
            </w:r>
          </w:p>
        </w:tc>
        <w:tc>
          <w:tcPr>
            <w:tcW w:w="3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18,460</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19,612</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0</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19,612</w:t>
            </w:r>
          </w:p>
        </w:tc>
      </w:tr>
    </w:tbl>
    <w:p>
      <w:pPr>
        <w:sectPr>
          <w:pgSz w:w="11900" w:h="16838" w:orient="portrait"/>
          <w:cols w:equalWidth="0" w:num="1">
            <w:col w:w="11460"/>
          </w:cols>
          <w:pgMar w:left="240" w:top="341" w:right="199" w:bottom="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40" w:type="dxa"/>
            <w:vAlign w:val="bottom"/>
          </w:tcPr>
          <w:p>
            <w:pPr>
              <w:spacing w:after="0"/>
              <w:rPr>
                <w:sz w:val="20"/>
                <w:szCs w:val="20"/>
                <w:color w:val="auto"/>
              </w:rPr>
            </w:pPr>
            <w:r>
              <w:rPr>
                <w:rFonts w:ascii="Arial" w:cs="Arial" w:eastAsia="Arial" w:hAnsi="Arial"/>
                <w:sz w:val="18"/>
                <w:szCs w:val="18"/>
                <w:color w:val="auto"/>
              </w:rPr>
              <w:t>Consumer</w:t>
            </w:r>
          </w:p>
        </w:tc>
        <w:tc>
          <w:tcPr>
            <w:tcW w:w="32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14,075</w:t>
            </w:r>
          </w:p>
        </w:tc>
        <w:tc>
          <w:tcPr>
            <w:tcW w:w="34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34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14,075</w:t>
            </w:r>
          </w:p>
        </w:tc>
        <w:tc>
          <w:tcPr>
            <w:tcW w:w="32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17,149</w:t>
            </w:r>
          </w:p>
        </w:tc>
        <w:tc>
          <w:tcPr>
            <w:tcW w:w="36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17,149</w:t>
            </w:r>
          </w:p>
        </w:tc>
        <w:tc>
          <w:tcPr>
            <w:tcW w:w="40" w:type="dxa"/>
            <w:vAlign w:val="bottom"/>
          </w:tcPr>
          <w:p>
            <w:pPr>
              <w:spacing w:after="0"/>
              <w:rPr>
                <w:sz w:val="20"/>
                <w:szCs w:val="20"/>
                <w:color w:val="auto"/>
              </w:rPr>
            </w:pPr>
          </w:p>
        </w:tc>
      </w:tr>
      <w:tr>
        <w:trPr>
          <w:trHeight w:val="210"/>
        </w:trPr>
        <w:tc>
          <w:tcPr>
            <w:tcW w:w="33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loans</w:t>
            </w: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249,809</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130,502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380,311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271,784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84,470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356,254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3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3"/>
        </w:trPr>
        <w:tc>
          <w:tcPr>
            <w:tcW w:w="3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34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82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82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82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84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7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8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Purchased credit impaired (“PCI”) loans include those loans acquired with specific evidence of deterioration of credit quality since origination and for which it is probable, at acquisition, that the Company will be unable to collect all contractually required payments receivable. The Company does not characterize purchased loans with no or insignificant credit impairment as PCI loans. The following table presents a summary of PCI loans purchased by the LASG during the nine months ended March 31, 2013 and 2012.</w:t>
      </w:r>
    </w:p>
    <w:p>
      <w:pPr>
        <w:spacing w:after="0" w:line="179"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47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jc w:val="center"/>
              <w:ind w:right="366"/>
              <w:spacing w:after="0"/>
              <w:rPr>
                <w:sz w:val="20"/>
                <w:szCs w:val="20"/>
                <w:color w:val="auto"/>
              </w:rPr>
            </w:pPr>
            <w:r>
              <w:rPr>
                <w:rFonts w:ascii="Arial" w:cs="Arial" w:eastAsia="Arial" w:hAnsi="Arial"/>
                <w:sz w:val="14"/>
                <w:szCs w:val="14"/>
                <w:b w:val="1"/>
                <w:bCs w:val="1"/>
                <w:color w:val="auto"/>
                <w:w w:val="94"/>
              </w:rPr>
              <w:t>PCI Loans Acquired</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7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900" w:type="dxa"/>
            <w:vAlign w:val="bottom"/>
            <w:tcBorders>
              <w:bottom w:val="single" w:sz="8" w:color="auto"/>
            </w:tcBorders>
            <w:gridSpan w:val="4"/>
          </w:tcPr>
          <w:p>
            <w:pPr>
              <w:jc w:val="center"/>
              <w:ind w:left="502"/>
              <w:spacing w:after="0" w:line="142" w:lineRule="exact"/>
              <w:rPr>
                <w:sz w:val="20"/>
                <w:szCs w:val="20"/>
                <w:color w:val="auto"/>
              </w:rPr>
            </w:pPr>
            <w:r>
              <w:rPr>
                <w:rFonts w:ascii="Arial" w:cs="Arial" w:eastAsia="Arial" w:hAnsi="Arial"/>
                <w:sz w:val="14"/>
                <w:szCs w:val="14"/>
                <w:b w:val="1"/>
                <w:bCs w:val="1"/>
                <w:color w:val="auto"/>
                <w:w w:val="94"/>
              </w:rPr>
              <w:t>Nine Months Ended March 31,</w:t>
            </w:r>
          </w:p>
        </w:tc>
        <w:tc>
          <w:tcPr>
            <w:tcW w:w="5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47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6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6"/>
              <w:spacing w:after="0" w:line="142" w:lineRule="exact"/>
              <w:rPr>
                <w:sz w:val="20"/>
                <w:szCs w:val="20"/>
                <w:color w:val="auto"/>
              </w:rPr>
            </w:pPr>
            <w:r>
              <w:rPr>
                <w:rFonts w:ascii="Arial" w:cs="Arial" w:eastAsia="Arial" w:hAnsi="Arial"/>
                <w:sz w:val="14"/>
                <w:szCs w:val="14"/>
                <w:b w:val="1"/>
                <w:bCs w:val="1"/>
                <w:color w:val="auto"/>
              </w:rPr>
              <w:t>2012</w:t>
            </w:r>
          </w:p>
        </w:tc>
        <w:tc>
          <w:tcPr>
            <w:tcW w:w="5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47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900" w:type="dxa"/>
            <w:vAlign w:val="bottom"/>
            <w:gridSpan w:val="3"/>
          </w:tcPr>
          <w:p>
            <w:pPr>
              <w:jc w:val="center"/>
              <w:ind w:right="346"/>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Contractually required payments receivable</w:t>
            </w:r>
          </w:p>
        </w:tc>
        <w:tc>
          <w:tcPr>
            <w:tcW w:w="2580" w:type="dxa"/>
            <w:vAlign w:val="bottom"/>
            <w:gridSpan w:val="2"/>
            <w:shd w:val="clear" w:color="auto" w:fill="CCEEFF"/>
          </w:tcPr>
          <w:p>
            <w:pPr>
              <w:jc w:val="right"/>
              <w:ind w:right="822"/>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48,954</w:t>
            </w:r>
          </w:p>
        </w:tc>
        <w:tc>
          <w:tcPr>
            <w:tcW w:w="1000" w:type="dxa"/>
            <w:vAlign w:val="bottom"/>
            <w:shd w:val="clear" w:color="auto" w:fill="CCEEFF"/>
          </w:tcPr>
          <w:p>
            <w:pPr>
              <w:jc w:val="right"/>
              <w:ind w:right="846"/>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13,943</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Nonaccretable difference</w:t>
            </w:r>
          </w:p>
        </w:tc>
        <w:tc>
          <w:tcPr>
            <w:tcW w:w="1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(11,186)</w:t>
            </w:r>
          </w:p>
        </w:tc>
        <w:tc>
          <w:tcPr>
            <w:tcW w:w="10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(4,011)</w:t>
            </w:r>
          </w:p>
        </w:tc>
      </w:tr>
      <w:tr>
        <w:trPr>
          <w:trHeight w:val="210"/>
        </w:trPr>
        <w:tc>
          <w:tcPr>
            <w:tcW w:w="4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flows expected to be collected</w:t>
            </w:r>
          </w:p>
        </w:tc>
        <w:tc>
          <w:tcPr>
            <w:tcW w:w="15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37,768</w:t>
            </w:r>
          </w:p>
        </w:tc>
        <w:tc>
          <w:tcPr>
            <w:tcW w:w="2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Accretable yield</w:t>
            </w:r>
          </w:p>
        </w:tc>
        <w:tc>
          <w:tcPr>
            <w:tcW w:w="1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(15,595)</w:t>
            </w:r>
          </w:p>
        </w:tc>
        <w:tc>
          <w:tcPr>
            <w:tcW w:w="10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(3,427)</w:t>
            </w:r>
          </w:p>
        </w:tc>
      </w:tr>
      <w:tr>
        <w:trPr>
          <w:trHeight w:val="210"/>
        </w:trPr>
        <w:tc>
          <w:tcPr>
            <w:tcW w:w="47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Fair value of loans acquired</w:t>
            </w:r>
          </w:p>
        </w:tc>
        <w:tc>
          <w:tcPr>
            <w:tcW w:w="158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ind w:right="822"/>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22,173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ind w:right="846"/>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7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60"/>
          </w:cols>
          <w:pgMar w:left="240" w:top="125" w:right="1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Beginning balance</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Accretion</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Acquisitions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Reclassifications from nonaccretable difference</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Disposals and transfers</w:t>
      </w:r>
    </w:p>
    <w:p>
      <w:pPr>
        <w:spacing w:after="0" w:line="9" w:lineRule="exact"/>
        <w:rPr>
          <w:sz w:val="20"/>
          <w:szCs w:val="20"/>
          <w:color w:val="auto"/>
        </w:rPr>
      </w:pPr>
    </w:p>
    <w:p>
      <w:pPr>
        <w:jc w:val="right"/>
        <w:ind w:right="4540"/>
        <w:spacing w:after="0"/>
        <w:rPr>
          <w:sz w:val="20"/>
          <w:szCs w:val="20"/>
          <w:color w:val="auto"/>
        </w:rPr>
      </w:pPr>
      <w:r>
        <w:rPr>
          <w:rFonts w:ascii="Arial" w:cs="Arial" w:eastAsia="Arial" w:hAnsi="Arial"/>
          <w:sz w:val="15"/>
          <w:szCs w:val="15"/>
          <w:color w:val="auto"/>
        </w:rPr>
        <w:t>Other changes</w:t>
      </w:r>
    </w:p>
    <w:p>
      <w:pPr>
        <w:spacing w:after="0" w:line="56" w:lineRule="exact"/>
        <w:rPr>
          <w:sz w:val="20"/>
          <w:szCs w:val="20"/>
          <w:color w:val="auto"/>
        </w:rPr>
      </w:pPr>
    </w:p>
    <w:p>
      <w:pPr>
        <w:jc w:val="right"/>
        <w:ind w:right="4520"/>
        <w:spacing w:after="0"/>
        <w:rPr>
          <w:sz w:val="20"/>
          <w:szCs w:val="20"/>
          <w:color w:val="auto"/>
        </w:rPr>
      </w:pPr>
      <w:r>
        <w:rPr>
          <w:rFonts w:ascii="Arial" w:cs="Arial" w:eastAsia="Arial" w:hAnsi="Arial"/>
          <w:sz w:val="18"/>
          <w:szCs w:val="18"/>
          <w:color w:val="auto"/>
        </w:rPr>
        <w:t>End balance</w:t>
      </w:r>
    </w:p>
    <w:p>
      <w:pPr>
        <w:spacing w:after="0" w:line="20" w:lineRule="exact"/>
        <w:rPr>
          <w:sz w:val="20"/>
          <w:szCs w:val="20"/>
          <w:color w:val="auto"/>
        </w:rPr>
      </w:pPr>
      <w:r>
        <w:rPr>
          <w:sz w:val="20"/>
          <w:szCs w:val="20"/>
          <w:color w:val="auto"/>
        </w:rPr>
        <w:br w:type="column"/>
      </w:r>
    </w:p>
    <w:p>
      <w:pPr>
        <w:jc w:val="center"/>
        <w:ind w:right="1020"/>
        <w:spacing w:after="0"/>
        <w:rPr>
          <w:sz w:val="20"/>
          <w:szCs w:val="20"/>
          <w:color w:val="auto"/>
        </w:rPr>
      </w:pPr>
      <w:r>
        <w:rPr>
          <w:rFonts w:ascii="Arial" w:cs="Arial" w:eastAsia="Arial" w:hAnsi="Arial"/>
          <w:sz w:val="14"/>
          <w:szCs w:val="14"/>
          <w:b w:val="1"/>
          <w:bCs w:val="1"/>
          <w:color w:val="auto"/>
        </w:rPr>
        <w:t>PCI Loans: Activity in Accretable Yield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6350</wp:posOffset>
            </wp:positionV>
            <wp:extent cx="220408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204085" cy="8890"/>
                    </a:xfrm>
                    <a:prstGeom prst="rect">
                      <a:avLst/>
                    </a:prstGeom>
                    <a:noFill/>
                  </pic:spPr>
                </pic:pic>
              </a:graphicData>
            </a:graphic>
          </wp:anchor>
        </w:drawing>
      </w:r>
    </w:p>
    <w:p>
      <w:pPr>
        <w:jc w:val="center"/>
        <w:ind w:right="1020"/>
        <w:spacing w:after="0"/>
        <w:rPr>
          <w:sz w:val="20"/>
          <w:szCs w:val="20"/>
          <w:color w:val="auto"/>
        </w:rPr>
      </w:pPr>
      <w:r>
        <w:rPr>
          <w:rFonts w:ascii="Arial" w:cs="Arial" w:eastAsia="Arial" w:hAnsi="Arial"/>
          <w:sz w:val="14"/>
          <w:szCs w:val="14"/>
          <w:b w:val="1"/>
          <w:bCs w:val="1"/>
          <w:color w:val="auto"/>
        </w:rPr>
        <w:t>Nine Months Ended March 31,</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574"/>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572"/>
              <w:spacing w:after="0" w:line="142" w:lineRule="exact"/>
              <w:rPr>
                <w:sz w:val="20"/>
                <w:szCs w:val="20"/>
                <w:color w:val="auto"/>
              </w:rPr>
            </w:pPr>
            <w:r>
              <w:rPr>
                <w:rFonts w:ascii="Arial" w:cs="Arial" w:eastAsia="Arial" w:hAnsi="Arial"/>
                <w:sz w:val="14"/>
                <w:szCs w:val="14"/>
                <w:b w:val="1"/>
                <w:bCs w:val="1"/>
                <w:color w:val="auto"/>
              </w:rPr>
              <w:t>2012</w:t>
            </w:r>
          </w:p>
        </w:tc>
        <w:tc>
          <w:tcPr>
            <w:tcW w:w="60" w:type="dxa"/>
            <w:vAlign w:val="bottom"/>
          </w:tcPr>
          <w:p>
            <w:pPr>
              <w:spacing w:after="0"/>
              <w:rPr>
                <w:sz w:val="12"/>
                <w:szCs w:val="12"/>
                <w:color w:val="auto"/>
              </w:rPr>
            </w:pPr>
          </w:p>
        </w:tc>
      </w:tr>
      <w:tr>
        <w:trPr>
          <w:trHeight w:val="128"/>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100" w:type="dxa"/>
            <w:vAlign w:val="bottom"/>
            <w:gridSpan w:val="3"/>
          </w:tcPr>
          <w:p>
            <w:pPr>
              <w:jc w:val="right"/>
              <w:spacing w:after="0" w:line="128" w:lineRule="exact"/>
              <w:rPr>
                <w:sz w:val="20"/>
                <w:szCs w:val="20"/>
                <w:color w:val="auto"/>
              </w:rPr>
            </w:pPr>
            <w:r>
              <w:rPr>
                <w:rFonts w:ascii="Arial" w:cs="Arial" w:eastAsia="Arial" w:hAnsi="Arial"/>
                <w:sz w:val="14"/>
                <w:szCs w:val="14"/>
                <w:b w:val="1"/>
                <w:bCs w:val="1"/>
                <w:color w:val="auto"/>
              </w:rPr>
              <w:t>(Dollars in thousands)</w:t>
            </w: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216"/>
        </w:trPr>
        <w:tc>
          <w:tcPr>
            <w:tcW w:w="380" w:type="dxa"/>
            <w:vAlign w:val="bottom"/>
            <w:gridSpan w:val="2"/>
          </w:tcPr>
          <w:p>
            <w:pPr>
              <w:jc w:val="right"/>
              <w:ind w:right="205"/>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7,169</w:t>
            </w:r>
          </w:p>
        </w:tc>
        <w:tc>
          <w:tcPr>
            <w:tcW w:w="580" w:type="dxa"/>
            <w:vAlign w:val="bottom"/>
          </w:tcPr>
          <w:p>
            <w:pPr>
              <w:jc w:val="right"/>
              <w:ind w:right="42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(4,629)</w:t>
            </w:r>
          </w:p>
        </w:tc>
        <w:tc>
          <w:tcPr>
            <w:tcW w:w="58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(778)</w:t>
            </w: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15,595</w:t>
            </w: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3,427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1,111</w:t>
            </w: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(3,557)</w:t>
            </w:r>
          </w:p>
        </w:tc>
        <w:tc>
          <w:tcPr>
            <w:tcW w:w="58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(614)</w:t>
            </w:r>
          </w:p>
        </w:tc>
      </w:tr>
      <w:tr>
        <w:trPr>
          <w:trHeight w:val="230"/>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23</w:t>
            </w:r>
          </w:p>
        </w:tc>
        <w:tc>
          <w:tcPr>
            <w:tcW w:w="5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15,712</w:t>
            </w:r>
          </w:p>
        </w:tc>
        <w:tc>
          <w:tcPr>
            <w:tcW w:w="280" w:type="dxa"/>
            <w:vAlign w:val="bottom"/>
          </w:tcPr>
          <w:p>
            <w:pPr>
              <w:spacing w:after="0"/>
              <w:rPr>
                <w:sz w:val="18"/>
                <w:szCs w:val="18"/>
                <w:color w:val="auto"/>
              </w:rPr>
            </w:pPr>
          </w:p>
        </w:tc>
        <w:tc>
          <w:tcPr>
            <w:tcW w:w="580" w:type="dxa"/>
            <w:vAlign w:val="bottom"/>
            <w:tcBorders>
              <w:top w:val="single" w:sz="8" w:color="auto"/>
              <w:bottom w:val="single" w:sz="8" w:color="auto"/>
            </w:tcBorders>
          </w:tcPr>
          <w:p>
            <w:pPr>
              <w:jc w:val="right"/>
              <w:ind w:right="4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2,345</w:t>
            </w: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-4002405</wp:posOffset>
            </wp:positionH>
            <wp:positionV relativeFrom="paragraph">
              <wp:posOffset>-994410</wp:posOffset>
            </wp:positionV>
            <wp:extent cx="627761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77610" cy="137160"/>
                    </a:xfrm>
                    <a:prstGeom prst="rect">
                      <a:avLst/>
                    </a:prstGeom>
                    <a:noFill/>
                  </pic:spPr>
                </pic:pic>
              </a:graphicData>
            </a:graphic>
          </wp:anchor>
        </w:drawing>
        <w:drawing>
          <wp:anchor simplePos="0" relativeHeight="251657728" behindDoc="1" locked="0" layoutInCell="0" allowOverlap="1">
            <wp:simplePos x="0" y="0"/>
            <wp:positionH relativeFrom="column">
              <wp:posOffset>-4002405</wp:posOffset>
            </wp:positionH>
            <wp:positionV relativeFrom="paragraph">
              <wp:posOffset>-719455</wp:posOffset>
            </wp:positionV>
            <wp:extent cx="627761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77610" cy="137160"/>
                    </a:xfrm>
                    <a:prstGeom prst="rect">
                      <a:avLst/>
                    </a:prstGeom>
                    <a:noFill/>
                  </pic:spPr>
                </pic:pic>
              </a:graphicData>
            </a:graphic>
          </wp:anchor>
        </w:drawing>
        <w:drawing>
          <wp:anchor simplePos="0" relativeHeight="251657728" behindDoc="1" locked="0" layoutInCell="0" allowOverlap="1">
            <wp:simplePos x="0" y="0"/>
            <wp:positionH relativeFrom="column">
              <wp:posOffset>-4002405</wp:posOffset>
            </wp:positionH>
            <wp:positionV relativeFrom="paragraph">
              <wp:posOffset>-445135</wp:posOffset>
            </wp:positionV>
            <wp:extent cx="627761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77610" cy="137160"/>
                    </a:xfrm>
                    <a:prstGeom prst="rect">
                      <a:avLst/>
                    </a:prstGeom>
                    <a:noFill/>
                  </pic:spPr>
                </pic:pic>
              </a:graphicData>
            </a:graphic>
          </wp:anchor>
        </w:drawing>
        <w:drawing>
          <wp:anchor simplePos="0" relativeHeight="251657728" behindDoc="1" locked="0" layoutInCell="0" allowOverlap="1">
            <wp:simplePos x="0" y="0"/>
            <wp:positionH relativeFrom="column">
              <wp:posOffset>-4002405</wp:posOffset>
            </wp:positionH>
            <wp:positionV relativeFrom="paragraph">
              <wp:posOffset>-170815</wp:posOffset>
            </wp:positionV>
            <wp:extent cx="6277610"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7761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240" w:space="720"/>
            <w:col w:w="4500"/>
          </w:cols>
          <w:pgMar w:left="240" w:top="125" w:right="199" w:bottom="0" w:gutter="0" w:footer="0" w:header="0"/>
          <w:type w:val="continuous"/>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related to the unpaid principal balance and carrying amounts of PCI loans.</w:t>
      </w:r>
    </w:p>
    <w:p>
      <w:pPr>
        <w:spacing w:after="0" w:line="217" w:lineRule="exact"/>
        <w:rPr>
          <w:sz w:val="20"/>
          <w:szCs w:val="20"/>
          <w:color w:val="auto"/>
        </w:rPr>
      </w:pPr>
    </w:p>
    <w:tbl>
      <w:tblPr>
        <w:tblLayout w:type="fixed"/>
        <w:tblInd w:w="1960" w:type="dxa"/>
        <w:tblCellMar>
          <w:top w:w="0" w:type="dxa"/>
          <w:left w:w="0" w:type="dxa"/>
          <w:bottom w:w="0" w:type="dxa"/>
          <w:right w:w="0" w:type="dxa"/>
        </w:tblCellMar>
      </w:tblPr>
      <w:tr>
        <w:trPr>
          <w:trHeight w:val="171"/>
        </w:trPr>
        <w:tc>
          <w:tcPr>
            <w:tcW w:w="2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March 31, 2013</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3"/>
          </w:tcPr>
          <w:p>
            <w:pPr>
              <w:ind w:left="100"/>
              <w:spacing w:after="0"/>
              <w:rPr>
                <w:sz w:val="20"/>
                <w:szCs w:val="20"/>
                <w:color w:val="auto"/>
              </w:rPr>
            </w:pPr>
            <w:r>
              <w:rPr>
                <w:rFonts w:ascii="Arial" w:cs="Arial" w:eastAsia="Arial" w:hAnsi="Arial"/>
                <w:sz w:val="14"/>
                <w:szCs w:val="14"/>
                <w:b w:val="1"/>
                <w:bCs w:val="1"/>
                <w:color w:val="auto"/>
              </w:rPr>
              <w:t>June 30, 2012</w:t>
            </w:r>
          </w:p>
        </w:tc>
        <w:tc>
          <w:tcPr>
            <w:tcW w:w="0" w:type="dxa"/>
            <w:vAlign w:val="bottom"/>
          </w:tcPr>
          <w:p>
            <w:pPr>
              <w:spacing w:after="0"/>
              <w:rPr>
                <w:sz w:val="1"/>
                <w:szCs w:val="1"/>
                <w:color w:val="auto"/>
              </w:rPr>
            </w:pPr>
          </w:p>
        </w:tc>
      </w:tr>
      <w:tr>
        <w:trPr>
          <w:trHeight w:val="142"/>
        </w:trPr>
        <w:tc>
          <w:tcPr>
            <w:tcW w:w="27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880" w:type="dxa"/>
            <w:vAlign w:val="bottom"/>
            <w:tcBorders>
              <w:top w:val="single" w:sz="8" w:color="auto"/>
            </w:tcBorders>
            <w:gridSpan w:val="5"/>
          </w:tcPr>
          <w:p>
            <w:pPr>
              <w:jc w:val="right"/>
              <w:ind w:right="756"/>
              <w:spacing w:after="0" w:line="142" w:lineRule="exact"/>
              <w:rPr>
                <w:sz w:val="20"/>
                <w:szCs w:val="20"/>
                <w:color w:val="auto"/>
              </w:rPr>
            </w:pPr>
            <w:r>
              <w:rPr>
                <w:rFonts w:ascii="Arial" w:cs="Arial" w:eastAsia="Arial" w:hAnsi="Arial"/>
                <w:sz w:val="14"/>
                <w:szCs w:val="14"/>
                <w:b w:val="1"/>
                <w:bCs w:val="1"/>
                <w:color w:val="auto"/>
              </w:rPr>
              <w:t>(Dollars in thousands)</w:t>
            </w:r>
          </w:p>
        </w:tc>
        <w:tc>
          <w:tcPr>
            <w:tcW w:w="1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Unpaid principal balance</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41,777</w:t>
            </w:r>
          </w:p>
        </w:tc>
        <w:tc>
          <w:tcPr>
            <w:tcW w:w="1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21,359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Carrying amount</w:t>
            </w:r>
          </w:p>
        </w:tc>
        <w:tc>
          <w:tcPr>
            <w:tcW w:w="96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76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25,174</w:t>
            </w:r>
          </w:p>
        </w:tc>
        <w:tc>
          <w:tcPr>
            <w:tcW w:w="28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13,866</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Allowance for Loan Losses</w:t>
      </w:r>
    </w:p>
    <w:p>
      <w:pPr>
        <w:spacing w:after="0" w:line="22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allowance for loan losses is established as losses are estimated to have occurred through a provision for loan losses charged to earnings. Loan losses are charged against the allowance when management believes the uncollectibility of a loan balance is confirmed. Subsequent recoveries, if any, are credited to the allowance.</w:t>
      </w:r>
    </w:p>
    <w:p>
      <w:pPr>
        <w:spacing w:after="0" w:line="181"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The allowance for loan losses consists of general, specific, and unallocated reserves and reflects management’s estimate of probable loan losses inherent in the loan portfolio at the balance sheet date. Management uses a consistent and systematic process and methodology to evaluate the adequacy of the allowance for loan losses on a quarterly basis. The calculation of the allowance for loan losses is segregated by portfolio segments, which include: commercial real estate, commercial business, consumer, residential real estate, and purchased loans. Risk characteristics relevant to each portfolio segment are as follows:</w:t>
      </w:r>
    </w:p>
    <w:p>
      <w:pPr>
        <w:spacing w:after="0" w:line="154" w:lineRule="exact"/>
        <w:rPr>
          <w:sz w:val="20"/>
          <w:szCs w:val="20"/>
          <w:color w:val="auto"/>
        </w:rPr>
      </w:pPr>
    </w:p>
    <w:p>
      <w:pPr>
        <w:ind w:left="440" w:right="60"/>
        <w:spacing w:after="0" w:line="259" w:lineRule="auto"/>
        <w:rPr>
          <w:sz w:val="20"/>
          <w:szCs w:val="20"/>
          <w:color w:val="auto"/>
        </w:rPr>
      </w:pPr>
      <w:r>
        <w:rPr>
          <w:rFonts w:ascii="Arial" w:cs="Arial" w:eastAsia="Arial" w:hAnsi="Arial"/>
          <w:sz w:val="18"/>
          <w:szCs w:val="18"/>
          <w:color w:val="auto"/>
        </w:rPr>
        <w:t>Residential real estate: All loans in this segment are collateralized by residential real estate and repayment is primarily dependent on the credit quality of the individual borrower. The overall health of the economy, particularly unemployment rates and housing prices, has a significant effect on the credit quality in this segment. For purposes of the Company’s allowance for loan loss calculation, home equity loans and lines of credit are included in residential real estate.</w:t>
      </w:r>
    </w:p>
    <w:p>
      <w:pPr>
        <w:spacing w:after="0" w:line="187" w:lineRule="exact"/>
        <w:rPr>
          <w:sz w:val="20"/>
          <w:szCs w:val="20"/>
          <w:color w:val="auto"/>
        </w:rPr>
      </w:pPr>
    </w:p>
    <w:p>
      <w:pPr>
        <w:ind w:left="440" w:right="100"/>
        <w:spacing w:after="0" w:line="297" w:lineRule="auto"/>
        <w:rPr>
          <w:sz w:val="20"/>
          <w:szCs w:val="20"/>
          <w:color w:val="auto"/>
        </w:rPr>
      </w:pPr>
      <w:r>
        <w:rPr>
          <w:rFonts w:ascii="Arial" w:cs="Arial" w:eastAsia="Arial" w:hAnsi="Arial"/>
          <w:sz w:val="16"/>
          <w:szCs w:val="16"/>
          <w:color w:val="auto"/>
        </w:rPr>
        <w:t>Commercial real estate: Loans in this segment are primarily income-producing properties. For owner-occupied properties, the cash flows are derived from an operating business, and the underlying cash flows may be adversely affected by deterioration in the financial condition of the operating business. The underlying cash flows generated by non-owner occupied properties may be adversely affected by increased vacancy rates. Management periodically obtains rent rolls, with which it monitors the cash flows of these loans. Adverse developments in either of these areas will have an adverse effect on the credit quality of this segment. For purposes of the allowance for loan losses, this segment also includes construction loans.</w:t>
      </w:r>
    </w:p>
    <w:p>
      <w:pPr>
        <w:spacing w:after="0" w:line="158" w:lineRule="exact"/>
        <w:rPr>
          <w:sz w:val="20"/>
          <w:szCs w:val="20"/>
          <w:color w:val="auto"/>
        </w:rPr>
      </w:pPr>
    </w:p>
    <w:p>
      <w:pPr>
        <w:jc w:val="both"/>
        <w:ind w:left="440" w:right="260"/>
        <w:spacing w:after="0" w:line="264" w:lineRule="auto"/>
        <w:rPr>
          <w:sz w:val="20"/>
          <w:szCs w:val="20"/>
          <w:color w:val="auto"/>
        </w:rPr>
      </w:pPr>
      <w:r>
        <w:rPr>
          <w:rFonts w:ascii="Arial" w:cs="Arial" w:eastAsia="Arial" w:hAnsi="Arial"/>
          <w:sz w:val="18"/>
          <w:szCs w:val="18"/>
          <w:color w:val="auto"/>
        </w:rPr>
        <w:t>Commercial business: Loans in this segment are made to businesses and are generally secured by the assets of the business. Repayment is expected from the cash flows of the business. Continued weakness in national or regional economic conditions, and a corresponding weakness in consumer or business spending, will have an adverse effect on the credit quality of this segment.</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40" w:right="300"/>
        <w:spacing w:after="0" w:line="342" w:lineRule="auto"/>
        <w:rPr>
          <w:sz w:val="20"/>
          <w:szCs w:val="20"/>
          <w:color w:val="auto"/>
        </w:rPr>
      </w:pPr>
      <w:r>
        <w:rPr>
          <w:rFonts w:ascii="Arial" w:cs="Arial" w:eastAsia="Arial" w:hAnsi="Arial"/>
          <w:sz w:val="16"/>
          <w:szCs w:val="16"/>
          <w:color w:val="auto"/>
        </w:rPr>
        <w:t>Consumer: Loans in this segment are generally secured, and repayment is dependent on the credit quality of the individual borrower. Repayment of consumer loans is generally based on the earnings of individual borrowers, which may be adversely impacted by regional labor market conditions.</w:t>
      </w:r>
    </w:p>
    <w:p>
      <w:pPr>
        <w:sectPr>
          <w:pgSz w:w="11900" w:h="16838" w:orient="portrait"/>
          <w:cols w:equalWidth="0" w:num="1">
            <w:col w:w="11460"/>
          </w:cols>
          <w:pgMar w:left="240" w:top="125" w:right="199" w:bottom="0" w:gutter="0" w:footer="0" w:header="0"/>
          <w:type w:val="continuous"/>
        </w:sectPr>
      </w:pPr>
    </w:p>
    <w:bookmarkStart w:id="9" w:name="page10"/>
    <w:bookmarkEnd w:id="9"/>
    <w:p>
      <w:pPr>
        <w:ind w:left="440" w:right="120"/>
        <w:spacing w:after="0" w:line="271" w:lineRule="auto"/>
        <w:rPr>
          <w:sz w:val="20"/>
          <w:szCs w:val="20"/>
          <w:color w:val="auto"/>
        </w:rPr>
      </w:pPr>
      <w:r>
        <w:rPr>
          <w:rFonts w:ascii="Arial" w:cs="Arial" w:eastAsia="Arial" w:hAnsi="Arial"/>
          <w:sz w:val="17"/>
          <w:szCs w:val="17"/>
          <w:color w:val="auto"/>
        </w:rPr>
        <w:t>Purchased: Loans in this segment are secured by commercial real estate, multi-family residential real estate, or business assets and have been acquired by the LASG. Loans acquired by the LASG are, with limited exceptions, performing loans at the date of purchase. Loans in this segment acquired with specific material credit deterioration since origination are identified as purchased credit-impaired. Repayment of loans in this segment is largely dependent on cash flow from the successful operation of the property, in the case of non-owner occupied property, or operating business, in the case of owner-occupied property. Loan performance may be adversely affected by factors affecting the general economy or conditions specific to the real estate market, such as geographic location or property type. Loans in this segment are evaluated for impairment under ASC 310-30. The Company reviews expected cash flows from purchased loans on a quarterly basis. The effect of a decline in expected cash flows subsequent to the acquisition of the loan is recognized through a specific allocation in the allowance for loan losses.</w:t>
      </w:r>
    </w:p>
    <w:p>
      <w:pPr>
        <w:spacing w:after="0" w:line="179"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The general component of the allowance for loan losses is based on historical loss experience adjusted for qualitative factors stratified by loan segment. The Company does not weight periods used in that analysis to determine the average loss rate in each portfolio segment. This historical loss factor is adjusted for the following qualitative factors:</w:t>
      </w:r>
    </w:p>
    <w:p>
      <w:pPr>
        <w:spacing w:after="0" w:line="181" w:lineRule="exact"/>
        <w:rPr>
          <w:sz w:val="20"/>
          <w:szCs w:val="20"/>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Levels and trends in delinquencies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Trends in the volume and nature of loans</w:t>
      </w:r>
    </w:p>
    <w:p>
      <w:pPr>
        <w:spacing w:after="0" w:line="225" w:lineRule="exact"/>
        <w:rPr>
          <w:rFonts w:ascii="Arial" w:cs="Arial" w:eastAsia="Arial" w:hAnsi="Arial"/>
          <w:sz w:val="18"/>
          <w:szCs w:val="18"/>
          <w:color w:val="auto"/>
        </w:rPr>
      </w:pPr>
    </w:p>
    <w:p>
      <w:pPr>
        <w:ind w:left="980" w:right="620" w:hanging="324"/>
        <w:spacing w:after="0" w:line="277" w:lineRule="auto"/>
        <w:tabs>
          <w:tab w:leader="none" w:pos="944" w:val="left"/>
        </w:tabs>
        <w:numPr>
          <w:ilvl w:val="0"/>
          <w:numId w:val="5"/>
        </w:numPr>
        <w:rPr>
          <w:rFonts w:ascii="Arial" w:cs="Arial" w:eastAsia="Arial" w:hAnsi="Arial"/>
          <w:sz w:val="18"/>
          <w:szCs w:val="18"/>
          <w:color w:val="auto"/>
        </w:rPr>
      </w:pPr>
      <w:r>
        <w:rPr>
          <w:rFonts w:ascii="Arial" w:cs="Arial" w:eastAsia="Arial" w:hAnsi="Arial"/>
          <w:sz w:val="18"/>
          <w:szCs w:val="18"/>
          <w:color w:val="auto"/>
        </w:rPr>
        <w:t>Trends in credit terms and policies, including underwriting standards, procedures and practices, and the experience and ability of lending management and staff</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Trends in portfolio concentration</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National and local economic trends and conditions.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Effects of changes or trends in internal risk ratings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effects resulting from trends in the valuation of underlying collateral</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There were no changes in the Company’s policies or methodology pertaining to the general component of the allowance for loan losses during the three and nine months ended March 31, 2013.</w:t>
      </w:r>
    </w:p>
    <w:p>
      <w:pPr>
        <w:spacing w:after="0" w:line="170"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allocated component of the allowance for loan losses relates to loans that are classified as impaired. Impairment is measured on a loan-by-loan basis for commercial business and commercial real estate loans by either the present value of expected future cash flows discounted at the loan’s effective interest rate or the fair value of the collateral if the loan is collateral dependent. An allowance is established when the discounted cash flows or collateral value of the impaired loan is lower than the carrying value of that loan. Large groups of smaller-balance homogeneous loans, such as consumer and residential real estate loans are collectively evaluated for impairment based on the group’s historical loss experience adjusted for qualitative factors. Accordingly, the Company does not separately identify individual consumer and residential loans for individual impairment and disclosure. However, all loans modified in troubled debt restructurings are individually reviewed for impairment.</w:t>
      </w:r>
    </w:p>
    <w:p>
      <w:pPr>
        <w:spacing w:after="0" w:line="178"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For all portfolio segments, except the purchased loan segment, a loan is considered impaired when, based on current information and events, it is probable that the Company will be unable to collect the scheduled payments of principal or interest when due according to the contractual terms of the loan agreement. Loans that experience insignificant payment delays and payment shortfalls generally are not classified as impaired. Management determines the significance of payment delays and payment shortfalls on a case-by-case basis, taking into consideration all of the circumstances surrounding the loan and the borrower, including the length of the delay, the reasons for the delay, the borrower’s prior payment record, and the amount of the shortfall in relation to the principal and interest owed. For the purchased loan segment, a loan is considered impaired when, based on current information and events, it is probable that the Company will be unable to realize cash flows as estimated at acquisition. Loan impairment of purchased loans is measured based on the decrease in expected cash flows from those estimated at acquisition, excluding changes due to decreases in interest rate indices, discounted at the loan’s effective rate assumed at acquisition. Factors considered by management in determining impairment include payment status, collateral value, and the probability of the collecting scheduled principal and interest payments when due.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activity in the Company’s allowance for loan losses.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6"/>
          </w:tcPr>
          <w:p>
            <w:pPr>
              <w:jc w:val="center"/>
              <w:ind w:right="200"/>
              <w:spacing w:after="0"/>
              <w:rPr>
                <w:sz w:val="20"/>
                <w:szCs w:val="20"/>
                <w:color w:val="auto"/>
              </w:rPr>
            </w:pPr>
            <w:r>
              <w:rPr>
                <w:rFonts w:ascii="Arial" w:cs="Arial" w:eastAsia="Arial" w:hAnsi="Arial"/>
                <w:sz w:val="14"/>
                <w:szCs w:val="14"/>
                <w:b w:val="1"/>
                <w:bCs w:val="1"/>
                <w:color w:val="auto"/>
                <w:w w:val="94"/>
              </w:rPr>
              <w:t>Three Months Ended March 31, 2013</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8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2"/>
          </w:tcPr>
          <w:p>
            <w:pPr>
              <w:jc w:val="right"/>
              <w:ind w:right="380"/>
              <w:spacing w:after="0" w:line="119" w:lineRule="exact"/>
              <w:rPr>
                <w:sz w:val="20"/>
                <w:szCs w:val="20"/>
                <w:color w:val="auto"/>
              </w:rPr>
            </w:pPr>
            <w:r>
              <w:rPr>
                <w:rFonts w:ascii="Arial" w:cs="Arial" w:eastAsia="Arial" w:hAnsi="Arial"/>
                <w:sz w:val="13"/>
                <w:szCs w:val="13"/>
                <w:b w:val="1"/>
                <w:bCs w:val="1"/>
                <w:color w:val="auto"/>
              </w:rPr>
              <w:t>Residential</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rPr>
              <w:t>Commercial</w:t>
            </w:r>
          </w:p>
        </w:tc>
        <w:tc>
          <w:tcPr>
            <w:tcW w:w="140" w:type="dxa"/>
            <w:vAlign w:val="bottom"/>
          </w:tcPr>
          <w:p>
            <w:pPr>
              <w:spacing w:after="0"/>
              <w:rPr>
                <w:sz w:val="10"/>
                <w:szCs w:val="10"/>
                <w:color w:val="auto"/>
              </w:rPr>
            </w:pPr>
          </w:p>
        </w:tc>
        <w:tc>
          <w:tcPr>
            <w:tcW w:w="124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rPr>
              <w:t>Commercial</w:t>
            </w:r>
          </w:p>
        </w:tc>
        <w:tc>
          <w:tcPr>
            <w:tcW w:w="180" w:type="dxa"/>
            <w:vAlign w:val="bottom"/>
          </w:tcPr>
          <w:p>
            <w:pPr>
              <w:spacing w:after="0"/>
              <w:rPr>
                <w:sz w:val="10"/>
                <w:szCs w:val="10"/>
                <w:color w:val="auto"/>
              </w:rPr>
            </w:pPr>
          </w:p>
        </w:tc>
        <w:tc>
          <w:tcPr>
            <w:tcW w:w="11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Consumer</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2"/>
              </w:rPr>
              <w:t>Purchased (1)</w:t>
            </w:r>
          </w:p>
        </w:tc>
        <w:tc>
          <w:tcPr>
            <w:tcW w:w="240" w:type="dxa"/>
            <w:vAlign w:val="bottom"/>
          </w:tcPr>
          <w:p>
            <w:pPr>
              <w:spacing w:after="0"/>
              <w:rPr>
                <w:sz w:val="10"/>
                <w:szCs w:val="10"/>
                <w:color w:val="auto"/>
              </w:rPr>
            </w:pPr>
          </w:p>
        </w:tc>
        <w:tc>
          <w:tcPr>
            <w:tcW w:w="98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Real Estate</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Real Estate</w:t>
            </w:r>
          </w:p>
        </w:tc>
        <w:tc>
          <w:tcPr>
            <w:tcW w:w="140" w:type="dxa"/>
            <w:vAlign w:val="bottom"/>
          </w:tcPr>
          <w:p>
            <w:pPr>
              <w:spacing w:after="0"/>
              <w:rPr>
                <w:sz w:val="14"/>
                <w:szCs w:val="14"/>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3"/>
              </w:rPr>
              <w:t>Business</w:t>
            </w:r>
          </w:p>
        </w:tc>
        <w:tc>
          <w:tcPr>
            <w:tcW w:w="18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540" w:type="dxa"/>
            <w:vAlign w:val="bottom"/>
            <w:tcBorders>
              <w:top w:val="single" w:sz="8" w:color="auto"/>
            </w:tcBorders>
            <w:gridSpan w:val="5"/>
          </w:tcPr>
          <w:p>
            <w:pPr>
              <w:jc w:val="center"/>
              <w:ind w:right="34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875</w:t>
            </w:r>
          </w:p>
        </w:tc>
        <w:tc>
          <w:tcPr>
            <w:tcW w:w="0" w:type="dxa"/>
            <w:vAlign w:val="bottom"/>
          </w:tcPr>
          <w:p>
            <w:pPr>
              <w:spacing w:after="0"/>
              <w:rPr>
                <w:sz w:val="1"/>
                <w:szCs w:val="1"/>
                <w:color w:val="auto"/>
              </w:rPr>
            </w:pPr>
          </w:p>
        </w:tc>
      </w:tr>
      <w:tr>
        <w:trPr>
          <w:trHeight w:val="216"/>
        </w:trPr>
        <w:tc>
          <w:tcPr>
            <w:tcW w:w="3340" w:type="dxa"/>
            <w:vAlign w:val="bottom"/>
            <w:gridSpan w:val="2"/>
          </w:tcPr>
          <w:p>
            <w:pPr>
              <w:ind w:left="180"/>
              <w:spacing w:after="0"/>
              <w:rPr>
                <w:sz w:val="20"/>
                <w:szCs w:val="20"/>
                <w:color w:val="auto"/>
              </w:rPr>
            </w:pPr>
            <w:r>
              <w:rPr>
                <w:rFonts w:ascii="Arial" w:cs="Arial" w:eastAsia="Arial" w:hAnsi="Arial"/>
                <w:sz w:val="18"/>
                <w:szCs w:val="18"/>
                <w:color w:val="auto"/>
              </w:rPr>
              <w:t>Provision (benefit)</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186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117</w:t>
            </w: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16"/>
        </w:trPr>
        <w:tc>
          <w:tcPr>
            <w:tcW w:w="3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Recoveries</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3340" w:type="dxa"/>
            <w:vAlign w:val="bottom"/>
            <w:gridSpan w:val="2"/>
          </w:tcPr>
          <w:p>
            <w:pPr>
              <w:ind w:left="180"/>
              <w:spacing w:after="0"/>
              <w:rPr>
                <w:sz w:val="20"/>
                <w:szCs w:val="20"/>
                <w:color w:val="auto"/>
              </w:rPr>
            </w:pPr>
            <w:r>
              <w:rPr>
                <w:rFonts w:ascii="Arial" w:cs="Arial" w:eastAsia="Arial" w:hAnsi="Arial"/>
                <w:sz w:val="18"/>
                <w:szCs w:val="18"/>
                <w:color w:val="auto"/>
              </w:rPr>
              <w:t>Charge-offs</w:t>
            </w: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(102)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(47)</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0"/>
        </w:trPr>
        <w:tc>
          <w:tcPr>
            <w:tcW w:w="33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6"/>
          </w:tcPr>
          <w:p>
            <w:pPr>
              <w:jc w:val="center"/>
              <w:ind w:right="200"/>
              <w:spacing w:after="0"/>
              <w:rPr>
                <w:sz w:val="20"/>
                <w:szCs w:val="20"/>
                <w:color w:val="auto"/>
              </w:rPr>
            </w:pPr>
            <w:r>
              <w:rPr>
                <w:rFonts w:ascii="Arial" w:cs="Arial" w:eastAsia="Arial" w:hAnsi="Arial"/>
                <w:sz w:val="14"/>
                <w:szCs w:val="14"/>
                <w:b w:val="1"/>
                <w:bCs w:val="1"/>
                <w:color w:val="auto"/>
                <w:w w:val="94"/>
              </w:rPr>
              <w:t>Three Months Ended March 31, 2012</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8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2"/>
          </w:tcPr>
          <w:p>
            <w:pPr>
              <w:jc w:val="right"/>
              <w:ind w:right="380"/>
              <w:spacing w:after="0" w:line="119" w:lineRule="exact"/>
              <w:rPr>
                <w:sz w:val="20"/>
                <w:szCs w:val="20"/>
                <w:color w:val="auto"/>
              </w:rPr>
            </w:pPr>
            <w:r>
              <w:rPr>
                <w:rFonts w:ascii="Arial" w:cs="Arial" w:eastAsia="Arial" w:hAnsi="Arial"/>
                <w:sz w:val="13"/>
                <w:szCs w:val="13"/>
                <w:b w:val="1"/>
                <w:bCs w:val="1"/>
                <w:color w:val="auto"/>
              </w:rPr>
              <w:t>Residential</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rPr>
              <w:t>Commercial</w:t>
            </w:r>
          </w:p>
        </w:tc>
        <w:tc>
          <w:tcPr>
            <w:tcW w:w="140" w:type="dxa"/>
            <w:vAlign w:val="bottom"/>
          </w:tcPr>
          <w:p>
            <w:pPr>
              <w:spacing w:after="0"/>
              <w:rPr>
                <w:sz w:val="10"/>
                <w:szCs w:val="10"/>
                <w:color w:val="auto"/>
              </w:rPr>
            </w:pPr>
          </w:p>
        </w:tc>
        <w:tc>
          <w:tcPr>
            <w:tcW w:w="124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rPr>
              <w:t>Commercial</w:t>
            </w:r>
          </w:p>
        </w:tc>
        <w:tc>
          <w:tcPr>
            <w:tcW w:w="180" w:type="dxa"/>
            <w:vAlign w:val="bottom"/>
          </w:tcPr>
          <w:p>
            <w:pPr>
              <w:spacing w:after="0"/>
              <w:rPr>
                <w:sz w:val="10"/>
                <w:szCs w:val="10"/>
                <w:color w:val="auto"/>
              </w:rPr>
            </w:pPr>
          </w:p>
        </w:tc>
        <w:tc>
          <w:tcPr>
            <w:tcW w:w="11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Consumer</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2"/>
              </w:rPr>
              <w:t>Purchased (1)</w:t>
            </w:r>
          </w:p>
        </w:tc>
        <w:tc>
          <w:tcPr>
            <w:tcW w:w="240" w:type="dxa"/>
            <w:vAlign w:val="bottom"/>
          </w:tcPr>
          <w:p>
            <w:pPr>
              <w:spacing w:after="0"/>
              <w:rPr>
                <w:sz w:val="10"/>
                <w:szCs w:val="10"/>
                <w:color w:val="auto"/>
              </w:rPr>
            </w:pPr>
          </w:p>
        </w:tc>
        <w:tc>
          <w:tcPr>
            <w:tcW w:w="98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Real Estate</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Real Estate</w:t>
            </w:r>
          </w:p>
        </w:tc>
        <w:tc>
          <w:tcPr>
            <w:tcW w:w="140" w:type="dxa"/>
            <w:vAlign w:val="bottom"/>
          </w:tcPr>
          <w:p>
            <w:pPr>
              <w:spacing w:after="0"/>
              <w:rPr>
                <w:sz w:val="14"/>
                <w:szCs w:val="14"/>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3"/>
              </w:rPr>
              <w:t>Business</w:t>
            </w:r>
          </w:p>
        </w:tc>
        <w:tc>
          <w:tcPr>
            <w:tcW w:w="18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540" w:type="dxa"/>
            <w:vAlign w:val="bottom"/>
            <w:tcBorders>
              <w:top w:val="single" w:sz="8" w:color="auto"/>
            </w:tcBorders>
            <w:gridSpan w:val="5"/>
          </w:tcPr>
          <w:p>
            <w:pPr>
              <w:jc w:val="center"/>
              <w:ind w:right="34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737</w:t>
            </w:r>
          </w:p>
        </w:tc>
        <w:tc>
          <w:tcPr>
            <w:tcW w:w="0" w:type="dxa"/>
            <w:vAlign w:val="bottom"/>
          </w:tcPr>
          <w:p>
            <w:pPr>
              <w:spacing w:after="0"/>
              <w:rPr>
                <w:sz w:val="1"/>
                <w:szCs w:val="1"/>
                <w:color w:val="auto"/>
              </w:rPr>
            </w:pPr>
          </w:p>
        </w:tc>
      </w:tr>
      <w:tr>
        <w:trPr>
          <w:trHeight w:val="216"/>
        </w:trPr>
        <w:tc>
          <w:tcPr>
            <w:tcW w:w="3340" w:type="dxa"/>
            <w:vAlign w:val="bottom"/>
            <w:gridSpan w:val="2"/>
          </w:tcPr>
          <w:p>
            <w:pPr>
              <w:ind w:left="180"/>
              <w:spacing w:after="0"/>
              <w:rPr>
                <w:sz w:val="20"/>
                <w:szCs w:val="20"/>
                <w:color w:val="auto"/>
              </w:rPr>
            </w:pPr>
            <w:r>
              <w:rPr>
                <w:rFonts w:ascii="Arial" w:cs="Arial" w:eastAsia="Arial" w:hAnsi="Arial"/>
                <w:sz w:val="18"/>
                <w:szCs w:val="18"/>
                <w:color w:val="auto"/>
              </w:rPr>
              <w:t>Provision (benefit)</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3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Recoveries</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3340" w:type="dxa"/>
            <w:vAlign w:val="bottom"/>
            <w:gridSpan w:val="2"/>
          </w:tcPr>
          <w:p>
            <w:pPr>
              <w:ind w:left="180"/>
              <w:spacing w:after="0"/>
              <w:rPr>
                <w:sz w:val="20"/>
                <w:szCs w:val="20"/>
                <w:color w:val="auto"/>
              </w:rPr>
            </w:pPr>
            <w:r>
              <w:rPr>
                <w:rFonts w:ascii="Arial" w:cs="Arial" w:eastAsia="Arial" w:hAnsi="Arial"/>
                <w:sz w:val="18"/>
                <w:szCs w:val="18"/>
                <w:color w:val="auto"/>
              </w:rPr>
              <w:t>Charge-offs</w:t>
            </w: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(76)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0"/>
        </w:trPr>
        <w:tc>
          <w:tcPr>
            <w:tcW w:w="33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2880" w:type="dxa"/>
            <w:vAlign w:val="bottom"/>
            <w:tcBorders>
              <w:bottom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0" w:gutter="0" w:footer="0" w:header="0"/>
        </w:sectPr>
      </w:pPr>
    </w:p>
    <w:bookmarkStart w:id="10" w:name="page11"/>
    <w:bookmarkEnd w:id="10"/>
    <w:p>
      <w:pPr>
        <w:spacing w:after="0" w:line="74" w:lineRule="exact"/>
        <w:rPr>
          <w:sz w:val="20"/>
          <w:szCs w:val="20"/>
          <w:color w:val="auto"/>
        </w:rPr>
      </w:pPr>
    </w:p>
    <w:p>
      <w:pPr>
        <w:ind w:left="340" w:right="440" w:hanging="332"/>
        <w:spacing w:after="0" w:line="342" w:lineRule="auto"/>
        <w:tabs>
          <w:tab w:leader="none" w:pos="347" w:val="left"/>
        </w:tabs>
        <w:numPr>
          <w:ilvl w:val="0"/>
          <w:numId w:val="6"/>
        </w:numPr>
        <w:rPr>
          <w:rFonts w:ascii="Arial" w:cs="Arial" w:eastAsia="Arial" w:hAnsi="Arial"/>
          <w:sz w:val="16"/>
          <w:szCs w:val="16"/>
          <w:color w:val="auto"/>
        </w:rPr>
      </w:pPr>
      <w:r>
        <w:rPr>
          <w:rFonts w:ascii="Arial" w:cs="Arial" w:eastAsia="Arial" w:hAnsi="Arial"/>
          <w:sz w:val="16"/>
          <w:szCs w:val="16"/>
          <w:color w:val="auto"/>
        </w:rPr>
        <w:t>Purchased loans include commercial real estate, commercial business, and commercial loans secured by residential real estate loans. The Company separately analyzes all loans purchased by the LASG from other segments in determining the allowance for loan losses under ASC 310-30.</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4"/>
                <w:szCs w:val="14"/>
                <w:b w:val="1"/>
                <w:bCs w:val="1"/>
                <w:color w:val="auto"/>
                <w:w w:val="94"/>
              </w:rPr>
              <w:t>Nine Months Ended March 31, 2013</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2"/>
          </w:tcPr>
          <w:p>
            <w:pPr>
              <w:jc w:val="right"/>
              <w:ind w:right="380"/>
              <w:spacing w:after="0" w:line="119" w:lineRule="exact"/>
              <w:rPr>
                <w:sz w:val="20"/>
                <w:szCs w:val="20"/>
                <w:color w:val="auto"/>
              </w:rPr>
            </w:pPr>
            <w:r>
              <w:rPr>
                <w:rFonts w:ascii="Arial" w:cs="Arial" w:eastAsia="Arial" w:hAnsi="Arial"/>
                <w:sz w:val="13"/>
                <w:szCs w:val="13"/>
                <w:b w:val="1"/>
                <w:bCs w:val="1"/>
                <w:color w:val="auto"/>
              </w:rPr>
              <w:t>Residential</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rPr>
              <w:t>Commercial</w:t>
            </w:r>
          </w:p>
        </w:tc>
        <w:tc>
          <w:tcPr>
            <w:tcW w:w="120" w:type="dxa"/>
            <w:vAlign w:val="bottom"/>
          </w:tcPr>
          <w:p>
            <w:pPr>
              <w:spacing w:after="0"/>
              <w:rPr>
                <w:sz w:val="10"/>
                <w:szCs w:val="10"/>
                <w:color w:val="auto"/>
              </w:rPr>
            </w:pPr>
          </w:p>
        </w:tc>
        <w:tc>
          <w:tcPr>
            <w:tcW w:w="126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rPr>
              <w:t>Commercial</w:t>
            </w:r>
          </w:p>
        </w:tc>
        <w:tc>
          <w:tcPr>
            <w:tcW w:w="180" w:type="dxa"/>
            <w:vAlign w:val="bottom"/>
          </w:tcPr>
          <w:p>
            <w:pPr>
              <w:spacing w:after="0"/>
              <w:rPr>
                <w:sz w:val="10"/>
                <w:szCs w:val="10"/>
                <w:color w:val="auto"/>
              </w:rPr>
            </w:pPr>
          </w:p>
        </w:tc>
        <w:tc>
          <w:tcPr>
            <w:tcW w:w="11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Consumer</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2"/>
              </w:rPr>
              <w:t>Purchased (1)</w:t>
            </w:r>
          </w:p>
        </w:tc>
        <w:tc>
          <w:tcPr>
            <w:tcW w:w="240" w:type="dxa"/>
            <w:vAlign w:val="bottom"/>
          </w:tcPr>
          <w:p>
            <w:pPr>
              <w:spacing w:after="0"/>
              <w:rPr>
                <w:sz w:val="10"/>
                <w:szCs w:val="10"/>
                <w:color w:val="auto"/>
              </w:rPr>
            </w:pPr>
          </w:p>
        </w:tc>
        <w:tc>
          <w:tcPr>
            <w:tcW w:w="98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Real Estate</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Real Estate</w:t>
            </w:r>
          </w:p>
        </w:tc>
        <w:tc>
          <w:tcPr>
            <w:tcW w:w="12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3"/>
              </w:rPr>
              <w:t>Business</w:t>
            </w:r>
          </w:p>
        </w:tc>
        <w:tc>
          <w:tcPr>
            <w:tcW w:w="18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3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560" w:type="dxa"/>
            <w:vAlign w:val="bottom"/>
            <w:tcBorders>
              <w:top w:val="single" w:sz="8" w:color="auto"/>
            </w:tcBorders>
            <w:gridSpan w:val="5"/>
          </w:tcPr>
          <w:p>
            <w:pPr>
              <w:jc w:val="center"/>
              <w:ind w:right="32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824</w:t>
            </w:r>
          </w:p>
        </w:tc>
        <w:tc>
          <w:tcPr>
            <w:tcW w:w="0" w:type="dxa"/>
            <w:vAlign w:val="bottom"/>
          </w:tcPr>
          <w:p>
            <w:pPr>
              <w:spacing w:after="0"/>
              <w:rPr>
                <w:sz w:val="1"/>
                <w:szCs w:val="1"/>
                <w:color w:val="auto"/>
              </w:rPr>
            </w:pP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rPr>
              <w:t>Provision (benefit)</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598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821</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Recoveries</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rPr>
              <w:t>Charge-offs</w:t>
            </w: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(237)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(203)</w:t>
            </w:r>
          </w:p>
        </w:tc>
        <w:tc>
          <w:tcPr>
            <w:tcW w:w="1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(102)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(47)</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210"/>
        </w:trPr>
        <w:tc>
          <w:tcPr>
            <w:tcW w:w="33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3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4"/>
                <w:szCs w:val="14"/>
                <w:b w:val="1"/>
                <w:bCs w:val="1"/>
                <w:color w:val="auto"/>
                <w:w w:val="94"/>
              </w:rPr>
              <w:t>Nine Months Ended March 31, 2012</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2"/>
          </w:tcPr>
          <w:p>
            <w:pPr>
              <w:jc w:val="right"/>
              <w:ind w:right="380"/>
              <w:spacing w:after="0" w:line="119" w:lineRule="exact"/>
              <w:rPr>
                <w:sz w:val="20"/>
                <w:szCs w:val="20"/>
                <w:color w:val="auto"/>
              </w:rPr>
            </w:pPr>
            <w:r>
              <w:rPr>
                <w:rFonts w:ascii="Arial" w:cs="Arial" w:eastAsia="Arial" w:hAnsi="Arial"/>
                <w:sz w:val="13"/>
                <w:szCs w:val="13"/>
                <w:b w:val="1"/>
                <w:bCs w:val="1"/>
                <w:color w:val="auto"/>
              </w:rPr>
              <w:t>Residential</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rPr>
              <w:t>Commercial</w:t>
            </w:r>
          </w:p>
        </w:tc>
        <w:tc>
          <w:tcPr>
            <w:tcW w:w="120" w:type="dxa"/>
            <w:vAlign w:val="bottom"/>
          </w:tcPr>
          <w:p>
            <w:pPr>
              <w:spacing w:after="0"/>
              <w:rPr>
                <w:sz w:val="10"/>
                <w:szCs w:val="10"/>
                <w:color w:val="auto"/>
              </w:rPr>
            </w:pPr>
          </w:p>
        </w:tc>
        <w:tc>
          <w:tcPr>
            <w:tcW w:w="126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rPr>
              <w:t>Commercial</w:t>
            </w:r>
          </w:p>
        </w:tc>
        <w:tc>
          <w:tcPr>
            <w:tcW w:w="180" w:type="dxa"/>
            <w:vAlign w:val="bottom"/>
          </w:tcPr>
          <w:p>
            <w:pPr>
              <w:spacing w:after="0"/>
              <w:rPr>
                <w:sz w:val="10"/>
                <w:szCs w:val="10"/>
                <w:color w:val="auto"/>
              </w:rPr>
            </w:pPr>
          </w:p>
        </w:tc>
        <w:tc>
          <w:tcPr>
            <w:tcW w:w="11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Consumer</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2"/>
              </w:rPr>
              <w:t>Purchased (1)</w:t>
            </w:r>
          </w:p>
        </w:tc>
        <w:tc>
          <w:tcPr>
            <w:tcW w:w="240" w:type="dxa"/>
            <w:vAlign w:val="bottom"/>
          </w:tcPr>
          <w:p>
            <w:pPr>
              <w:spacing w:after="0"/>
              <w:rPr>
                <w:sz w:val="10"/>
                <w:szCs w:val="10"/>
                <w:color w:val="auto"/>
              </w:rPr>
            </w:pPr>
          </w:p>
        </w:tc>
        <w:tc>
          <w:tcPr>
            <w:tcW w:w="98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Real Estate</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Real Estate</w:t>
            </w:r>
          </w:p>
        </w:tc>
        <w:tc>
          <w:tcPr>
            <w:tcW w:w="12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3"/>
              </w:rPr>
              <w:t>Business</w:t>
            </w:r>
          </w:p>
        </w:tc>
        <w:tc>
          <w:tcPr>
            <w:tcW w:w="18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3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560" w:type="dxa"/>
            <w:vAlign w:val="bottom"/>
            <w:tcBorders>
              <w:top w:val="single" w:sz="8" w:color="auto"/>
            </w:tcBorders>
            <w:gridSpan w:val="5"/>
          </w:tcPr>
          <w:p>
            <w:pPr>
              <w:jc w:val="center"/>
              <w:ind w:right="32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rPr>
              <w:t>Provision (benefit)</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171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467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Recoveries</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rPr>
              <w:t>Charge-offs</w:t>
            </w: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(81)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(279)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10"/>
        </w:trPr>
        <w:tc>
          <w:tcPr>
            <w:tcW w:w="33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440" w:hanging="332"/>
        <w:spacing w:after="0" w:line="342" w:lineRule="auto"/>
        <w:tabs>
          <w:tab w:leader="none" w:pos="347" w:val="left"/>
        </w:tabs>
        <w:numPr>
          <w:ilvl w:val="0"/>
          <w:numId w:val="7"/>
        </w:numPr>
        <w:rPr>
          <w:rFonts w:ascii="Arial" w:cs="Arial" w:eastAsia="Arial" w:hAnsi="Arial"/>
          <w:sz w:val="16"/>
          <w:szCs w:val="16"/>
          <w:color w:val="auto"/>
        </w:rPr>
      </w:pPr>
      <w:r>
        <w:rPr>
          <w:rFonts w:ascii="Arial" w:cs="Arial" w:eastAsia="Arial" w:hAnsi="Arial"/>
          <w:sz w:val="16"/>
          <w:szCs w:val="16"/>
          <w:color w:val="auto"/>
        </w:rPr>
        <w:t>Purchased loans include commercial real estate, commercial business, and commercial loans secured by residential real estate loans. The Company separately analyzes all loans purchased by the LASG from other segments in determining the allowance for loan losses under ASC 310-30.</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regarding the allowance for loan losses by portfolio segment and impairment methodology.</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4"/>
                <w:szCs w:val="14"/>
                <w:b w:val="1"/>
                <w:bCs w:val="1"/>
                <w:color w:val="auto"/>
                <w:w w:val="96"/>
              </w:rPr>
              <w:t>March 31, 2013</w:t>
            </w: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2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80" w:type="dxa"/>
            <w:vAlign w:val="bottom"/>
            <w:gridSpan w:val="2"/>
          </w:tcPr>
          <w:p>
            <w:pPr>
              <w:jc w:val="right"/>
              <w:ind w:right="520"/>
              <w:spacing w:after="0" w:line="119" w:lineRule="exact"/>
              <w:rPr>
                <w:sz w:val="20"/>
                <w:szCs w:val="20"/>
                <w:color w:val="auto"/>
              </w:rPr>
            </w:pPr>
            <w:r>
              <w:rPr>
                <w:rFonts w:ascii="Arial" w:cs="Arial" w:eastAsia="Arial" w:hAnsi="Arial"/>
                <w:sz w:val="13"/>
                <w:szCs w:val="13"/>
                <w:b w:val="1"/>
                <w:bCs w:val="1"/>
                <w:color w:val="auto"/>
              </w:rPr>
              <w:t>Residential</w:t>
            </w:r>
          </w:p>
        </w:tc>
        <w:tc>
          <w:tcPr>
            <w:tcW w:w="140" w:type="dxa"/>
            <w:vAlign w:val="bottom"/>
          </w:tcPr>
          <w:p>
            <w:pPr>
              <w:spacing w:after="0"/>
              <w:rPr>
                <w:sz w:val="10"/>
                <w:szCs w:val="10"/>
                <w:color w:val="auto"/>
              </w:rPr>
            </w:pPr>
          </w:p>
        </w:tc>
        <w:tc>
          <w:tcPr>
            <w:tcW w:w="108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rPr>
              <w:t>Commercial</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rPr>
              <w:t>Commercial</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4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w w:val="98"/>
              </w:rPr>
              <w:t>Consumer</w:t>
            </w:r>
          </w:p>
        </w:tc>
        <w:tc>
          <w:tcPr>
            <w:tcW w:w="240" w:type="dxa"/>
            <w:vAlign w:val="bottom"/>
          </w:tcPr>
          <w:p>
            <w:pPr>
              <w:spacing w:after="0"/>
              <w:rPr>
                <w:sz w:val="10"/>
                <w:szCs w:val="10"/>
                <w:color w:val="auto"/>
              </w:rPr>
            </w:pPr>
          </w:p>
        </w:tc>
        <w:tc>
          <w:tcPr>
            <w:tcW w:w="98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7"/>
              </w:rPr>
              <w:t>Real Estate</w:t>
            </w:r>
          </w:p>
        </w:tc>
        <w:tc>
          <w:tcPr>
            <w:tcW w:w="14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Real Estate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3"/>
              </w:rPr>
              <w:t>Business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gridSpan w:val="4"/>
          </w:tcPr>
          <w:p>
            <w:pPr>
              <w:jc w:val="center"/>
              <w:ind w:right="2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Allowance for loan losses:</w:t>
            </w: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180"/>
              <w:spacing w:after="0"/>
              <w:rPr>
                <w:sz w:val="20"/>
                <w:szCs w:val="20"/>
                <w:color w:val="auto"/>
              </w:rPr>
            </w:pPr>
            <w:r>
              <w:rPr>
                <w:rFonts w:ascii="Arial" w:cs="Arial" w:eastAsia="Arial" w:hAnsi="Arial"/>
                <w:sz w:val="18"/>
                <w:szCs w:val="18"/>
                <w:color w:val="auto"/>
              </w:rPr>
              <w:t>Individually evaluated</w:t>
            </w:r>
          </w:p>
        </w:tc>
        <w:tc>
          <w:tcPr>
            <w:tcW w:w="14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301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119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43</w:t>
            </w:r>
          </w:p>
        </w:tc>
        <w:tc>
          <w:tcPr>
            <w:tcW w:w="18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28</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491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Collectively evaluated</w:t>
            </w: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277</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200</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180"/>
              <w:spacing w:after="0"/>
              <w:rPr>
                <w:sz w:val="20"/>
                <w:szCs w:val="20"/>
                <w:color w:val="auto"/>
              </w:rPr>
            </w:pPr>
            <w:r>
              <w:rPr>
                <w:rFonts w:ascii="Arial" w:cs="Arial" w:eastAsia="Arial" w:hAnsi="Arial"/>
                <w:sz w:val="18"/>
                <w:szCs w:val="18"/>
                <w:color w:val="auto"/>
              </w:rPr>
              <w:t>Purchased (1)</w:t>
            </w: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2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1,033</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0" w:type="dxa"/>
            <w:vAlign w:val="bottom"/>
            <w:vMerge w:val="restart"/>
          </w:tcPr>
          <w:p>
            <w:pPr>
              <w:spacing w:after="0"/>
              <w:rPr>
                <w:sz w:val="20"/>
                <w:szCs w:val="20"/>
                <w:color w:val="auto"/>
              </w:rPr>
            </w:pPr>
            <w:r>
              <w:rPr>
                <w:rFonts w:ascii="Arial" w:cs="Arial" w:eastAsia="Arial" w:hAnsi="Arial"/>
                <w:sz w:val="18"/>
                <w:szCs w:val="18"/>
                <w:color w:val="auto"/>
              </w:rPr>
              <w:t>Loans:</w:t>
            </w:r>
          </w:p>
        </w:tc>
        <w:tc>
          <w:tcPr>
            <w:tcW w:w="1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200" w:type="dxa"/>
            <w:vAlign w:val="bottom"/>
            <w:vMerge w:val="continue"/>
          </w:tcPr>
          <w:p>
            <w:pPr>
              <w:spacing w:after="0"/>
              <w:rPr>
                <w:sz w:val="14"/>
                <w:szCs w:val="14"/>
                <w:color w:val="auto"/>
              </w:rPr>
            </w:pPr>
          </w:p>
        </w:tc>
        <w:tc>
          <w:tcPr>
            <w:tcW w:w="1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Individually evaluated</w:t>
            </w:r>
          </w:p>
        </w:tc>
        <w:tc>
          <w:tcPr>
            <w:tcW w:w="14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2,495</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2,192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150</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4,940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180"/>
              <w:spacing w:after="0"/>
              <w:rPr>
                <w:sz w:val="20"/>
                <w:szCs w:val="20"/>
                <w:color w:val="auto"/>
              </w:rPr>
            </w:pPr>
            <w:r>
              <w:rPr>
                <w:rFonts w:ascii="Arial" w:cs="Arial" w:eastAsia="Arial" w:hAnsi="Arial"/>
                <w:sz w:val="18"/>
                <w:szCs w:val="18"/>
                <w:color w:val="auto"/>
              </w:rPr>
              <w:t>Collectively evaluated</w:t>
            </w: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117,561</w:t>
            </w:r>
          </w:p>
        </w:tc>
        <w:tc>
          <w:tcPr>
            <w:tcW w:w="14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95,026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18,357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13,925</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244,869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Purchased (1)</w:t>
            </w: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4,238</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126,264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130,502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00" w:type="dxa"/>
            <w:vAlign w:val="bottom"/>
          </w:tcPr>
          <w:p>
            <w:pPr>
              <w:spacing w:after="0"/>
              <w:rPr>
                <w:sz w:val="20"/>
                <w:szCs w:val="20"/>
                <w:color w:val="auto"/>
              </w:rPr>
            </w:pPr>
            <w:r>
              <w:rPr>
                <w:rFonts w:ascii="Arial" w:cs="Arial" w:eastAsia="Arial" w:hAnsi="Arial"/>
                <w:sz w:val="18"/>
                <w:szCs w:val="18"/>
                <w:color w:val="auto"/>
              </w:rPr>
              <w:t>Total</w:t>
            </w:r>
          </w:p>
        </w:tc>
        <w:tc>
          <w:tcPr>
            <w:tcW w:w="12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124,294</w:t>
            </w:r>
          </w:p>
        </w:tc>
        <w:tc>
          <w:tcPr>
            <w:tcW w:w="3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223,482</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18,460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14,075</w:t>
            </w:r>
          </w:p>
        </w:tc>
        <w:tc>
          <w:tcPr>
            <w:tcW w:w="3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380,311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2"/>
              </w:rPr>
              <w:t>June 30, 2012</w:t>
            </w: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2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80" w:type="dxa"/>
            <w:vAlign w:val="bottom"/>
            <w:gridSpan w:val="2"/>
          </w:tcPr>
          <w:p>
            <w:pPr>
              <w:jc w:val="right"/>
              <w:ind w:right="520"/>
              <w:spacing w:after="0" w:line="119" w:lineRule="exact"/>
              <w:rPr>
                <w:sz w:val="20"/>
                <w:szCs w:val="20"/>
                <w:color w:val="auto"/>
              </w:rPr>
            </w:pPr>
            <w:r>
              <w:rPr>
                <w:rFonts w:ascii="Arial" w:cs="Arial" w:eastAsia="Arial" w:hAnsi="Arial"/>
                <w:sz w:val="13"/>
                <w:szCs w:val="13"/>
                <w:b w:val="1"/>
                <w:bCs w:val="1"/>
                <w:color w:val="auto"/>
              </w:rPr>
              <w:t>Residential</w:t>
            </w:r>
          </w:p>
        </w:tc>
        <w:tc>
          <w:tcPr>
            <w:tcW w:w="140" w:type="dxa"/>
            <w:vAlign w:val="bottom"/>
          </w:tcPr>
          <w:p>
            <w:pPr>
              <w:spacing w:after="0"/>
              <w:rPr>
                <w:sz w:val="10"/>
                <w:szCs w:val="10"/>
                <w:color w:val="auto"/>
              </w:rPr>
            </w:pPr>
          </w:p>
        </w:tc>
        <w:tc>
          <w:tcPr>
            <w:tcW w:w="108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rPr>
              <w:t>Commercial</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rPr>
              <w:t>Commercial</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4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w w:val="98"/>
              </w:rPr>
              <w:t>Consumer</w:t>
            </w:r>
          </w:p>
        </w:tc>
        <w:tc>
          <w:tcPr>
            <w:tcW w:w="240" w:type="dxa"/>
            <w:vAlign w:val="bottom"/>
          </w:tcPr>
          <w:p>
            <w:pPr>
              <w:spacing w:after="0"/>
              <w:rPr>
                <w:sz w:val="10"/>
                <w:szCs w:val="10"/>
                <w:color w:val="auto"/>
              </w:rPr>
            </w:pPr>
          </w:p>
        </w:tc>
        <w:tc>
          <w:tcPr>
            <w:tcW w:w="98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7"/>
              </w:rPr>
              <w:t>Real Estate</w:t>
            </w:r>
          </w:p>
        </w:tc>
        <w:tc>
          <w:tcPr>
            <w:tcW w:w="14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Real Estate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3"/>
              </w:rPr>
              <w:t>Business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gridSpan w:val="4"/>
          </w:tcPr>
          <w:p>
            <w:pPr>
              <w:jc w:val="center"/>
              <w:ind w:right="2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Allowance for loan losses:</w:t>
            </w: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180"/>
              <w:spacing w:after="0"/>
              <w:rPr>
                <w:sz w:val="20"/>
                <w:szCs w:val="20"/>
                <w:color w:val="auto"/>
              </w:rPr>
            </w:pPr>
            <w:r>
              <w:rPr>
                <w:rFonts w:ascii="Arial" w:cs="Arial" w:eastAsia="Arial" w:hAnsi="Arial"/>
                <w:sz w:val="18"/>
                <w:szCs w:val="18"/>
                <w:color w:val="auto"/>
              </w:rPr>
              <w:t>Individually evaluated</w:t>
            </w:r>
          </w:p>
        </w:tc>
        <w:tc>
          <w:tcPr>
            <w:tcW w:w="14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41</w:t>
            </w:r>
          </w:p>
        </w:tc>
        <w:tc>
          <w:tcPr>
            <w:tcW w:w="6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284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0</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328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Collectively evaluated</w:t>
            </w: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211</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225</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180"/>
              <w:spacing w:after="0"/>
              <w:rPr>
                <w:sz w:val="20"/>
                <w:szCs w:val="20"/>
                <w:color w:val="auto"/>
              </w:rPr>
            </w:pPr>
            <w:r>
              <w:rPr>
                <w:rFonts w:ascii="Arial" w:cs="Arial" w:eastAsia="Arial" w:hAnsi="Arial"/>
                <w:sz w:val="18"/>
                <w:szCs w:val="18"/>
                <w:color w:val="auto"/>
              </w:rPr>
              <w:t>Purchased(1)</w:t>
            </w: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2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0" w:type="dxa"/>
            <w:vAlign w:val="bottom"/>
            <w:vMerge w:val="restart"/>
          </w:tcPr>
          <w:p>
            <w:pPr>
              <w:spacing w:after="0"/>
              <w:rPr>
                <w:sz w:val="20"/>
                <w:szCs w:val="20"/>
                <w:color w:val="auto"/>
              </w:rPr>
            </w:pPr>
            <w:r>
              <w:rPr>
                <w:rFonts w:ascii="Arial" w:cs="Arial" w:eastAsia="Arial" w:hAnsi="Arial"/>
                <w:sz w:val="18"/>
                <w:szCs w:val="18"/>
                <w:color w:val="auto"/>
              </w:rPr>
              <w:t>Loans:</w:t>
            </w:r>
          </w:p>
        </w:tc>
        <w:tc>
          <w:tcPr>
            <w:tcW w:w="1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200" w:type="dxa"/>
            <w:vAlign w:val="bottom"/>
            <w:vMerge w:val="continue"/>
          </w:tcPr>
          <w:p>
            <w:pPr>
              <w:spacing w:after="0"/>
              <w:rPr>
                <w:sz w:val="14"/>
                <w:szCs w:val="14"/>
                <w:color w:val="auto"/>
              </w:rPr>
            </w:pPr>
          </w:p>
        </w:tc>
        <w:tc>
          <w:tcPr>
            <w:tcW w:w="1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Individually evaluated</w:t>
            </w:r>
          </w:p>
        </w:tc>
        <w:tc>
          <w:tcPr>
            <w:tcW w:w="14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3,112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w:t>
            </w: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4,638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180"/>
              <w:spacing w:after="0"/>
              <w:rPr>
                <w:sz w:val="20"/>
                <w:szCs w:val="20"/>
                <w:color w:val="auto"/>
              </w:rPr>
            </w:pPr>
            <w:r>
              <w:rPr>
                <w:rFonts w:ascii="Arial" w:cs="Arial" w:eastAsia="Arial" w:hAnsi="Arial"/>
                <w:sz w:val="18"/>
                <w:szCs w:val="18"/>
                <w:color w:val="auto"/>
              </w:rPr>
              <w:t>Collectively evaluated</w:t>
            </w: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133,241</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99,326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18,485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17,149</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268,201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Purchased(1)</w:t>
            </w: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3,931</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79,484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83,415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00" w:type="dxa"/>
            <w:vAlign w:val="bottom"/>
          </w:tcPr>
          <w:p>
            <w:pPr>
              <w:spacing w:after="0"/>
              <w:rPr>
                <w:sz w:val="20"/>
                <w:szCs w:val="20"/>
                <w:color w:val="auto"/>
              </w:rPr>
            </w:pPr>
            <w:r>
              <w:rPr>
                <w:rFonts w:ascii="Arial" w:cs="Arial" w:eastAsia="Arial" w:hAnsi="Arial"/>
                <w:sz w:val="18"/>
                <w:szCs w:val="18"/>
                <w:color w:val="auto"/>
              </w:rPr>
              <w:t>Total</w:t>
            </w:r>
          </w:p>
        </w:tc>
        <w:tc>
          <w:tcPr>
            <w:tcW w:w="12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137,571</w:t>
            </w:r>
          </w:p>
        </w:tc>
        <w:tc>
          <w:tcPr>
            <w:tcW w:w="3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181,922</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19,612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17,149</w:t>
            </w:r>
          </w:p>
        </w:tc>
        <w:tc>
          <w:tcPr>
            <w:tcW w:w="3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356,254</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right="580" w:firstLine="8"/>
        <w:spacing w:after="0" w:line="277" w:lineRule="auto"/>
        <w:tabs>
          <w:tab w:leader="none" w:pos="255" w:val="left"/>
        </w:tabs>
        <w:numPr>
          <w:ilvl w:val="0"/>
          <w:numId w:val="8"/>
        </w:numPr>
        <w:rPr>
          <w:rFonts w:ascii="Arial" w:cs="Arial" w:eastAsia="Arial" w:hAnsi="Arial"/>
          <w:sz w:val="18"/>
          <w:szCs w:val="18"/>
          <w:color w:val="auto"/>
        </w:rPr>
      </w:pPr>
      <w:r>
        <w:rPr>
          <w:rFonts w:ascii="Arial" w:cs="Arial" w:eastAsia="Arial" w:hAnsi="Arial"/>
          <w:sz w:val="18"/>
          <w:szCs w:val="18"/>
          <w:color w:val="auto"/>
        </w:rPr>
        <w:t>Loans in this category are evaluated for impairment under ASC 310-30. Post acquisition, the effect of a decline in expected cash flows is recorded through the allowance for loan losses as a specific allocation.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The following tables set forth information regarding impaired loans. Interest income recognized includes interest received or accrued based on loan principal and contractual interest rates. Loans accounted for under ASC 310-30 that have performed based on cash flow and accretable yield expectations determined at date of acquisition are not considered impaired assets and have been excluded from the tables below.</w:t>
      </w:r>
    </w:p>
    <w:p>
      <w:pPr>
        <w:spacing w:after="0" w:line="173" w:lineRule="exact"/>
        <w:rPr>
          <w:sz w:val="20"/>
          <w:szCs w:val="20"/>
          <w:color w:val="auto"/>
        </w:rPr>
      </w:pPr>
    </w:p>
    <w:tbl>
      <w:tblPr>
        <w:tblLayout w:type="fixed"/>
        <w:tblInd w:w="4000" w:type="dxa"/>
        <w:tblCellMar>
          <w:top w:w="0" w:type="dxa"/>
          <w:left w:w="0" w:type="dxa"/>
          <w:bottom w:w="0" w:type="dxa"/>
          <w:right w:w="0" w:type="dxa"/>
        </w:tblCellMar>
      </w:tblPr>
      <w:tr>
        <w:trPr>
          <w:trHeight w:val="171"/>
        </w:trPr>
        <w:tc>
          <w:tcPr>
            <w:tcW w:w="10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At March 31, 2013</w:t>
            </w:r>
          </w:p>
        </w:tc>
        <w:tc>
          <w:tcPr>
            <w:tcW w:w="9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At June 30, 2012</w:t>
            </w:r>
          </w:p>
        </w:tc>
        <w:tc>
          <w:tcPr>
            <w:tcW w:w="10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02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Recorded</w:t>
            </w:r>
          </w:p>
        </w:tc>
        <w:tc>
          <w:tcPr>
            <w:tcW w:w="15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Unpaid</w:t>
            </w:r>
          </w:p>
        </w:tc>
        <w:tc>
          <w:tcPr>
            <w:tcW w:w="122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Related</w:t>
            </w:r>
          </w:p>
        </w:tc>
        <w:tc>
          <w:tcPr>
            <w:tcW w:w="102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Recorded</w:t>
            </w:r>
          </w:p>
        </w:tc>
        <w:tc>
          <w:tcPr>
            <w:tcW w:w="14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Unpaid</w:t>
            </w:r>
          </w:p>
        </w:tc>
        <w:tc>
          <w:tcPr>
            <w:tcW w:w="100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Related</w:t>
            </w:r>
          </w:p>
        </w:tc>
        <w:tc>
          <w:tcPr>
            <w:tcW w:w="0" w:type="dxa"/>
            <w:vAlign w:val="bottom"/>
          </w:tcPr>
          <w:p>
            <w:pPr>
              <w:spacing w:after="0"/>
              <w:rPr>
                <w:sz w:val="1"/>
                <w:szCs w:val="1"/>
                <w:color w:val="auto"/>
              </w:rPr>
            </w:pPr>
          </w:p>
        </w:tc>
      </w:tr>
      <w:tr>
        <w:trPr>
          <w:trHeight w:val="186"/>
        </w:trPr>
        <w:tc>
          <w:tcPr>
            <w:tcW w:w="1020" w:type="dxa"/>
            <w:vAlign w:val="bottom"/>
            <w:vMerge w:val="continue"/>
          </w:tcPr>
          <w:p>
            <w:pPr>
              <w:spacing w:after="0"/>
              <w:rPr>
                <w:sz w:val="16"/>
                <w:szCs w:val="16"/>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4"/>
              </w:rPr>
              <w:t>Principal</w:t>
            </w:r>
          </w:p>
        </w:tc>
        <w:tc>
          <w:tcPr>
            <w:tcW w:w="1220" w:type="dxa"/>
            <w:vAlign w:val="bottom"/>
            <w:gridSpan w:val="2"/>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4"/>
              </w:rPr>
              <w:t>Principal</w:t>
            </w: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ectPr>
          <w:pgSz w:w="11900" w:h="16912" w:orient="portrait"/>
          <w:cols w:equalWidth="0" w:num="1">
            <w:col w:w="11420"/>
          </w:cols>
          <w:pgMar w:left="240" w:top="125" w:right="239" w:bottom="0" w:gutter="0" w:footer="0" w:header="0"/>
        </w:sectPr>
      </w:pPr>
    </w:p>
    <w:bookmarkStart w:id="11" w:name="page12"/>
    <w:bookmarkEnd w:id="11"/>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4"/>
              </w:rPr>
              <w:t>Investment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b w:val="1"/>
                <w:bCs w:val="1"/>
                <w:color w:val="auto"/>
              </w:rPr>
              <w:t>Balance</w:t>
            </w:r>
          </w:p>
        </w:tc>
        <w:tc>
          <w:tcPr>
            <w:tcW w:w="140" w:type="dxa"/>
            <w:vAlign w:val="bottom"/>
          </w:tcPr>
          <w:p>
            <w:pPr>
              <w:spacing w:after="0"/>
              <w:rPr>
                <w:sz w:val="14"/>
                <w:szCs w:val="14"/>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8"/>
              </w:rPr>
              <w:t>Allowance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ind w:left="60"/>
              <w:spacing w:after="0"/>
              <w:rPr>
                <w:sz w:val="20"/>
                <w:szCs w:val="20"/>
                <w:color w:val="auto"/>
              </w:rPr>
            </w:pPr>
            <w:r>
              <w:rPr>
                <w:rFonts w:ascii="Arial" w:cs="Arial" w:eastAsia="Arial" w:hAnsi="Arial"/>
                <w:sz w:val="14"/>
                <w:szCs w:val="14"/>
                <w:b w:val="1"/>
                <w:bCs w:val="1"/>
                <w:color w:val="auto"/>
              </w:rPr>
              <w:t>Investment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Balance</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Allowance</w:t>
            </w:r>
          </w:p>
        </w:tc>
      </w:tr>
      <w:tr>
        <w:trPr>
          <w:trHeight w:val="142"/>
        </w:trPr>
        <w:tc>
          <w:tcPr>
            <w:tcW w:w="40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280" w:type="dxa"/>
            <w:vAlign w:val="bottom"/>
            <w:tcBorders>
              <w:top w:val="single" w:sz="8" w:color="auto"/>
            </w:tcBorders>
            <w:gridSpan w:val="6"/>
          </w:tcPr>
          <w:p>
            <w:pPr>
              <w:ind w:left="300"/>
              <w:spacing w:after="0" w:line="142" w:lineRule="exact"/>
              <w:rPr>
                <w:sz w:val="20"/>
                <w:szCs w:val="20"/>
                <w:color w:val="auto"/>
              </w:rPr>
            </w:pPr>
            <w:r>
              <w:rPr>
                <w:rFonts w:ascii="Arial" w:cs="Arial" w:eastAsia="Arial" w:hAnsi="Arial"/>
                <w:sz w:val="14"/>
                <w:szCs w:val="14"/>
                <w:b w:val="1"/>
                <w:bCs w:val="1"/>
                <w:color w:val="auto"/>
              </w:rPr>
              <w:t>(Dollars in thousands)</w:t>
            </w: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Impaired loans without a valuation allowance:</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Originated:</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Residential real estate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1,198</w:t>
            </w:r>
          </w:p>
        </w:tc>
        <w:tc>
          <w:tcPr>
            <w:tcW w:w="3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w:t>
            </w:r>
          </w:p>
        </w:tc>
        <w:tc>
          <w:tcPr>
            <w:tcW w:w="2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Consumer</w:t>
            </w:r>
          </w:p>
        </w:tc>
        <w:tc>
          <w:tcPr>
            <w:tcW w:w="1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86</w:t>
            </w:r>
          </w:p>
        </w:tc>
        <w:tc>
          <w:tcPr>
            <w:tcW w:w="1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1,429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1,490</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1,738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Commercial business</w:t>
            </w:r>
          </w:p>
        </w:tc>
        <w:tc>
          <w:tcPr>
            <w:tcW w:w="1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114</w:t>
            </w:r>
          </w:p>
        </w:tc>
        <w:tc>
          <w:tcPr>
            <w:tcW w:w="1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377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692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Purchased:</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Commercial real estate</w:t>
            </w:r>
          </w:p>
        </w:tc>
        <w:tc>
          <w:tcPr>
            <w:tcW w:w="1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1,055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1,462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Residential real estate</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r>
      <w:tr>
        <w:trPr>
          <w:trHeight w:val="210"/>
        </w:trPr>
        <w:tc>
          <w:tcPr>
            <w:tcW w:w="4000" w:type="dxa"/>
            <w:vAlign w:val="bottom"/>
          </w:tcPr>
          <w:p>
            <w:pPr>
              <w:ind w:left="18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2,768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2,940</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3,207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4,375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Impaired loans with a valuation allowance:</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Originated:</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Residential real estate</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1,297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1,261</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Consumer</w:t>
            </w:r>
          </w:p>
        </w:tc>
        <w:tc>
          <w:tcPr>
            <w:tcW w:w="1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72</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810</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Commercial business</w:t>
            </w:r>
          </w:p>
        </w:tc>
        <w:tc>
          <w:tcPr>
            <w:tcW w:w="1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79</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750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817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284</w:t>
            </w: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Purchased:</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Commercial real estate</w:t>
            </w:r>
          </w:p>
        </w:tc>
        <w:tc>
          <w:tcPr>
            <w:tcW w:w="1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Residential real estate</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r>
      <w:tr>
        <w:trPr>
          <w:trHeight w:val="210"/>
        </w:trPr>
        <w:tc>
          <w:tcPr>
            <w:tcW w:w="40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2,172</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2,222</w:t>
            </w:r>
          </w:p>
        </w:tc>
        <w:tc>
          <w:tcPr>
            <w:tcW w:w="2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491</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1,431</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1,485</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328</w:t>
            </w:r>
          </w:p>
        </w:tc>
        <w:tc>
          <w:tcPr>
            <w:tcW w:w="100" w:type="dxa"/>
            <w:vAlign w:val="bottom"/>
            <w:tcBorders>
              <w:bottom w:val="single" w:sz="8" w:color="CCEEFF"/>
            </w:tcBorders>
          </w:tcPr>
          <w:p>
            <w:pPr>
              <w:spacing w:after="0"/>
              <w:rPr>
                <w:sz w:val="18"/>
                <w:szCs w:val="18"/>
                <w:color w:val="auto"/>
              </w:rPr>
            </w:pPr>
          </w:p>
        </w:tc>
      </w:tr>
      <w:tr>
        <w:trPr>
          <w:trHeight w:val="210"/>
        </w:trPr>
        <w:tc>
          <w:tcPr>
            <w:tcW w:w="40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impaired loans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4,940</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5,162</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4,638</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5,860</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4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0" w:type="dxa"/>
            <w:vAlign w:val="bottom"/>
            <w:gridSpan w:val="6"/>
          </w:tcPr>
          <w:p>
            <w:pPr>
              <w:jc w:val="center"/>
              <w:ind w:right="360"/>
              <w:spacing w:after="0"/>
              <w:rPr>
                <w:sz w:val="20"/>
                <w:szCs w:val="20"/>
                <w:color w:val="auto"/>
              </w:rPr>
            </w:pPr>
            <w:r>
              <w:rPr>
                <w:rFonts w:ascii="Arial" w:cs="Arial" w:eastAsia="Arial" w:hAnsi="Arial"/>
                <w:sz w:val="14"/>
                <w:szCs w:val="14"/>
                <w:b w:val="1"/>
                <w:bCs w:val="1"/>
                <w:color w:val="auto"/>
                <w:w w:val="95"/>
              </w:rPr>
              <w:t>Three Months Ended</w:t>
            </w:r>
          </w:p>
        </w:tc>
        <w:tc>
          <w:tcPr>
            <w:tcW w:w="140" w:type="dxa"/>
            <w:vAlign w:val="bottom"/>
          </w:tcPr>
          <w:p>
            <w:pPr>
              <w:spacing w:after="0"/>
              <w:rPr>
                <w:sz w:val="14"/>
                <w:szCs w:val="14"/>
                <w:color w:val="auto"/>
              </w:rPr>
            </w:pPr>
          </w:p>
        </w:tc>
        <w:tc>
          <w:tcPr>
            <w:tcW w:w="222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93"/>
              </w:rPr>
              <w:t>Nine Months Ended</w:t>
            </w:r>
          </w:p>
        </w:tc>
      </w:tr>
      <w:tr>
        <w:trPr>
          <w:trHeight w:val="171"/>
        </w:trPr>
        <w:tc>
          <w:tcPr>
            <w:tcW w:w="5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0" w:type="dxa"/>
            <w:vAlign w:val="bottom"/>
            <w:gridSpan w:val="6"/>
          </w:tcPr>
          <w:p>
            <w:pPr>
              <w:jc w:val="center"/>
              <w:ind w:right="360"/>
              <w:spacing w:after="0"/>
              <w:rPr>
                <w:sz w:val="20"/>
                <w:szCs w:val="20"/>
                <w:color w:val="auto"/>
              </w:rPr>
            </w:pPr>
            <w:r>
              <w:rPr>
                <w:rFonts w:ascii="Arial" w:cs="Arial" w:eastAsia="Arial" w:hAnsi="Arial"/>
                <w:sz w:val="14"/>
                <w:szCs w:val="14"/>
                <w:b w:val="1"/>
                <w:bCs w:val="1"/>
                <w:color w:val="auto"/>
                <w:w w:val="96"/>
              </w:rPr>
              <w:t>March 31, 2013</w:t>
            </w:r>
          </w:p>
        </w:tc>
        <w:tc>
          <w:tcPr>
            <w:tcW w:w="140" w:type="dxa"/>
            <w:vAlign w:val="bottom"/>
          </w:tcPr>
          <w:p>
            <w:pPr>
              <w:spacing w:after="0"/>
              <w:rPr>
                <w:sz w:val="14"/>
                <w:szCs w:val="14"/>
                <w:color w:val="auto"/>
              </w:rPr>
            </w:pPr>
          </w:p>
        </w:tc>
        <w:tc>
          <w:tcPr>
            <w:tcW w:w="222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94"/>
              </w:rPr>
              <w:t>March 31, 2013</w:t>
            </w:r>
          </w:p>
        </w:tc>
      </w:tr>
      <w:tr>
        <w:trPr>
          <w:trHeight w:val="119"/>
        </w:trPr>
        <w:tc>
          <w:tcPr>
            <w:tcW w:w="50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w w:val="97"/>
              </w:rPr>
              <w:t>Average</w:t>
            </w:r>
          </w:p>
        </w:tc>
        <w:tc>
          <w:tcPr>
            <w:tcW w:w="1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center"/>
              <w:ind w:right="35"/>
              <w:spacing w:after="0" w:line="119" w:lineRule="exact"/>
              <w:rPr>
                <w:sz w:val="20"/>
                <w:szCs w:val="20"/>
                <w:color w:val="auto"/>
              </w:rPr>
            </w:pPr>
            <w:r>
              <w:rPr>
                <w:rFonts w:ascii="Arial" w:cs="Arial" w:eastAsia="Arial" w:hAnsi="Arial"/>
                <w:sz w:val="13"/>
                <w:szCs w:val="13"/>
                <w:b w:val="1"/>
                <w:bCs w:val="1"/>
                <w:color w:val="auto"/>
              </w:rPr>
              <w:t>Interest</w:t>
            </w:r>
          </w:p>
        </w:tc>
        <w:tc>
          <w:tcPr>
            <w:tcW w:w="2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7"/>
              </w:rPr>
              <w:t>Average</w:t>
            </w: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center"/>
              <w:ind w:right="14"/>
              <w:spacing w:after="0" w:line="119" w:lineRule="exact"/>
              <w:rPr>
                <w:sz w:val="20"/>
                <w:szCs w:val="20"/>
                <w:color w:val="auto"/>
              </w:rPr>
            </w:pPr>
            <w:r>
              <w:rPr>
                <w:rFonts w:ascii="Arial" w:cs="Arial" w:eastAsia="Arial" w:hAnsi="Arial"/>
                <w:sz w:val="13"/>
                <w:szCs w:val="13"/>
                <w:b w:val="1"/>
                <w:bCs w:val="1"/>
                <w:color w:val="auto"/>
              </w:rPr>
              <w:t>Interest</w:t>
            </w:r>
          </w:p>
        </w:tc>
        <w:tc>
          <w:tcPr>
            <w:tcW w:w="100" w:type="dxa"/>
            <w:vAlign w:val="bottom"/>
          </w:tcPr>
          <w:p>
            <w:pPr>
              <w:spacing w:after="0"/>
              <w:rPr>
                <w:sz w:val="10"/>
                <w:szCs w:val="10"/>
                <w:color w:val="auto"/>
              </w:rPr>
            </w:pPr>
          </w:p>
        </w:tc>
      </w:tr>
      <w:tr>
        <w:trPr>
          <w:trHeight w:val="149"/>
        </w:trPr>
        <w:tc>
          <w:tcPr>
            <w:tcW w:w="5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Recorded</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Income</w:t>
            </w:r>
          </w:p>
        </w:tc>
        <w:tc>
          <w:tcPr>
            <w:tcW w:w="14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Recorded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Income</w:t>
            </w:r>
          </w:p>
        </w:tc>
      </w:tr>
      <w:tr>
        <w:trPr>
          <w:trHeight w:val="171"/>
        </w:trPr>
        <w:tc>
          <w:tcPr>
            <w:tcW w:w="5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Investment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Recognized</w:t>
            </w:r>
          </w:p>
        </w:tc>
        <w:tc>
          <w:tcPr>
            <w:tcW w:w="14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Investment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Recognized</w:t>
            </w:r>
          </w:p>
        </w:tc>
      </w:tr>
      <w:tr>
        <w:trPr>
          <w:trHeight w:val="142"/>
        </w:trPr>
        <w:tc>
          <w:tcPr>
            <w:tcW w:w="50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280" w:type="dxa"/>
            <w:vAlign w:val="bottom"/>
            <w:tcBorders>
              <w:top w:val="single" w:sz="8" w:color="auto"/>
            </w:tcBorders>
            <w:gridSpan w:val="5"/>
          </w:tcPr>
          <w:p>
            <w:pPr>
              <w:ind w:left="320"/>
              <w:spacing w:after="0" w:line="142" w:lineRule="exact"/>
              <w:rPr>
                <w:sz w:val="20"/>
                <w:szCs w:val="20"/>
                <w:color w:val="auto"/>
              </w:rPr>
            </w:pPr>
            <w:r>
              <w:rPr>
                <w:rFonts w:ascii="Arial" w:cs="Arial" w:eastAsia="Arial" w:hAnsi="Arial"/>
                <w:sz w:val="14"/>
                <w:szCs w:val="14"/>
                <w:b w:val="1"/>
                <w:bCs w:val="1"/>
                <w:color w:val="auto"/>
              </w:rPr>
              <w:t>(Dollars in thousands)</w:t>
            </w: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Impaired loans without a valuation allowance:</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Originated:</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Residential real estate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1,097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Consumer</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1,375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Commercial business</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Purchased:</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Commercial real estate</w:t>
            </w:r>
          </w:p>
        </w:tc>
        <w:tc>
          <w:tcPr>
            <w:tcW w:w="1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Residential real estate</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r>
      <w:tr>
        <w:trPr>
          <w:trHeight w:val="210"/>
        </w:trPr>
        <w:tc>
          <w:tcPr>
            <w:tcW w:w="5000" w:type="dxa"/>
            <w:vAlign w:val="bottom"/>
          </w:tcPr>
          <w:p>
            <w:pPr>
              <w:ind w:left="18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2,622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2,680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8"/>
                <w:szCs w:val="18"/>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Impaired loans with a valuation allowance:</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Originated:</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Residential real estate</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1,459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Consumer</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Commercial business</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Purchased:</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Commercial real estate</w:t>
            </w:r>
          </w:p>
        </w:tc>
        <w:tc>
          <w:tcPr>
            <w:tcW w:w="1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Residential real estate</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r>
      <w:tr>
        <w:trPr>
          <w:trHeight w:val="210"/>
        </w:trPr>
        <w:tc>
          <w:tcPr>
            <w:tcW w:w="50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2,336</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2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1,871</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tcPr>
          <w:p>
            <w:pPr>
              <w:spacing w:after="0"/>
              <w:rPr>
                <w:sz w:val="18"/>
                <w:szCs w:val="18"/>
                <w:color w:val="auto"/>
              </w:rPr>
            </w:pPr>
          </w:p>
        </w:tc>
      </w:tr>
      <w:tr>
        <w:trPr>
          <w:trHeight w:val="210"/>
        </w:trPr>
        <w:tc>
          <w:tcPr>
            <w:tcW w:w="50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impaired loans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4,958</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4,551</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5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22"/>
        </w:trPr>
        <w:tc>
          <w:tcPr>
            <w:tcW w:w="5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0" w:type="dxa"/>
            <w:vAlign w:val="bottom"/>
            <w:gridSpan w:val="6"/>
          </w:tcPr>
          <w:p>
            <w:pPr>
              <w:jc w:val="center"/>
              <w:ind w:right="360"/>
              <w:spacing w:after="0"/>
              <w:rPr>
                <w:sz w:val="20"/>
                <w:szCs w:val="20"/>
                <w:color w:val="auto"/>
              </w:rPr>
            </w:pPr>
            <w:r>
              <w:rPr>
                <w:rFonts w:ascii="Arial" w:cs="Arial" w:eastAsia="Arial" w:hAnsi="Arial"/>
                <w:sz w:val="14"/>
                <w:szCs w:val="14"/>
                <w:b w:val="1"/>
                <w:bCs w:val="1"/>
                <w:color w:val="auto"/>
                <w:w w:val="95"/>
              </w:rPr>
              <w:t>Three Months Ended</w:t>
            </w:r>
          </w:p>
        </w:tc>
        <w:tc>
          <w:tcPr>
            <w:tcW w:w="140" w:type="dxa"/>
            <w:vAlign w:val="bottom"/>
          </w:tcPr>
          <w:p>
            <w:pPr>
              <w:spacing w:after="0"/>
              <w:rPr>
                <w:sz w:val="24"/>
                <w:szCs w:val="24"/>
                <w:color w:val="auto"/>
              </w:rPr>
            </w:pPr>
          </w:p>
        </w:tc>
        <w:tc>
          <w:tcPr>
            <w:tcW w:w="222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93"/>
              </w:rPr>
              <w:t>Nine Months Ended</w:t>
            </w:r>
          </w:p>
        </w:tc>
      </w:tr>
      <w:tr>
        <w:trPr>
          <w:trHeight w:val="171"/>
        </w:trPr>
        <w:tc>
          <w:tcPr>
            <w:tcW w:w="5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0" w:type="dxa"/>
            <w:vAlign w:val="bottom"/>
            <w:gridSpan w:val="6"/>
          </w:tcPr>
          <w:p>
            <w:pPr>
              <w:jc w:val="center"/>
              <w:ind w:right="360"/>
              <w:spacing w:after="0"/>
              <w:rPr>
                <w:sz w:val="20"/>
                <w:szCs w:val="20"/>
                <w:color w:val="auto"/>
              </w:rPr>
            </w:pPr>
            <w:r>
              <w:rPr>
                <w:rFonts w:ascii="Arial" w:cs="Arial" w:eastAsia="Arial" w:hAnsi="Arial"/>
                <w:sz w:val="14"/>
                <w:szCs w:val="14"/>
                <w:b w:val="1"/>
                <w:bCs w:val="1"/>
                <w:color w:val="auto"/>
                <w:w w:val="96"/>
              </w:rPr>
              <w:t>March 31, 2012</w:t>
            </w:r>
          </w:p>
        </w:tc>
        <w:tc>
          <w:tcPr>
            <w:tcW w:w="140" w:type="dxa"/>
            <w:vAlign w:val="bottom"/>
          </w:tcPr>
          <w:p>
            <w:pPr>
              <w:spacing w:after="0"/>
              <w:rPr>
                <w:sz w:val="14"/>
                <w:szCs w:val="14"/>
                <w:color w:val="auto"/>
              </w:rPr>
            </w:pPr>
          </w:p>
        </w:tc>
        <w:tc>
          <w:tcPr>
            <w:tcW w:w="222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94"/>
              </w:rPr>
              <w:t>March 31, 2012</w:t>
            </w:r>
          </w:p>
        </w:tc>
      </w:tr>
      <w:tr>
        <w:trPr>
          <w:trHeight w:val="119"/>
        </w:trPr>
        <w:tc>
          <w:tcPr>
            <w:tcW w:w="50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w w:val="97"/>
              </w:rPr>
              <w:t>Average</w:t>
            </w:r>
          </w:p>
        </w:tc>
        <w:tc>
          <w:tcPr>
            <w:tcW w:w="1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center"/>
              <w:ind w:right="35"/>
              <w:spacing w:after="0" w:line="119" w:lineRule="exact"/>
              <w:rPr>
                <w:sz w:val="20"/>
                <w:szCs w:val="20"/>
                <w:color w:val="auto"/>
              </w:rPr>
            </w:pPr>
            <w:r>
              <w:rPr>
                <w:rFonts w:ascii="Arial" w:cs="Arial" w:eastAsia="Arial" w:hAnsi="Arial"/>
                <w:sz w:val="13"/>
                <w:szCs w:val="13"/>
                <w:b w:val="1"/>
                <w:bCs w:val="1"/>
                <w:color w:val="auto"/>
              </w:rPr>
              <w:t>Interest</w:t>
            </w:r>
          </w:p>
        </w:tc>
        <w:tc>
          <w:tcPr>
            <w:tcW w:w="2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7"/>
              </w:rPr>
              <w:t>Average</w:t>
            </w: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center"/>
              <w:ind w:right="14"/>
              <w:spacing w:after="0" w:line="119" w:lineRule="exact"/>
              <w:rPr>
                <w:sz w:val="20"/>
                <w:szCs w:val="20"/>
                <w:color w:val="auto"/>
              </w:rPr>
            </w:pPr>
            <w:r>
              <w:rPr>
                <w:rFonts w:ascii="Arial" w:cs="Arial" w:eastAsia="Arial" w:hAnsi="Arial"/>
                <w:sz w:val="13"/>
                <w:szCs w:val="13"/>
                <w:b w:val="1"/>
                <w:bCs w:val="1"/>
                <w:color w:val="auto"/>
              </w:rPr>
              <w:t>Interest</w:t>
            </w:r>
          </w:p>
        </w:tc>
        <w:tc>
          <w:tcPr>
            <w:tcW w:w="100" w:type="dxa"/>
            <w:vAlign w:val="bottom"/>
          </w:tcPr>
          <w:p>
            <w:pPr>
              <w:spacing w:after="0"/>
              <w:rPr>
                <w:sz w:val="10"/>
                <w:szCs w:val="10"/>
                <w:color w:val="auto"/>
              </w:rPr>
            </w:pPr>
          </w:p>
        </w:tc>
      </w:tr>
      <w:tr>
        <w:trPr>
          <w:trHeight w:val="149"/>
        </w:trPr>
        <w:tc>
          <w:tcPr>
            <w:tcW w:w="5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Recorded</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Income</w:t>
            </w:r>
          </w:p>
        </w:tc>
        <w:tc>
          <w:tcPr>
            <w:tcW w:w="14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Recorded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Income</w:t>
            </w:r>
          </w:p>
        </w:tc>
      </w:tr>
      <w:tr>
        <w:trPr>
          <w:trHeight w:val="171"/>
        </w:trPr>
        <w:tc>
          <w:tcPr>
            <w:tcW w:w="5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Investment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Recognized</w:t>
            </w:r>
          </w:p>
        </w:tc>
        <w:tc>
          <w:tcPr>
            <w:tcW w:w="14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Investment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Recognized</w:t>
            </w:r>
          </w:p>
        </w:tc>
      </w:tr>
      <w:tr>
        <w:trPr>
          <w:trHeight w:val="142"/>
        </w:trPr>
        <w:tc>
          <w:tcPr>
            <w:tcW w:w="50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280" w:type="dxa"/>
            <w:vAlign w:val="bottom"/>
            <w:tcBorders>
              <w:top w:val="single" w:sz="8" w:color="auto"/>
            </w:tcBorders>
            <w:gridSpan w:val="5"/>
          </w:tcPr>
          <w:p>
            <w:pPr>
              <w:ind w:left="320"/>
              <w:spacing w:after="0" w:line="142" w:lineRule="exact"/>
              <w:rPr>
                <w:sz w:val="20"/>
                <w:szCs w:val="20"/>
                <w:color w:val="auto"/>
              </w:rPr>
            </w:pPr>
            <w:r>
              <w:rPr>
                <w:rFonts w:ascii="Arial" w:cs="Arial" w:eastAsia="Arial" w:hAnsi="Arial"/>
                <w:sz w:val="14"/>
                <w:szCs w:val="14"/>
                <w:b w:val="1"/>
                <w:bCs w:val="1"/>
                <w:color w:val="auto"/>
              </w:rPr>
              <w:t>(Dollars in thousands)</w:t>
            </w: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Impaired loans without a valuation allowance:</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Originated:</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Residential real estate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Consumer</w:t>
            </w:r>
          </w:p>
        </w:tc>
        <w:tc>
          <w:tcPr>
            <w:tcW w:w="1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1,540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Commercial business</w:t>
            </w:r>
          </w:p>
        </w:tc>
        <w:tc>
          <w:tcPr>
            <w:tcW w:w="1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483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555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Purchased:</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Commercial real estate</w:t>
            </w:r>
          </w:p>
        </w:tc>
        <w:tc>
          <w:tcPr>
            <w:tcW w:w="1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Residential real estate</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r>
      <w:tr>
        <w:trPr>
          <w:trHeight w:val="210"/>
        </w:trPr>
        <w:tc>
          <w:tcPr>
            <w:tcW w:w="5000" w:type="dxa"/>
            <w:vAlign w:val="bottom"/>
          </w:tcPr>
          <w:p>
            <w:pPr>
              <w:ind w:left="18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2,464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8"/>
                <w:szCs w:val="18"/>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Impaired loans with a valuation allowance:</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Originated:</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Residential real estate</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Consumer</w:t>
            </w:r>
          </w:p>
        </w:tc>
        <w:tc>
          <w:tcPr>
            <w:tcW w:w="1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Commercial business</w:t>
            </w:r>
          </w:p>
        </w:tc>
        <w:tc>
          <w:tcPr>
            <w:tcW w:w="1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664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r>
      <w:tr>
        <w:trPr>
          <w:trHeight w:val="124"/>
        </w:trPr>
        <w:tc>
          <w:tcPr>
            <w:tcW w:w="50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bl>
    <w:p>
      <w:pPr>
        <w:sectPr>
          <w:pgSz w:w="11900" w:h="16900" w:orient="portrait"/>
          <w:cols w:equalWidth="0" w:num="1">
            <w:col w:w="11420"/>
          </w:cols>
          <w:pgMar w:left="240" w:top="118" w:right="239" w:bottom="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Purchased:</w:t>
            </w: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Commercial real estate</w:t>
            </w:r>
          </w:p>
        </w:tc>
        <w:tc>
          <w:tcPr>
            <w:tcW w:w="3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3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1560" w:type="dxa"/>
            <w:vAlign w:val="bottom"/>
          </w:tcPr>
          <w:p>
            <w:pPr>
              <w:spacing w:after="0"/>
              <w:rPr>
                <w:sz w:val="18"/>
                <w:szCs w:val="18"/>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Residential real estate</w:t>
            </w:r>
          </w:p>
        </w:tc>
        <w:tc>
          <w:tcPr>
            <w:tcW w:w="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3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1560" w:type="dxa"/>
            <w:vAlign w:val="bottom"/>
          </w:tcPr>
          <w:p>
            <w:pPr>
              <w:spacing w:after="0"/>
              <w:rPr>
                <w:sz w:val="18"/>
                <w:szCs w:val="18"/>
                <w:color w:val="auto"/>
              </w:rPr>
            </w:pPr>
          </w:p>
        </w:tc>
      </w:tr>
      <w:tr>
        <w:trPr>
          <w:trHeight w:val="210"/>
        </w:trPr>
        <w:tc>
          <w:tcPr>
            <w:tcW w:w="50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1,438</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2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1,457</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tcPr>
          <w:p>
            <w:pPr>
              <w:spacing w:after="0"/>
              <w:rPr>
                <w:sz w:val="18"/>
                <w:szCs w:val="18"/>
                <w:color w:val="auto"/>
              </w:rPr>
            </w:pPr>
          </w:p>
        </w:tc>
        <w:tc>
          <w:tcPr>
            <w:tcW w:w="1560" w:type="dxa"/>
            <w:vAlign w:val="bottom"/>
          </w:tcPr>
          <w:p>
            <w:pPr>
              <w:spacing w:after="0"/>
              <w:rPr>
                <w:sz w:val="18"/>
                <w:szCs w:val="18"/>
                <w:color w:val="auto"/>
              </w:rPr>
            </w:pPr>
          </w:p>
        </w:tc>
      </w:tr>
      <w:tr>
        <w:trPr>
          <w:trHeight w:val="210"/>
        </w:trPr>
        <w:tc>
          <w:tcPr>
            <w:tcW w:w="50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impaired loans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3,902</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3,260</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18"/>
                <w:szCs w:val="18"/>
                <w:color w:val="auto"/>
              </w:rPr>
            </w:pPr>
          </w:p>
        </w:tc>
        <w:tc>
          <w:tcPr>
            <w:tcW w:w="1560" w:type="dxa"/>
            <w:vAlign w:val="bottom"/>
          </w:tcPr>
          <w:p>
            <w:pPr>
              <w:spacing w:after="0"/>
              <w:rPr>
                <w:sz w:val="18"/>
                <w:szCs w:val="18"/>
                <w:color w:val="auto"/>
              </w:rPr>
            </w:pPr>
          </w:p>
        </w:tc>
      </w:tr>
      <w:tr>
        <w:trPr>
          <w:trHeight w:val="20"/>
        </w:trPr>
        <w:tc>
          <w:tcPr>
            <w:tcW w:w="50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413"/>
        </w:trPr>
        <w:tc>
          <w:tcPr>
            <w:tcW w:w="5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32"/>
        </w:trPr>
        <w:tc>
          <w:tcPr>
            <w:tcW w:w="500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68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460" w:type="dxa"/>
            <w:vAlign w:val="bottom"/>
            <w:tcBorders>
              <w:bottom w:val="single" w:sz="8" w:color="010101"/>
            </w:tcBorders>
          </w:tcPr>
          <w:p>
            <w:pPr>
              <w:spacing w:after="0"/>
              <w:rPr>
                <w:sz w:val="11"/>
                <w:szCs w:val="11"/>
                <w:color w:val="auto"/>
              </w:rPr>
            </w:pPr>
          </w:p>
        </w:tc>
        <w:tc>
          <w:tcPr>
            <w:tcW w:w="5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6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6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56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Credit Quality</w:t>
      </w:r>
    </w:p>
    <w:p>
      <w:pPr>
        <w:spacing w:after="0" w:line="225"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The Company utilizes a ten-point internal loan rating system for its purchased loan portfolio and originated commercial real estate, construction and commercial business loans as follows:</w:t>
      </w:r>
    </w:p>
    <w:p>
      <w:pPr>
        <w:spacing w:after="0" w:line="1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Loans rated 1 – 6: Loans in these categories are considered “pass” rated loans. Loans in categories 1-5 are considered to have low to average risk. Loans rated 6 are considered marginally acceptable business credits and have more than average risk.</w:t>
      </w:r>
    </w:p>
    <w:p>
      <w:pPr>
        <w:spacing w:after="0" w:line="1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Loans rated 7: Loans in this category are considered “special mention.” These loans show signs of potential weakness and are being closely monitored by management.</w:t>
      </w:r>
    </w:p>
    <w:p>
      <w:pPr>
        <w:spacing w:after="0" w:line="170"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Loans rated 8: Loans in this category are considered “substandard.” Loans classified as substandard are inadequately protected by the current sound worth and paying capacity of the obligor or of the collateral pledged, if any. Assets so classified have a well defined weakness or weaknesses that jeopardize the orderly liquidation of the debt.</w:t>
      </w:r>
    </w:p>
    <w:p>
      <w:pPr>
        <w:spacing w:after="0" w:line="181"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Loans rated 9: Loans in this category are considered “doubtful.” Loans classified as doubtful have all the weaknesses inherent in one graded 8 with the added characteristic that the weaknesses make collection or liquidation in full, on the basis of currently existing facts, conditions and values, highly questionable and improbable.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Loans rated 10: Loans in this category are considered “loss” and of such little value that their continuance as loans is not warranted.</w:t>
      </w:r>
    </w:p>
    <w:p>
      <w:pPr>
        <w:spacing w:after="0" w:line="225" w:lineRule="exact"/>
        <w:rPr>
          <w:sz w:val="20"/>
          <w:szCs w:val="20"/>
          <w:color w:val="auto"/>
        </w:rPr>
      </w:pPr>
    </w:p>
    <w:p>
      <w:pPr>
        <w:jc w:val="both"/>
        <w:ind w:right="100"/>
        <w:spacing w:after="0" w:line="302" w:lineRule="auto"/>
        <w:rPr>
          <w:sz w:val="20"/>
          <w:szCs w:val="20"/>
          <w:color w:val="auto"/>
        </w:rPr>
      </w:pPr>
      <w:r>
        <w:rPr>
          <w:rFonts w:ascii="Arial" w:cs="Arial" w:eastAsia="Arial" w:hAnsi="Arial"/>
          <w:sz w:val="16"/>
          <w:szCs w:val="16"/>
          <w:color w:val="auto"/>
        </w:rPr>
        <w:t>On an annual basis, or more often if needed, the Company formally reviews the ratings of all commercial real estate, construction, and commercial business loans. Semi-annually, the Company engages an independent third-party to review a significant portion of loans within these segments. Management uses the results of these reviews as part of its annual review process. Risk ratings on purchased loans, with and without evidence of credit deterioration at acquisition, are determined relative to the Company’s recorded investment in that loan, which may be significantly lower than the loan’s unpaid principal balance.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Company’s commercial loans by risk rating.</w:t>
      </w:r>
    </w:p>
    <w:p>
      <w:pPr>
        <w:sectPr>
          <w:pgSz w:w="11900" w:h="16838" w:orient="portrait"/>
          <w:cols w:equalWidth="0" w:num="1">
            <w:col w:w="11460"/>
          </w:cols>
          <w:pgMar w:left="240" w:top="140" w:right="1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980"/>
        <w:spacing w:after="0"/>
        <w:rPr>
          <w:sz w:val="20"/>
          <w:szCs w:val="20"/>
          <w:color w:val="auto"/>
        </w:rPr>
      </w:pPr>
      <w:r>
        <w:rPr>
          <w:rFonts w:ascii="Arial" w:cs="Arial" w:eastAsia="Arial" w:hAnsi="Arial"/>
          <w:sz w:val="16"/>
          <w:szCs w:val="16"/>
          <w:color w:val="auto"/>
        </w:rPr>
        <w:t>Loans rated 1- 6</w:t>
      </w:r>
    </w:p>
    <w:p>
      <w:pPr>
        <w:spacing w:after="0" w:line="4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Loans rated 7</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Loans rated 8</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Loans rated 9</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7"/>
          <w:szCs w:val="17"/>
          <w:color w:val="auto"/>
        </w:rPr>
        <w:t>Loans rated 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980"/>
        <w:spacing w:after="0"/>
        <w:rPr>
          <w:sz w:val="20"/>
          <w:szCs w:val="20"/>
          <w:color w:val="auto"/>
        </w:rPr>
      </w:pPr>
      <w:r>
        <w:rPr>
          <w:rFonts w:ascii="Arial" w:cs="Arial" w:eastAsia="Arial" w:hAnsi="Arial"/>
          <w:sz w:val="16"/>
          <w:szCs w:val="16"/>
          <w:color w:val="auto"/>
        </w:rPr>
        <w:t>Loans rated 1- 6</w:t>
      </w:r>
    </w:p>
    <w:p>
      <w:pPr>
        <w:spacing w:after="0" w:line="4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Loans rated 7</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Loans rated 8</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Loans rated 9</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7"/>
          <w:szCs w:val="17"/>
          <w:color w:val="auto"/>
        </w:rPr>
        <w:t>Loans rated 10</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ind w:left="2680"/>
        <w:spacing w:after="0"/>
        <w:rPr>
          <w:sz w:val="20"/>
          <w:szCs w:val="20"/>
          <w:color w:val="auto"/>
        </w:rPr>
      </w:pPr>
      <w:r>
        <w:rPr>
          <w:rFonts w:ascii="Arial" w:cs="Arial" w:eastAsia="Arial" w:hAnsi="Arial"/>
          <w:sz w:val="14"/>
          <w:szCs w:val="14"/>
          <w:b w:val="1"/>
          <w:bCs w:val="1"/>
          <w:color w:val="auto"/>
        </w:rPr>
        <w:t>March 31, 2013</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500" w:type="dxa"/>
            <w:vAlign w:val="bottom"/>
            <w:tcBorders>
              <w:top w:val="single" w:sz="8" w:color="auto"/>
              <w:bottom w:val="single" w:sz="8" w:color="auto"/>
            </w:tcBorders>
            <w:gridSpan w:val="3"/>
          </w:tcPr>
          <w:p>
            <w:pPr>
              <w:jc w:val="center"/>
              <w:ind w:right="140"/>
              <w:spacing w:after="0" w:line="142" w:lineRule="exact"/>
              <w:rPr>
                <w:sz w:val="20"/>
                <w:szCs w:val="20"/>
                <w:color w:val="auto"/>
              </w:rPr>
            </w:pPr>
            <w:r>
              <w:rPr>
                <w:rFonts w:ascii="Arial" w:cs="Arial" w:eastAsia="Arial" w:hAnsi="Arial"/>
                <w:sz w:val="14"/>
                <w:szCs w:val="14"/>
                <w:b w:val="1"/>
                <w:bCs w:val="1"/>
                <w:color w:val="auto"/>
                <w:w w:val="94"/>
              </w:rPr>
              <w:t>Originated Portfolio</w:t>
            </w:r>
          </w:p>
        </w:tc>
        <w:tc>
          <w:tcPr>
            <w:tcW w:w="14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40" w:type="dxa"/>
            <w:vAlign w:val="bottom"/>
            <w:tcBorders>
              <w:top w:val="single" w:sz="8" w:color="auto"/>
              <w:bottom w:val="single" w:sz="8" w:color="auto"/>
            </w:tcBorders>
            <w:vMerge w:val="restart"/>
          </w:tcPr>
          <w:p>
            <w:pPr>
              <w:jc w:val="center"/>
              <w:ind w:right="134"/>
              <w:spacing w:after="0"/>
              <w:rPr>
                <w:sz w:val="20"/>
                <w:szCs w:val="20"/>
                <w:color w:val="auto"/>
              </w:rPr>
            </w:pPr>
            <w:r>
              <w:rPr>
                <w:rFonts w:ascii="Arial" w:cs="Arial" w:eastAsia="Arial" w:hAnsi="Arial"/>
                <w:sz w:val="14"/>
                <w:szCs w:val="14"/>
                <w:b w:val="1"/>
                <w:bCs w:val="1"/>
                <w:color w:val="auto"/>
                <w:w w:val="89"/>
              </w:rPr>
              <w:t>Purchased</w:t>
            </w: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0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rPr>
              <w:t>Commercial</w:t>
            </w: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1"/>
              </w:rPr>
              <w:t>Construction</w:t>
            </w: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80" w:type="dxa"/>
            <w:vAlign w:val="bottom"/>
          </w:tcPr>
          <w:p>
            <w:pPr>
              <w:jc w:val="center"/>
              <w:ind w:right="215"/>
              <w:spacing w:after="0" w:line="119" w:lineRule="exact"/>
              <w:rPr>
                <w:sz w:val="20"/>
                <w:szCs w:val="20"/>
                <w:color w:val="auto"/>
              </w:rPr>
            </w:pPr>
            <w:r>
              <w:rPr>
                <w:rFonts w:ascii="Arial" w:cs="Arial" w:eastAsia="Arial" w:hAnsi="Arial"/>
                <w:sz w:val="13"/>
                <w:szCs w:val="13"/>
                <w:b w:val="1"/>
                <w:bCs w:val="1"/>
                <w:color w:val="auto"/>
                <w:w w:val="99"/>
              </w:rPr>
              <w:t>Commercial</w:t>
            </w: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Real Estate</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6"/>
              </w:rPr>
              <w:t>Business</w:t>
            </w:r>
          </w:p>
        </w:tc>
        <w:tc>
          <w:tcPr>
            <w:tcW w:w="22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Portfolio</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3100" w:type="dxa"/>
            <w:vAlign w:val="bottom"/>
            <w:tcBorders>
              <w:top w:val="single" w:sz="8" w:color="auto"/>
            </w:tcBorders>
            <w:gridSpan w:val="6"/>
          </w:tcPr>
          <w:p>
            <w:pPr>
              <w:jc w:val="center"/>
              <w:ind w:right="500"/>
              <w:spacing w:after="0" w:line="128" w:lineRule="exact"/>
              <w:rPr>
                <w:sz w:val="20"/>
                <w:szCs w:val="20"/>
                <w:color w:val="auto"/>
              </w:rPr>
            </w:pPr>
            <w:r>
              <w:rPr>
                <w:rFonts w:ascii="Arial" w:cs="Arial" w:eastAsia="Arial" w:hAnsi="Arial"/>
                <w:sz w:val="14"/>
                <w:szCs w:val="14"/>
                <w:b w:val="1"/>
                <w:bCs w:val="1"/>
                <w:color w:val="auto"/>
                <w:w w:val="91"/>
              </w:rPr>
              <w:t>(Dollars in thousands)</w:t>
            </w:r>
          </w:p>
        </w:tc>
        <w:tc>
          <w:tcPr>
            <w:tcW w:w="22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0" w:type="dxa"/>
            <w:vAlign w:val="bottom"/>
            <w:gridSpan w:val="2"/>
          </w:tcPr>
          <w:p>
            <w:pPr>
              <w:jc w:val="right"/>
              <w:ind w:right="70"/>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91,313</w:t>
            </w:r>
          </w:p>
        </w:tc>
        <w:tc>
          <w:tcPr>
            <w:tcW w:w="36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18"/>
                <w:szCs w:val="18"/>
                <w:color w:val="auto"/>
              </w:rPr>
            </w:pPr>
          </w:p>
        </w:tc>
        <w:tc>
          <w:tcPr>
            <w:tcW w:w="4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18,121</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127,591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4,587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87</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1,276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252</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97,176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center"/>
              <w:ind w:right="19"/>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18,460</w:t>
            </w:r>
          </w:p>
        </w:tc>
        <w:tc>
          <w:tcPr>
            <w:tcW w:w="2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130,502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4"/>
          </w:tcPr>
          <w:p>
            <w:pPr>
              <w:jc w:val="center"/>
              <w:ind w:left="775"/>
              <w:spacing w:after="0"/>
              <w:rPr>
                <w:sz w:val="20"/>
                <w:szCs w:val="20"/>
                <w:color w:val="auto"/>
              </w:rPr>
            </w:pPr>
            <w:r>
              <w:rPr>
                <w:rFonts w:ascii="Arial" w:cs="Arial" w:eastAsia="Arial" w:hAnsi="Arial"/>
                <w:sz w:val="14"/>
                <w:szCs w:val="14"/>
                <w:b w:val="1"/>
                <w:bCs w:val="1"/>
                <w:color w:val="auto"/>
                <w:w w:val="92"/>
              </w:rPr>
              <w:t>June 30, 2012</w:t>
            </w:r>
          </w:p>
        </w:tc>
        <w:tc>
          <w:tcPr>
            <w:tcW w:w="10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gridSpan w:val="3"/>
          </w:tcPr>
          <w:p>
            <w:pPr>
              <w:jc w:val="center"/>
              <w:ind w:right="140"/>
              <w:spacing w:after="0" w:line="142" w:lineRule="exact"/>
              <w:rPr>
                <w:sz w:val="20"/>
                <w:szCs w:val="20"/>
                <w:color w:val="auto"/>
              </w:rPr>
            </w:pPr>
            <w:r>
              <w:rPr>
                <w:rFonts w:ascii="Arial" w:cs="Arial" w:eastAsia="Arial" w:hAnsi="Arial"/>
                <w:sz w:val="14"/>
                <w:szCs w:val="14"/>
                <w:b w:val="1"/>
                <w:bCs w:val="1"/>
                <w:color w:val="auto"/>
                <w:w w:val="94"/>
              </w:rPr>
              <w:t>Originated Portfolio</w:t>
            </w:r>
          </w:p>
        </w:tc>
        <w:tc>
          <w:tcPr>
            <w:tcW w:w="14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Purchased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0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rPr>
              <w:t>Commercial</w:t>
            </w: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1"/>
              </w:rPr>
              <w:t>Construction</w:t>
            </w: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80" w:type="dxa"/>
            <w:vAlign w:val="bottom"/>
          </w:tcPr>
          <w:p>
            <w:pPr>
              <w:jc w:val="center"/>
              <w:ind w:right="215"/>
              <w:spacing w:after="0" w:line="119" w:lineRule="exact"/>
              <w:rPr>
                <w:sz w:val="20"/>
                <w:szCs w:val="20"/>
                <w:color w:val="auto"/>
              </w:rPr>
            </w:pPr>
            <w:r>
              <w:rPr>
                <w:rFonts w:ascii="Arial" w:cs="Arial" w:eastAsia="Arial" w:hAnsi="Arial"/>
                <w:sz w:val="13"/>
                <w:szCs w:val="13"/>
                <w:b w:val="1"/>
                <w:bCs w:val="1"/>
                <w:color w:val="auto"/>
                <w:w w:val="99"/>
              </w:rPr>
              <w:t>Commercial</w:t>
            </w: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Real Estate</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6"/>
              </w:rPr>
              <w:t>Business</w:t>
            </w:r>
          </w:p>
        </w:tc>
        <w:tc>
          <w:tcPr>
            <w:tcW w:w="22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Portfolio</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3100" w:type="dxa"/>
            <w:vAlign w:val="bottom"/>
            <w:tcBorders>
              <w:top w:val="single" w:sz="8" w:color="auto"/>
            </w:tcBorders>
            <w:gridSpan w:val="6"/>
          </w:tcPr>
          <w:p>
            <w:pPr>
              <w:jc w:val="center"/>
              <w:ind w:right="500"/>
              <w:spacing w:after="0" w:line="128" w:lineRule="exact"/>
              <w:rPr>
                <w:sz w:val="20"/>
                <w:szCs w:val="20"/>
                <w:color w:val="auto"/>
              </w:rPr>
            </w:pPr>
            <w:r>
              <w:rPr>
                <w:rFonts w:ascii="Arial" w:cs="Arial" w:eastAsia="Arial" w:hAnsi="Arial"/>
                <w:sz w:val="14"/>
                <w:szCs w:val="14"/>
                <w:b w:val="1"/>
                <w:bCs w:val="1"/>
                <w:color w:val="auto"/>
                <w:w w:val="91"/>
              </w:rPr>
              <w:t>(Dollars in thousands)</w:t>
            </w:r>
          </w:p>
        </w:tc>
        <w:tc>
          <w:tcPr>
            <w:tcW w:w="22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0" w:type="dxa"/>
            <w:vAlign w:val="bottom"/>
            <w:gridSpan w:val="2"/>
          </w:tcPr>
          <w:p>
            <w:pPr>
              <w:jc w:val="right"/>
              <w:ind w:right="70"/>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96,963</w:t>
            </w:r>
          </w:p>
        </w:tc>
        <w:tc>
          <w:tcPr>
            <w:tcW w:w="36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1,187</w:t>
            </w:r>
          </w:p>
        </w:tc>
        <w:tc>
          <w:tcPr>
            <w:tcW w:w="4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18,223</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83,415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1,886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250</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1,347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1,139</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100,196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center"/>
              <w:ind w:right="19"/>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19,612</w:t>
            </w:r>
          </w:p>
        </w:tc>
        <w:tc>
          <w:tcPr>
            <w:tcW w:w="2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84,470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gridSpan w:val="2"/>
          </w:tcPr>
          <w:p>
            <w:pPr>
              <w:jc w:val="center"/>
              <w:spacing w:after="0"/>
              <w:rPr>
                <w:sz w:val="20"/>
                <w:szCs w:val="20"/>
                <w:color w:val="auto"/>
              </w:rPr>
            </w:pPr>
            <w:r>
              <w:rPr>
                <w:rFonts w:ascii="Arial" w:cs="Arial" w:eastAsia="Arial" w:hAnsi="Arial"/>
                <w:sz w:val="18"/>
                <w:szCs w:val="18"/>
                <w:color w:val="auto"/>
                <w:w w:val="89"/>
              </w:rPr>
              <w:t>19</w:t>
            </w: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-1929765</wp:posOffset>
            </wp:positionH>
            <wp:positionV relativeFrom="paragraph">
              <wp:posOffset>-2623820</wp:posOffset>
            </wp:positionV>
            <wp:extent cx="6011545"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011545" cy="137160"/>
                    </a:xfrm>
                    <a:prstGeom prst="rect">
                      <a:avLst/>
                    </a:prstGeom>
                    <a:noFill/>
                  </pic:spPr>
                </pic:pic>
              </a:graphicData>
            </a:graphic>
          </wp:anchor>
        </w:drawing>
        <w:drawing>
          <wp:anchor simplePos="0" relativeHeight="251657728" behindDoc="1" locked="0" layoutInCell="0" allowOverlap="1">
            <wp:simplePos x="0" y="0"/>
            <wp:positionH relativeFrom="column">
              <wp:posOffset>-1929765</wp:posOffset>
            </wp:positionH>
            <wp:positionV relativeFrom="paragraph">
              <wp:posOffset>-2348865</wp:posOffset>
            </wp:positionV>
            <wp:extent cx="6011545"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011545" cy="137160"/>
                    </a:xfrm>
                    <a:prstGeom prst="rect">
                      <a:avLst/>
                    </a:prstGeom>
                    <a:noFill/>
                  </pic:spPr>
                </pic:pic>
              </a:graphicData>
            </a:graphic>
          </wp:anchor>
        </w:drawing>
        <w:drawing>
          <wp:anchor simplePos="0" relativeHeight="251657728" behindDoc="1" locked="0" layoutInCell="0" allowOverlap="1">
            <wp:simplePos x="0" y="0"/>
            <wp:positionH relativeFrom="column">
              <wp:posOffset>-1929765</wp:posOffset>
            </wp:positionH>
            <wp:positionV relativeFrom="paragraph">
              <wp:posOffset>-2074545</wp:posOffset>
            </wp:positionV>
            <wp:extent cx="6011545"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011545" cy="137160"/>
                    </a:xfrm>
                    <a:prstGeom prst="rect">
                      <a:avLst/>
                    </a:prstGeom>
                    <a:noFill/>
                  </pic:spPr>
                </pic:pic>
              </a:graphicData>
            </a:graphic>
          </wp:anchor>
        </w:drawing>
        <w:drawing>
          <wp:anchor simplePos="0" relativeHeight="251657728" behindDoc="1" locked="0" layoutInCell="0" allowOverlap="1">
            <wp:simplePos x="0" y="0"/>
            <wp:positionH relativeFrom="column">
              <wp:posOffset>-1929765</wp:posOffset>
            </wp:positionH>
            <wp:positionV relativeFrom="paragraph">
              <wp:posOffset>-1131570</wp:posOffset>
            </wp:positionV>
            <wp:extent cx="6011545"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011545" cy="137160"/>
                    </a:xfrm>
                    <a:prstGeom prst="rect">
                      <a:avLst/>
                    </a:prstGeom>
                    <a:noFill/>
                  </pic:spPr>
                </pic:pic>
              </a:graphicData>
            </a:graphic>
          </wp:anchor>
        </w:drawing>
        <w:drawing>
          <wp:anchor simplePos="0" relativeHeight="251657728" behindDoc="1" locked="0" layoutInCell="0" allowOverlap="1">
            <wp:simplePos x="0" y="0"/>
            <wp:positionH relativeFrom="column">
              <wp:posOffset>-1929765</wp:posOffset>
            </wp:positionH>
            <wp:positionV relativeFrom="paragraph">
              <wp:posOffset>-857250</wp:posOffset>
            </wp:positionV>
            <wp:extent cx="6011545"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011545" cy="137160"/>
                    </a:xfrm>
                    <a:prstGeom prst="rect">
                      <a:avLst/>
                    </a:prstGeom>
                    <a:noFill/>
                  </pic:spPr>
                </pic:pic>
              </a:graphicData>
            </a:graphic>
          </wp:anchor>
        </w:drawing>
        <w:drawing>
          <wp:anchor simplePos="0" relativeHeight="251657728" behindDoc="1" locked="0" layoutInCell="0" allowOverlap="1">
            <wp:simplePos x="0" y="0"/>
            <wp:positionH relativeFrom="column">
              <wp:posOffset>-1929765</wp:posOffset>
            </wp:positionH>
            <wp:positionV relativeFrom="paragraph">
              <wp:posOffset>-582295</wp:posOffset>
            </wp:positionV>
            <wp:extent cx="6011545"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011545" cy="137160"/>
                    </a:xfrm>
                    <a:prstGeom prst="rect">
                      <a:avLst/>
                    </a:prstGeom>
                    <a:noFill/>
                  </pic:spPr>
                </pic:pic>
              </a:graphicData>
            </a:graphic>
          </wp:anchor>
        </w:drawing>
        <w:drawing>
          <wp:anchor simplePos="0" relativeHeight="251657728" behindDoc="1" locked="0" layoutInCell="0" allowOverlap="1">
            <wp:simplePos x="0" y="0"/>
            <wp:positionH relativeFrom="column">
              <wp:posOffset>-2548890</wp:posOffset>
            </wp:positionH>
            <wp:positionV relativeFrom="paragraph">
              <wp:posOffset>66675</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300" w:space="720"/>
            <w:col w:w="7440"/>
          </w:cols>
          <w:pgMar w:left="240" w:top="140" w:right="199" w:bottom="0" w:gutter="0" w:footer="0" w:header="0"/>
          <w:type w:val="continuous"/>
        </w:sectPr>
      </w:pPr>
    </w:p>
    <w:p>
      <w:pPr>
        <w:spacing w:after="0" w:line="285"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past due and non-accrual loans: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 2013</w:t>
            </w:r>
          </w:p>
        </w:tc>
        <w:tc>
          <w:tcPr>
            <w:tcW w:w="7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2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20" w:type="dxa"/>
            <w:vAlign w:val="bottom"/>
          </w:tcPr>
          <w:p>
            <w:pPr>
              <w:jc w:val="center"/>
              <w:ind w:left="165"/>
              <w:spacing w:after="0" w:line="119" w:lineRule="exact"/>
              <w:rPr>
                <w:sz w:val="20"/>
                <w:szCs w:val="20"/>
                <w:color w:val="auto"/>
              </w:rPr>
            </w:pPr>
            <w:r>
              <w:rPr>
                <w:rFonts w:ascii="Arial" w:cs="Arial" w:eastAsia="Arial" w:hAnsi="Arial"/>
                <w:sz w:val="13"/>
                <w:szCs w:val="13"/>
                <w:b w:val="1"/>
                <w:bCs w:val="1"/>
                <w:color w:val="auto"/>
              </w:rPr>
              <w:t>Past Due</w:t>
            </w: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jc w:val="center"/>
              <w:ind w:right="124"/>
              <w:spacing w:after="0" w:line="119" w:lineRule="exact"/>
              <w:rPr>
                <w:sz w:val="20"/>
                <w:szCs w:val="20"/>
                <w:color w:val="auto"/>
              </w:rPr>
            </w:pPr>
            <w:r>
              <w:rPr>
                <w:rFonts w:ascii="Arial" w:cs="Arial" w:eastAsia="Arial" w:hAnsi="Arial"/>
                <w:sz w:val="13"/>
                <w:szCs w:val="13"/>
                <w:b w:val="1"/>
                <w:bCs w:val="1"/>
                <w:color w:val="auto"/>
                <w:w w:val="96"/>
              </w:rPr>
              <w:t>Past Due</w:t>
            </w:r>
          </w:p>
        </w:tc>
        <w:tc>
          <w:tcPr>
            <w:tcW w:w="380" w:type="dxa"/>
            <w:vAlign w:val="bottom"/>
          </w:tcPr>
          <w:p>
            <w:pPr>
              <w:spacing w:after="0"/>
              <w:rPr>
                <w:sz w:val="10"/>
                <w:szCs w:val="10"/>
                <w:color w:val="auto"/>
              </w:rPr>
            </w:pPr>
          </w:p>
        </w:tc>
        <w:tc>
          <w:tcPr>
            <w:tcW w:w="720" w:type="dxa"/>
            <w:vAlign w:val="bottom"/>
            <w:vMerge w:val="restart"/>
          </w:tcPr>
          <w:p>
            <w:pPr>
              <w:jc w:val="center"/>
              <w:ind w:right="321"/>
              <w:spacing w:after="0"/>
              <w:rPr>
                <w:sz w:val="20"/>
                <w:szCs w:val="20"/>
                <w:color w:val="auto"/>
              </w:rPr>
            </w:pPr>
            <w:r>
              <w:rPr>
                <w:rFonts w:ascii="Arial" w:cs="Arial" w:eastAsia="Arial" w:hAnsi="Arial"/>
                <w:sz w:val="14"/>
                <w:szCs w:val="14"/>
                <w:b w:val="1"/>
                <w:bCs w:val="1"/>
                <w:color w:val="auto"/>
                <w:w w:val="95"/>
              </w:rPr>
              <w:t>Total</w:t>
            </w: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Non-</w:t>
            </w:r>
          </w:p>
        </w:tc>
        <w:tc>
          <w:tcPr>
            <w:tcW w:w="0" w:type="dxa"/>
            <w:vAlign w:val="bottom"/>
          </w:tcPr>
          <w:p>
            <w:pPr>
              <w:spacing w:after="0"/>
              <w:rPr>
                <w:sz w:val="1"/>
                <w:szCs w:val="1"/>
                <w:color w:val="auto"/>
              </w:rPr>
            </w:pPr>
          </w:p>
        </w:tc>
      </w:tr>
      <w:tr>
        <w:trPr>
          <w:trHeight w:val="149"/>
        </w:trPr>
        <w:tc>
          <w:tcPr>
            <w:tcW w:w="2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vMerge w:val="restart"/>
          </w:tcPr>
          <w:p>
            <w:pPr>
              <w:jc w:val="right"/>
              <w:ind w:right="299"/>
              <w:spacing w:after="0"/>
              <w:rPr>
                <w:sz w:val="20"/>
                <w:szCs w:val="20"/>
                <w:color w:val="auto"/>
              </w:rPr>
            </w:pPr>
            <w:r>
              <w:rPr>
                <w:rFonts w:ascii="Arial" w:cs="Arial" w:eastAsia="Arial" w:hAnsi="Arial"/>
                <w:sz w:val="14"/>
                <w:szCs w:val="14"/>
                <w:b w:val="1"/>
                <w:bCs w:val="1"/>
                <w:color w:val="auto"/>
              </w:rPr>
              <w:t>30-59</w:t>
            </w:r>
          </w:p>
        </w:tc>
        <w:tc>
          <w:tcPr>
            <w:tcW w:w="300" w:type="dxa"/>
            <w:vAlign w:val="bottom"/>
          </w:tcPr>
          <w:p>
            <w:pPr>
              <w:spacing w:after="0"/>
              <w:rPr>
                <w:sz w:val="12"/>
                <w:szCs w:val="12"/>
                <w:color w:val="auto"/>
              </w:rPr>
            </w:pPr>
          </w:p>
        </w:tc>
        <w:tc>
          <w:tcPr>
            <w:tcW w:w="800" w:type="dxa"/>
            <w:vAlign w:val="bottom"/>
            <w:vMerge w:val="restart"/>
          </w:tcPr>
          <w:p>
            <w:pPr>
              <w:jc w:val="right"/>
              <w:ind w:right="299"/>
              <w:spacing w:after="0"/>
              <w:rPr>
                <w:sz w:val="20"/>
                <w:szCs w:val="20"/>
                <w:color w:val="auto"/>
              </w:rPr>
            </w:pPr>
            <w:r>
              <w:rPr>
                <w:rFonts w:ascii="Arial" w:cs="Arial" w:eastAsia="Arial" w:hAnsi="Arial"/>
                <w:sz w:val="14"/>
                <w:szCs w:val="14"/>
                <w:b w:val="1"/>
                <w:bCs w:val="1"/>
                <w:color w:val="auto"/>
              </w:rPr>
              <w:t>60-89</w:t>
            </w:r>
          </w:p>
        </w:tc>
        <w:tc>
          <w:tcPr>
            <w:tcW w:w="920" w:type="dxa"/>
            <w:vAlign w:val="bottom"/>
          </w:tcPr>
          <w:p>
            <w:pPr>
              <w:jc w:val="center"/>
              <w:ind w:left="145"/>
              <w:spacing w:after="0" w:line="149" w:lineRule="exact"/>
              <w:rPr>
                <w:sz w:val="20"/>
                <w:szCs w:val="20"/>
                <w:color w:val="auto"/>
              </w:rPr>
            </w:pPr>
            <w:r>
              <w:rPr>
                <w:rFonts w:ascii="Arial" w:cs="Arial" w:eastAsia="Arial" w:hAnsi="Arial"/>
                <w:sz w:val="14"/>
                <w:szCs w:val="14"/>
                <w:b w:val="1"/>
                <w:bCs w:val="1"/>
                <w:color w:val="auto"/>
                <w:w w:val="93"/>
              </w:rPr>
              <w:t>90 Days or</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center"/>
              <w:ind w:right="124"/>
              <w:spacing w:after="0" w:line="149" w:lineRule="exact"/>
              <w:rPr>
                <w:sz w:val="20"/>
                <w:szCs w:val="20"/>
                <w:color w:val="auto"/>
              </w:rPr>
            </w:pPr>
            <w:r>
              <w:rPr>
                <w:rFonts w:ascii="Arial" w:cs="Arial" w:eastAsia="Arial" w:hAnsi="Arial"/>
                <w:sz w:val="14"/>
                <w:szCs w:val="14"/>
                <w:b w:val="1"/>
                <w:bCs w:val="1"/>
                <w:color w:val="auto"/>
                <w:w w:val="93"/>
              </w:rPr>
              <w:t>90 Days or</w:t>
            </w:r>
          </w:p>
        </w:tc>
        <w:tc>
          <w:tcPr>
            <w:tcW w:w="3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vMerge w:val="restart"/>
          </w:tcPr>
          <w:p>
            <w:pPr>
              <w:jc w:val="right"/>
              <w:ind w:right="299"/>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2"/>
                <w:szCs w:val="12"/>
                <w:color w:val="auto"/>
              </w:rPr>
            </w:pPr>
          </w:p>
        </w:tc>
        <w:tc>
          <w:tcPr>
            <w:tcW w:w="780" w:type="dxa"/>
            <w:vAlign w:val="bottom"/>
            <w:vMerge w:val="restart"/>
          </w:tcPr>
          <w:p>
            <w:pPr>
              <w:jc w:val="right"/>
              <w:ind w:right="279"/>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920" w:type="dxa"/>
            <w:vAlign w:val="bottom"/>
          </w:tcPr>
          <w:p>
            <w:pPr>
              <w:jc w:val="center"/>
              <w:ind w:left="165"/>
              <w:spacing w:after="0" w:line="149" w:lineRule="exact"/>
              <w:rPr>
                <w:sz w:val="20"/>
                <w:szCs w:val="20"/>
                <w:color w:val="auto"/>
              </w:rPr>
            </w:pPr>
            <w:r>
              <w:rPr>
                <w:rFonts w:ascii="Arial" w:cs="Arial" w:eastAsia="Arial" w:hAnsi="Arial"/>
                <w:sz w:val="14"/>
                <w:szCs w:val="14"/>
                <w:b w:val="1"/>
                <w:bCs w:val="1"/>
                <w:color w:val="auto"/>
              </w:rPr>
              <w:t>More-Still</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center"/>
              <w:ind w:right="124"/>
              <w:spacing w:after="0" w:line="149" w:lineRule="exact"/>
              <w:rPr>
                <w:sz w:val="20"/>
                <w:szCs w:val="20"/>
                <w:color w:val="auto"/>
              </w:rPr>
            </w:pPr>
            <w:r>
              <w:rPr>
                <w:rFonts w:ascii="Arial" w:cs="Arial" w:eastAsia="Arial" w:hAnsi="Arial"/>
                <w:sz w:val="14"/>
                <w:szCs w:val="14"/>
                <w:b w:val="1"/>
                <w:bCs w:val="1"/>
                <w:color w:val="auto"/>
                <w:w w:val="99"/>
              </w:rPr>
              <w:t>More-</w:t>
            </w:r>
          </w:p>
        </w:tc>
        <w:tc>
          <w:tcPr>
            <w:tcW w:w="380" w:type="dxa"/>
            <w:vAlign w:val="bottom"/>
          </w:tcPr>
          <w:p>
            <w:pPr>
              <w:spacing w:after="0"/>
              <w:rPr>
                <w:sz w:val="12"/>
                <w:szCs w:val="12"/>
                <w:color w:val="auto"/>
              </w:rPr>
            </w:pPr>
          </w:p>
        </w:tc>
        <w:tc>
          <w:tcPr>
            <w:tcW w:w="720" w:type="dxa"/>
            <w:vAlign w:val="bottom"/>
          </w:tcPr>
          <w:p>
            <w:pPr>
              <w:jc w:val="center"/>
              <w:ind w:right="301"/>
              <w:spacing w:after="0" w:line="149" w:lineRule="exact"/>
              <w:rPr>
                <w:sz w:val="20"/>
                <w:szCs w:val="20"/>
                <w:color w:val="auto"/>
              </w:rPr>
            </w:pPr>
            <w:r>
              <w:rPr>
                <w:rFonts w:ascii="Arial" w:cs="Arial" w:eastAsia="Arial" w:hAnsi="Arial"/>
                <w:sz w:val="14"/>
                <w:szCs w:val="14"/>
                <w:b w:val="1"/>
                <w:bCs w:val="1"/>
                <w:color w:val="auto"/>
                <w:w w:val="87"/>
              </w:rPr>
              <w:t>Past</w:t>
            </w:r>
          </w:p>
        </w:tc>
        <w:tc>
          <w:tcPr>
            <w:tcW w:w="24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Accrual</w:t>
            </w:r>
          </w:p>
        </w:tc>
        <w:tc>
          <w:tcPr>
            <w:tcW w:w="0" w:type="dxa"/>
            <w:vAlign w:val="bottom"/>
          </w:tcPr>
          <w:p>
            <w:pPr>
              <w:spacing w:after="0"/>
              <w:rPr>
                <w:sz w:val="1"/>
                <w:szCs w:val="1"/>
                <w:color w:val="auto"/>
              </w:rPr>
            </w:pPr>
          </w:p>
        </w:tc>
      </w:tr>
      <w:tr>
        <w:trPr>
          <w:trHeight w:val="171"/>
        </w:trPr>
        <w:tc>
          <w:tcPr>
            <w:tcW w:w="2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ind w:right="299"/>
              <w:spacing w:after="0"/>
              <w:rPr>
                <w:sz w:val="20"/>
                <w:szCs w:val="20"/>
                <w:color w:val="auto"/>
              </w:rPr>
            </w:pPr>
            <w:r>
              <w:rPr>
                <w:rFonts w:ascii="Arial" w:cs="Arial" w:eastAsia="Arial" w:hAnsi="Arial"/>
                <w:sz w:val="14"/>
                <w:szCs w:val="14"/>
                <w:b w:val="1"/>
                <w:bCs w:val="1"/>
                <w:color w:val="auto"/>
              </w:rPr>
              <w:t>Days</w:t>
            </w:r>
          </w:p>
        </w:tc>
        <w:tc>
          <w:tcPr>
            <w:tcW w:w="300" w:type="dxa"/>
            <w:vAlign w:val="bottom"/>
          </w:tcPr>
          <w:p>
            <w:pPr>
              <w:spacing w:after="0"/>
              <w:rPr>
                <w:sz w:val="14"/>
                <w:szCs w:val="14"/>
                <w:color w:val="auto"/>
              </w:rPr>
            </w:pPr>
          </w:p>
        </w:tc>
        <w:tc>
          <w:tcPr>
            <w:tcW w:w="800" w:type="dxa"/>
            <w:vAlign w:val="bottom"/>
          </w:tcPr>
          <w:p>
            <w:pPr>
              <w:jc w:val="right"/>
              <w:ind w:right="319"/>
              <w:spacing w:after="0"/>
              <w:rPr>
                <w:sz w:val="20"/>
                <w:szCs w:val="20"/>
                <w:color w:val="auto"/>
              </w:rPr>
            </w:pPr>
            <w:r>
              <w:rPr>
                <w:rFonts w:ascii="Arial" w:cs="Arial" w:eastAsia="Arial" w:hAnsi="Arial"/>
                <w:sz w:val="14"/>
                <w:szCs w:val="14"/>
                <w:b w:val="1"/>
                <w:bCs w:val="1"/>
                <w:color w:val="auto"/>
              </w:rPr>
              <w:t>Days</w:t>
            </w:r>
          </w:p>
        </w:tc>
        <w:tc>
          <w:tcPr>
            <w:tcW w:w="920" w:type="dxa"/>
            <w:vAlign w:val="bottom"/>
          </w:tcPr>
          <w:p>
            <w:pPr>
              <w:jc w:val="center"/>
              <w:ind w:left="165"/>
              <w:spacing w:after="0"/>
              <w:rPr>
                <w:sz w:val="20"/>
                <w:szCs w:val="20"/>
                <w:color w:val="auto"/>
              </w:rPr>
            </w:pPr>
            <w:r>
              <w:rPr>
                <w:rFonts w:ascii="Arial" w:cs="Arial" w:eastAsia="Arial" w:hAnsi="Arial"/>
                <w:sz w:val="14"/>
                <w:szCs w:val="14"/>
                <w:b w:val="1"/>
                <w:bCs w:val="1"/>
                <w:color w:val="auto"/>
                <w:w w:val="92"/>
              </w:rPr>
              <w:t>Accruing</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center"/>
              <w:ind w:right="144"/>
              <w:spacing w:after="0"/>
              <w:rPr>
                <w:sz w:val="20"/>
                <w:szCs w:val="20"/>
                <w:color w:val="auto"/>
              </w:rPr>
            </w:pPr>
            <w:r>
              <w:rPr>
                <w:rFonts w:ascii="Arial" w:cs="Arial" w:eastAsia="Arial" w:hAnsi="Arial"/>
                <w:sz w:val="14"/>
                <w:szCs w:val="14"/>
                <w:b w:val="1"/>
                <w:bCs w:val="1"/>
                <w:color w:val="auto"/>
                <w:w w:val="94"/>
              </w:rPr>
              <w:t>Nonaccrual</w:t>
            </w:r>
          </w:p>
        </w:tc>
        <w:tc>
          <w:tcPr>
            <w:tcW w:w="380" w:type="dxa"/>
            <w:vAlign w:val="bottom"/>
          </w:tcPr>
          <w:p>
            <w:pPr>
              <w:spacing w:after="0"/>
              <w:rPr>
                <w:sz w:val="14"/>
                <w:szCs w:val="14"/>
                <w:color w:val="auto"/>
              </w:rPr>
            </w:pPr>
          </w:p>
        </w:tc>
        <w:tc>
          <w:tcPr>
            <w:tcW w:w="720" w:type="dxa"/>
            <w:vAlign w:val="bottom"/>
          </w:tcPr>
          <w:p>
            <w:pPr>
              <w:jc w:val="center"/>
              <w:ind w:right="321"/>
              <w:spacing w:after="0"/>
              <w:rPr>
                <w:sz w:val="20"/>
                <w:szCs w:val="20"/>
                <w:color w:val="auto"/>
              </w:rPr>
            </w:pPr>
            <w:r>
              <w:rPr>
                <w:rFonts w:ascii="Arial" w:cs="Arial" w:eastAsia="Arial" w:hAnsi="Arial"/>
                <w:sz w:val="14"/>
                <w:szCs w:val="14"/>
                <w:b w:val="1"/>
                <w:bCs w:val="1"/>
                <w:color w:val="auto"/>
                <w:w w:val="90"/>
              </w:rPr>
              <w:t>Due</w:t>
            </w:r>
          </w:p>
        </w:tc>
        <w:tc>
          <w:tcPr>
            <w:tcW w:w="240" w:type="dxa"/>
            <w:vAlign w:val="bottom"/>
          </w:tcPr>
          <w:p>
            <w:pPr>
              <w:spacing w:after="0"/>
              <w:rPr>
                <w:sz w:val="14"/>
                <w:szCs w:val="14"/>
                <w:color w:val="auto"/>
              </w:rPr>
            </w:pPr>
          </w:p>
        </w:tc>
        <w:tc>
          <w:tcPr>
            <w:tcW w:w="840" w:type="dxa"/>
            <w:vAlign w:val="bottom"/>
          </w:tcPr>
          <w:p>
            <w:pPr>
              <w:jc w:val="right"/>
              <w:ind w:right="199"/>
              <w:spacing w:after="0"/>
              <w:rPr>
                <w:sz w:val="20"/>
                <w:szCs w:val="20"/>
                <w:color w:val="auto"/>
              </w:rPr>
            </w:pPr>
            <w:r>
              <w:rPr>
                <w:rFonts w:ascii="Arial" w:cs="Arial" w:eastAsia="Arial" w:hAnsi="Arial"/>
                <w:sz w:val="14"/>
                <w:szCs w:val="14"/>
                <w:b w:val="1"/>
                <w:bCs w:val="1"/>
                <w:color w:val="auto"/>
              </w:rPr>
              <w:t>Current</w:t>
            </w:r>
          </w:p>
        </w:tc>
        <w:tc>
          <w:tcPr>
            <w:tcW w:w="280" w:type="dxa"/>
            <w:vAlign w:val="bottom"/>
          </w:tcPr>
          <w:p>
            <w:pPr>
              <w:spacing w:after="0"/>
              <w:rPr>
                <w:sz w:val="14"/>
                <w:szCs w:val="14"/>
                <w:color w:val="auto"/>
              </w:rPr>
            </w:pPr>
          </w:p>
        </w:tc>
        <w:tc>
          <w:tcPr>
            <w:tcW w:w="780" w:type="dxa"/>
            <w:vAlign w:val="bottom"/>
          </w:tcPr>
          <w:p>
            <w:pPr>
              <w:jc w:val="right"/>
              <w:ind w:right="259"/>
              <w:spacing w:after="0"/>
              <w:rPr>
                <w:sz w:val="20"/>
                <w:szCs w:val="20"/>
                <w:color w:val="auto"/>
              </w:rPr>
            </w:pPr>
            <w:r>
              <w:rPr>
                <w:rFonts w:ascii="Arial" w:cs="Arial" w:eastAsia="Arial" w:hAnsi="Arial"/>
                <w:sz w:val="14"/>
                <w:szCs w:val="14"/>
                <w:b w:val="1"/>
                <w:bCs w:val="1"/>
                <w:color w:val="auto"/>
              </w:rPr>
              <w:t>Loans</w:t>
            </w:r>
          </w:p>
        </w:tc>
        <w:tc>
          <w:tcPr>
            <w:tcW w:w="240" w:type="dxa"/>
            <w:vAlign w:val="bottom"/>
          </w:tcPr>
          <w:p>
            <w:pPr>
              <w:spacing w:after="0"/>
              <w:rPr>
                <w:sz w:val="14"/>
                <w:szCs w:val="14"/>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Loans</w:t>
            </w:r>
          </w:p>
        </w:tc>
        <w:tc>
          <w:tcPr>
            <w:tcW w:w="0" w:type="dxa"/>
            <w:vAlign w:val="bottom"/>
          </w:tcPr>
          <w:p>
            <w:pPr>
              <w:spacing w:after="0"/>
              <w:rPr>
                <w:sz w:val="1"/>
                <w:szCs w:val="1"/>
                <w:color w:val="auto"/>
              </w:rPr>
            </w:pPr>
          </w:p>
        </w:tc>
      </w:tr>
      <w:tr>
        <w:trPr>
          <w:trHeight w:val="142"/>
        </w:trPr>
        <w:tc>
          <w:tcPr>
            <w:tcW w:w="2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040" w:type="dxa"/>
            <w:vAlign w:val="bottom"/>
            <w:tcBorders>
              <w:top w:val="single" w:sz="8" w:color="auto"/>
            </w:tcBorders>
            <w:gridSpan w:val="3"/>
          </w:tcPr>
          <w:p>
            <w:pPr>
              <w:jc w:val="right"/>
              <w:ind w:right="421"/>
              <w:spacing w:after="0" w:line="142" w:lineRule="exact"/>
              <w:rPr>
                <w:sz w:val="20"/>
                <w:szCs w:val="20"/>
                <w:color w:val="auto"/>
              </w:rPr>
            </w:pPr>
            <w:r>
              <w:rPr>
                <w:rFonts w:ascii="Arial" w:cs="Arial" w:eastAsia="Arial" w:hAnsi="Arial"/>
                <w:sz w:val="14"/>
                <w:szCs w:val="14"/>
                <w:b w:val="1"/>
                <w:bCs w:val="1"/>
                <w:color w:val="auto"/>
              </w:rPr>
              <w:t>(Dollars in thousands)</w:t>
            </w: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Originated portfolio:</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ind w:left="180"/>
              <w:spacing w:after="0"/>
              <w:rPr>
                <w:sz w:val="20"/>
                <w:szCs w:val="20"/>
                <w:color w:val="auto"/>
              </w:rPr>
            </w:pPr>
            <w:r>
              <w:rPr>
                <w:rFonts w:ascii="Arial" w:cs="Arial" w:eastAsia="Arial" w:hAnsi="Arial"/>
                <w:sz w:val="18"/>
                <w:szCs w:val="18"/>
                <w:color w:val="auto"/>
              </w:rPr>
              <w:t>Residential real estate</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9"/>
              <w:spacing w:after="0"/>
              <w:rPr>
                <w:sz w:val="20"/>
                <w:szCs w:val="20"/>
                <w:color w:val="auto"/>
              </w:rPr>
            </w:pPr>
            <w:r>
              <w:rPr>
                <w:rFonts w:ascii="Arial" w:cs="Arial" w:eastAsia="Arial" w:hAnsi="Arial"/>
                <w:sz w:val="18"/>
                <w:szCs w:val="18"/>
                <w:color w:val="auto"/>
              </w:rPr>
              <w:t>561</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9"/>
              <w:spacing w:after="0"/>
              <w:rPr>
                <w:sz w:val="20"/>
                <w:szCs w:val="20"/>
                <w:color w:val="auto"/>
              </w:rPr>
            </w:pPr>
            <w:r>
              <w:rPr>
                <w:rFonts w:ascii="Arial" w:cs="Arial" w:eastAsia="Arial" w:hAnsi="Arial"/>
                <w:sz w:val="18"/>
                <w:szCs w:val="18"/>
                <w:color w:val="auto"/>
              </w:rPr>
              <w:t>743</w:t>
            </w:r>
          </w:p>
        </w:tc>
        <w:tc>
          <w:tcPr>
            <w:tcW w:w="920" w:type="dxa"/>
            <w:vAlign w:val="bottom"/>
          </w:tcPr>
          <w:p>
            <w:pPr>
              <w:jc w:val="right"/>
              <w:ind w:right="645"/>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44"/>
              <w:spacing w:after="0"/>
              <w:rPr>
                <w:sz w:val="20"/>
                <w:szCs w:val="20"/>
                <w:color w:val="auto"/>
              </w:rPr>
            </w:pPr>
            <w:r>
              <w:rPr>
                <w:rFonts w:ascii="Arial" w:cs="Arial" w:eastAsia="Arial" w:hAnsi="Arial"/>
                <w:sz w:val="18"/>
                <w:szCs w:val="18"/>
                <w:color w:val="auto"/>
              </w:rPr>
              <w:t>1,658</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41"/>
              <w:spacing w:after="0"/>
              <w:rPr>
                <w:sz w:val="20"/>
                <w:szCs w:val="20"/>
                <w:color w:val="auto"/>
              </w:rPr>
            </w:pPr>
            <w:r>
              <w:rPr>
                <w:rFonts w:ascii="Arial" w:cs="Arial" w:eastAsia="Arial" w:hAnsi="Arial"/>
                <w:sz w:val="18"/>
                <w:szCs w:val="18"/>
                <w:color w:val="auto"/>
              </w:rPr>
              <w:t>2,962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9"/>
              <w:spacing w:after="0"/>
              <w:rPr>
                <w:sz w:val="20"/>
                <w:szCs w:val="20"/>
                <w:color w:val="auto"/>
              </w:rPr>
            </w:pPr>
            <w:r>
              <w:rPr>
                <w:rFonts w:ascii="Arial" w:cs="Arial" w:eastAsia="Arial" w:hAnsi="Arial"/>
                <w:sz w:val="18"/>
                <w:szCs w:val="18"/>
                <w:color w:val="auto"/>
              </w:rPr>
              <w:t>79,246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9"/>
              <w:spacing w:after="0"/>
              <w:rPr>
                <w:sz w:val="20"/>
                <w:szCs w:val="20"/>
                <w:color w:val="auto"/>
              </w:rPr>
            </w:pPr>
            <w:r>
              <w:rPr>
                <w:rFonts w:ascii="Arial" w:cs="Arial" w:eastAsia="Arial" w:hAnsi="Arial"/>
                <w:sz w:val="18"/>
                <w:szCs w:val="18"/>
                <w:color w:val="auto"/>
              </w:rPr>
              <w:t>82,208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2,296</w:t>
            </w: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Home equity</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10</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7</w:t>
            </w: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0</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rPr>
              <w:t>310</w:t>
            </w: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41"/>
              <w:spacing w:after="0"/>
              <w:rPr>
                <w:sz w:val="20"/>
                <w:szCs w:val="20"/>
                <w:color w:val="auto"/>
              </w:rPr>
            </w:pPr>
            <w:r>
              <w:rPr>
                <w:rFonts w:ascii="Arial" w:cs="Arial" w:eastAsia="Arial" w:hAnsi="Arial"/>
                <w:sz w:val="18"/>
                <w:szCs w:val="18"/>
                <w:color w:val="auto"/>
              </w:rPr>
              <w:t>327</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37,521</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37,848</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bl>
    <w:p>
      <w:pPr>
        <w:sectPr>
          <w:pgSz w:w="11900" w:h="16838" w:orient="portrait"/>
          <w:cols w:equalWidth="0" w:num="1">
            <w:col w:w="11460"/>
          </w:cols>
          <w:pgMar w:left="240" w:top="140" w:right="199" w:bottom="0" w:gutter="0" w:footer="0" w:header="0"/>
          <w:type w:val="continuous"/>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00" w:type="dxa"/>
            <w:vAlign w:val="bottom"/>
          </w:tcPr>
          <w:p>
            <w:pPr>
              <w:ind w:left="180"/>
              <w:spacing w:after="0"/>
              <w:rPr>
                <w:sz w:val="20"/>
                <w:szCs w:val="20"/>
                <w:color w:val="auto"/>
              </w:rPr>
            </w:pPr>
            <w:r>
              <w:rPr>
                <w:rFonts w:ascii="Arial" w:cs="Arial" w:eastAsia="Arial" w:hAnsi="Arial"/>
                <w:sz w:val="18"/>
                <w:szCs w:val="18"/>
                <w:color w:val="auto"/>
              </w:rPr>
              <w:t>Commercial real estate</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410</w:t>
            </w:r>
          </w:p>
        </w:tc>
        <w:tc>
          <w:tcPr>
            <w:tcW w:w="18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364</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0</w:t>
            </w:r>
          </w:p>
        </w:tc>
        <w:tc>
          <w:tcPr>
            <w:tcW w:w="10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581</w:t>
            </w:r>
          </w:p>
        </w:tc>
        <w:tc>
          <w:tcPr>
            <w:tcW w:w="24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1,355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95,821</w:t>
            </w:r>
          </w:p>
        </w:tc>
        <w:tc>
          <w:tcPr>
            <w:tcW w:w="16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97,176</w:t>
            </w:r>
          </w:p>
        </w:tc>
        <w:tc>
          <w:tcPr>
            <w:tcW w:w="12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Construction</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0</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300" w:type="dxa"/>
            <w:vAlign w:val="bottom"/>
          </w:tcPr>
          <w:p>
            <w:pPr>
              <w:ind w:left="180"/>
              <w:spacing w:after="0"/>
              <w:rPr>
                <w:sz w:val="20"/>
                <w:szCs w:val="20"/>
                <w:color w:val="auto"/>
              </w:rPr>
            </w:pPr>
            <w:r>
              <w:rPr>
                <w:rFonts w:ascii="Arial" w:cs="Arial" w:eastAsia="Arial" w:hAnsi="Arial"/>
                <w:sz w:val="18"/>
                <w:szCs w:val="18"/>
                <w:color w:val="auto"/>
              </w:rPr>
              <w:t>Commercial business</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0</w:t>
            </w:r>
          </w:p>
        </w:tc>
        <w:tc>
          <w:tcPr>
            <w:tcW w:w="1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44</w:t>
            </w: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18,416</w:t>
            </w:r>
          </w:p>
        </w:tc>
        <w:tc>
          <w:tcPr>
            <w:tcW w:w="16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18,460</w:t>
            </w: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Consumer</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166</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0</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229</w:t>
            </w: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13,610</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14,075</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10"/>
        </w:trPr>
        <w:tc>
          <w:tcPr>
            <w:tcW w:w="2300" w:type="dxa"/>
            <w:vAlign w:val="bottom"/>
          </w:tcPr>
          <w:p>
            <w:pPr>
              <w:spacing w:after="0"/>
              <w:rPr>
                <w:sz w:val="20"/>
                <w:szCs w:val="20"/>
                <w:color w:val="auto"/>
              </w:rPr>
            </w:pPr>
            <w:r>
              <w:rPr>
                <w:rFonts w:ascii="Arial" w:cs="Arial" w:eastAsia="Arial" w:hAnsi="Arial"/>
                <w:sz w:val="18"/>
                <w:szCs w:val="18"/>
                <w:color w:val="auto"/>
              </w:rPr>
              <w:t>Total originated portfolio</w:t>
            </w:r>
          </w:p>
        </w:tc>
        <w:tc>
          <w:tcPr>
            <w:tcW w:w="4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1,147</w:t>
            </w: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0</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2,822</w:t>
            </w:r>
          </w:p>
        </w:tc>
        <w:tc>
          <w:tcPr>
            <w:tcW w:w="2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5,153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244,656</w:t>
            </w: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249,809</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Purchased portfolio:</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ind w:left="180"/>
              <w:spacing w:after="0"/>
              <w:rPr>
                <w:sz w:val="20"/>
                <w:szCs w:val="20"/>
                <w:color w:val="auto"/>
              </w:rPr>
            </w:pPr>
            <w:r>
              <w:rPr>
                <w:rFonts w:ascii="Arial" w:cs="Arial" w:eastAsia="Arial" w:hAnsi="Arial"/>
                <w:sz w:val="18"/>
                <w:szCs w:val="18"/>
                <w:color w:val="auto"/>
              </w:rPr>
              <w:t>Residential real estate</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0</w:t>
            </w:r>
          </w:p>
        </w:tc>
        <w:tc>
          <w:tcPr>
            <w:tcW w:w="1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4,238</w:t>
            </w:r>
          </w:p>
        </w:tc>
        <w:tc>
          <w:tcPr>
            <w:tcW w:w="16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4,238</w:t>
            </w: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real estate</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990</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0</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1,385</w:t>
            </w: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2,446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123,818</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126,264</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1,700</w:t>
            </w:r>
          </w:p>
        </w:tc>
        <w:tc>
          <w:tcPr>
            <w:tcW w:w="0" w:type="dxa"/>
            <w:vAlign w:val="bottom"/>
          </w:tcPr>
          <w:p>
            <w:pPr>
              <w:spacing w:after="0"/>
              <w:rPr>
                <w:sz w:val="1"/>
                <w:szCs w:val="1"/>
                <w:color w:val="auto"/>
              </w:rPr>
            </w:pPr>
          </w:p>
        </w:tc>
      </w:tr>
      <w:tr>
        <w:trPr>
          <w:trHeight w:val="210"/>
        </w:trPr>
        <w:tc>
          <w:tcPr>
            <w:tcW w:w="2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purchased portfolio</w:t>
            </w:r>
          </w:p>
        </w:tc>
        <w:tc>
          <w:tcPr>
            <w:tcW w:w="44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990</w:t>
            </w:r>
          </w:p>
        </w:tc>
        <w:tc>
          <w:tcPr>
            <w:tcW w:w="2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0</w:t>
            </w:r>
          </w:p>
        </w:tc>
        <w:tc>
          <w:tcPr>
            <w:tcW w:w="2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1,385</w:t>
            </w:r>
          </w:p>
        </w:tc>
        <w:tc>
          <w:tcPr>
            <w:tcW w:w="24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2,446</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128,056</w:t>
            </w:r>
          </w:p>
        </w:tc>
        <w:tc>
          <w:tcPr>
            <w:tcW w:w="2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130,502</w:t>
            </w:r>
          </w:p>
        </w:tc>
        <w:tc>
          <w:tcPr>
            <w:tcW w:w="2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3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loans</w:t>
            </w:r>
          </w:p>
        </w:tc>
        <w:tc>
          <w:tcPr>
            <w:tcW w:w="4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2,137</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1,255</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648"/>
              <w:spacing w:after="0"/>
              <w:rPr>
                <w:sz w:val="20"/>
                <w:szCs w:val="20"/>
                <w:color w:val="auto"/>
              </w:rPr>
            </w:pPr>
            <w:r>
              <w:rPr>
                <w:rFonts w:ascii="Arial" w:cs="Arial" w:eastAsia="Arial" w:hAnsi="Arial"/>
                <w:sz w:val="15"/>
                <w:szCs w:val="15"/>
                <w:color w:val="auto"/>
                <w:w w:val="71"/>
              </w:rPr>
              <w: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0</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4,207</w:t>
            </w:r>
          </w:p>
        </w:tc>
        <w:tc>
          <w:tcPr>
            <w:tcW w:w="2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7,599</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372,712</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380,311</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3"/>
          </w:tcPr>
          <w:p>
            <w:pPr>
              <w:jc w:val="center"/>
              <w:ind w:left="314"/>
              <w:spacing w:after="0"/>
              <w:rPr>
                <w:sz w:val="20"/>
                <w:szCs w:val="20"/>
                <w:color w:val="auto"/>
              </w:rPr>
            </w:pPr>
            <w:r>
              <w:rPr>
                <w:rFonts w:ascii="Arial" w:cs="Arial" w:eastAsia="Arial" w:hAnsi="Arial"/>
                <w:sz w:val="14"/>
                <w:szCs w:val="14"/>
                <w:b w:val="1"/>
                <w:bCs w:val="1"/>
                <w:color w:val="auto"/>
                <w:w w:val="90"/>
              </w:rPr>
              <w:t>June 30, 2012</w:t>
            </w:r>
          </w:p>
        </w:tc>
        <w:tc>
          <w:tcPr>
            <w:tcW w:w="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3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jc w:val="center"/>
              <w:ind w:left="48"/>
              <w:spacing w:after="0" w:line="119" w:lineRule="exact"/>
              <w:rPr>
                <w:sz w:val="20"/>
                <w:szCs w:val="20"/>
                <w:color w:val="auto"/>
              </w:rPr>
            </w:pPr>
            <w:r>
              <w:rPr>
                <w:rFonts w:ascii="Arial" w:cs="Arial" w:eastAsia="Arial" w:hAnsi="Arial"/>
                <w:sz w:val="13"/>
                <w:szCs w:val="13"/>
                <w:b w:val="1"/>
                <w:bCs w:val="1"/>
                <w:color w:val="auto"/>
              </w:rPr>
              <w:t>Past Due</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w w:val="96"/>
              </w:rPr>
              <w:t>Past Due</w:t>
            </w:r>
          </w:p>
        </w:tc>
        <w:tc>
          <w:tcPr>
            <w:tcW w:w="240" w:type="dxa"/>
            <w:vAlign w:val="bottom"/>
          </w:tcPr>
          <w:p>
            <w:pPr>
              <w:spacing w:after="0"/>
              <w:rPr>
                <w:sz w:val="10"/>
                <w:szCs w:val="10"/>
                <w:color w:val="auto"/>
              </w:rPr>
            </w:pPr>
          </w:p>
        </w:tc>
        <w:tc>
          <w:tcPr>
            <w:tcW w:w="7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Non-</w:t>
            </w: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30-59</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60-89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left="28"/>
              <w:spacing w:after="0" w:line="149" w:lineRule="exact"/>
              <w:rPr>
                <w:sz w:val="20"/>
                <w:szCs w:val="20"/>
                <w:color w:val="auto"/>
              </w:rPr>
            </w:pPr>
            <w:r>
              <w:rPr>
                <w:rFonts w:ascii="Arial" w:cs="Arial" w:eastAsia="Arial" w:hAnsi="Arial"/>
                <w:sz w:val="14"/>
                <w:szCs w:val="14"/>
                <w:b w:val="1"/>
                <w:bCs w:val="1"/>
                <w:color w:val="auto"/>
                <w:w w:val="93"/>
              </w:rPr>
              <w:t>90 Days or</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90 Days or</w:t>
            </w:r>
          </w:p>
        </w:tc>
        <w:tc>
          <w:tcPr>
            <w:tcW w:w="24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5"/>
              </w:rPr>
              <w:t>Total</w:t>
            </w:r>
          </w:p>
        </w:tc>
        <w:tc>
          <w:tcPr>
            <w:tcW w:w="160" w:type="dxa"/>
            <w:vAlign w:val="bottom"/>
          </w:tcPr>
          <w:p>
            <w:pPr>
              <w:spacing w:after="0"/>
              <w:rPr>
                <w:sz w:val="12"/>
                <w:szCs w:val="12"/>
                <w:color w:val="auto"/>
              </w:rPr>
            </w:pPr>
          </w:p>
        </w:tc>
        <w:tc>
          <w:tcPr>
            <w:tcW w:w="9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5"/>
              </w:rPr>
              <w:t>Total</w:t>
            </w:r>
          </w:p>
        </w:tc>
        <w:tc>
          <w:tcPr>
            <w:tcW w:w="1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left="48"/>
              <w:spacing w:after="0" w:line="149" w:lineRule="exact"/>
              <w:rPr>
                <w:sz w:val="20"/>
                <w:szCs w:val="20"/>
                <w:color w:val="auto"/>
              </w:rPr>
            </w:pPr>
            <w:r>
              <w:rPr>
                <w:rFonts w:ascii="Arial" w:cs="Arial" w:eastAsia="Arial" w:hAnsi="Arial"/>
                <w:sz w:val="14"/>
                <w:szCs w:val="14"/>
                <w:b w:val="1"/>
                <w:bCs w:val="1"/>
                <w:color w:val="auto"/>
              </w:rPr>
              <w:t>More-Still</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9"/>
              </w:rPr>
              <w:t>More-</w:t>
            </w:r>
          </w:p>
        </w:tc>
        <w:tc>
          <w:tcPr>
            <w:tcW w:w="240" w:type="dxa"/>
            <w:vAlign w:val="bottom"/>
          </w:tcPr>
          <w:p>
            <w:pPr>
              <w:spacing w:after="0"/>
              <w:rPr>
                <w:sz w:val="12"/>
                <w:szCs w:val="12"/>
                <w:color w:val="auto"/>
              </w:rPr>
            </w:pPr>
          </w:p>
        </w:tc>
        <w:tc>
          <w:tcPr>
            <w:tcW w:w="7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Past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Accrual</w:t>
            </w:r>
          </w:p>
        </w:tc>
        <w:tc>
          <w:tcPr>
            <w:tcW w:w="0" w:type="dxa"/>
            <w:vAlign w:val="bottom"/>
          </w:tcPr>
          <w:p>
            <w:pPr>
              <w:spacing w:after="0"/>
              <w:rPr>
                <w:sz w:val="1"/>
                <w:szCs w:val="1"/>
                <w:color w:val="auto"/>
              </w:rPr>
            </w:pPr>
          </w:p>
        </w:tc>
      </w:tr>
      <w:tr>
        <w:trPr>
          <w:trHeight w:val="171"/>
        </w:trPr>
        <w:tc>
          <w:tcPr>
            <w:tcW w:w="2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ind w:left="100"/>
              <w:spacing w:after="0"/>
              <w:rPr>
                <w:sz w:val="20"/>
                <w:szCs w:val="20"/>
                <w:color w:val="auto"/>
              </w:rPr>
            </w:pPr>
            <w:r>
              <w:rPr>
                <w:rFonts w:ascii="Arial" w:cs="Arial" w:eastAsia="Arial" w:hAnsi="Arial"/>
                <w:sz w:val="14"/>
                <w:szCs w:val="14"/>
                <w:b w:val="1"/>
                <w:bCs w:val="1"/>
                <w:color w:val="auto"/>
              </w:rPr>
              <w:t>Days</w:t>
            </w:r>
          </w:p>
        </w:tc>
        <w:tc>
          <w:tcPr>
            <w:tcW w:w="180" w:type="dxa"/>
            <w:vAlign w:val="bottom"/>
          </w:tcPr>
          <w:p>
            <w:pPr>
              <w:spacing w:after="0"/>
              <w:rPr>
                <w:sz w:val="14"/>
                <w:szCs w:val="14"/>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Days</w:t>
            </w:r>
          </w:p>
        </w:tc>
        <w:tc>
          <w:tcPr>
            <w:tcW w:w="120" w:type="dxa"/>
            <w:vAlign w:val="bottom"/>
          </w:tcPr>
          <w:p>
            <w:pPr>
              <w:spacing w:after="0"/>
              <w:rPr>
                <w:sz w:val="14"/>
                <w:szCs w:val="14"/>
                <w:color w:val="auto"/>
              </w:rPr>
            </w:pPr>
          </w:p>
        </w:tc>
        <w:tc>
          <w:tcPr>
            <w:tcW w:w="800" w:type="dxa"/>
            <w:vAlign w:val="bottom"/>
          </w:tcPr>
          <w:p>
            <w:pPr>
              <w:jc w:val="center"/>
              <w:ind w:left="48"/>
              <w:spacing w:after="0"/>
              <w:rPr>
                <w:sz w:val="20"/>
                <w:szCs w:val="20"/>
                <w:color w:val="auto"/>
              </w:rPr>
            </w:pPr>
            <w:r>
              <w:rPr>
                <w:rFonts w:ascii="Arial" w:cs="Arial" w:eastAsia="Arial" w:hAnsi="Arial"/>
                <w:sz w:val="14"/>
                <w:szCs w:val="14"/>
                <w:b w:val="1"/>
                <w:bCs w:val="1"/>
                <w:color w:val="auto"/>
                <w:w w:val="92"/>
              </w:rPr>
              <w:t>Accruing</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Nonaccrual</w:t>
            </w:r>
          </w:p>
        </w:tc>
        <w:tc>
          <w:tcPr>
            <w:tcW w:w="240" w:type="dxa"/>
            <w:vAlign w:val="bottom"/>
          </w:tcPr>
          <w:p>
            <w:pPr>
              <w:spacing w:after="0"/>
              <w:rPr>
                <w:sz w:val="14"/>
                <w:szCs w:val="14"/>
                <w:color w:val="auto"/>
              </w:rPr>
            </w:pPr>
          </w:p>
        </w:tc>
        <w:tc>
          <w:tcPr>
            <w:tcW w:w="7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Due</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Current</w:t>
            </w:r>
          </w:p>
        </w:tc>
        <w:tc>
          <w:tcPr>
            <w:tcW w:w="160" w:type="dxa"/>
            <w:vAlign w:val="bottom"/>
          </w:tcPr>
          <w:p>
            <w:pPr>
              <w:spacing w:after="0"/>
              <w:rPr>
                <w:sz w:val="14"/>
                <w:szCs w:val="14"/>
                <w:color w:val="auto"/>
              </w:rPr>
            </w:pPr>
          </w:p>
        </w:tc>
        <w:tc>
          <w:tcPr>
            <w:tcW w:w="9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7"/>
              </w:rPr>
              <w:t>Loans</w:t>
            </w:r>
          </w:p>
        </w:tc>
        <w:tc>
          <w:tcPr>
            <w:tcW w:w="120" w:type="dxa"/>
            <w:vAlign w:val="bottom"/>
          </w:tcPr>
          <w:p>
            <w:pPr>
              <w:spacing w:after="0"/>
              <w:rPr>
                <w:sz w:val="14"/>
                <w:szCs w:val="14"/>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Loans</w:t>
            </w:r>
          </w:p>
        </w:tc>
        <w:tc>
          <w:tcPr>
            <w:tcW w:w="0" w:type="dxa"/>
            <w:vAlign w:val="bottom"/>
          </w:tcPr>
          <w:p>
            <w:pPr>
              <w:spacing w:after="0"/>
              <w:rPr>
                <w:sz w:val="1"/>
                <w:szCs w:val="1"/>
                <w:color w:val="auto"/>
              </w:rPr>
            </w:pPr>
          </w:p>
        </w:tc>
      </w:tr>
      <w:tr>
        <w:trPr>
          <w:trHeight w:val="142"/>
        </w:trPr>
        <w:tc>
          <w:tcPr>
            <w:tcW w:w="2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40" w:type="dxa"/>
            <w:vAlign w:val="bottom"/>
            <w:tcBorders>
              <w:top w:val="single" w:sz="8" w:color="auto"/>
            </w:tcBorders>
            <w:gridSpan w:val="5"/>
          </w:tcPr>
          <w:p>
            <w:pPr>
              <w:jc w:val="center"/>
              <w:ind w:right="32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Originated portfolio:</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ind w:left="180"/>
              <w:spacing w:after="0"/>
              <w:rPr>
                <w:sz w:val="20"/>
                <w:szCs w:val="20"/>
                <w:color w:val="auto"/>
              </w:rPr>
            </w:pPr>
            <w:r>
              <w:rPr>
                <w:rFonts w:ascii="Arial" w:cs="Arial" w:eastAsia="Arial" w:hAnsi="Arial"/>
                <w:sz w:val="18"/>
                <w:szCs w:val="18"/>
                <w:color w:val="auto"/>
              </w:rPr>
              <w:t>Residential real estate</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261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183</w:t>
            </w:r>
          </w:p>
        </w:tc>
        <w:tc>
          <w:tcPr>
            <w:tcW w:w="920" w:type="dxa"/>
            <w:vAlign w:val="bottom"/>
            <w:gridSpan w:val="2"/>
          </w:tcPr>
          <w:p>
            <w:pPr>
              <w:jc w:val="right"/>
              <w:ind w:right="648"/>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2,907</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3,351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87,593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90,944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3,090</w:t>
            </w: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Home equity</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160</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0</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136</w:t>
            </w: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42,384</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42,696</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6"/>
        </w:trPr>
        <w:tc>
          <w:tcPr>
            <w:tcW w:w="2300" w:type="dxa"/>
            <w:vAlign w:val="bottom"/>
          </w:tcPr>
          <w:p>
            <w:pPr>
              <w:ind w:left="180"/>
              <w:spacing w:after="0"/>
              <w:rPr>
                <w:sz w:val="20"/>
                <w:szCs w:val="20"/>
                <w:color w:val="auto"/>
              </w:rPr>
            </w:pPr>
            <w:r>
              <w:rPr>
                <w:rFonts w:ascii="Arial" w:cs="Arial" w:eastAsia="Arial" w:hAnsi="Arial"/>
                <w:sz w:val="18"/>
                <w:szCs w:val="18"/>
                <w:color w:val="auto"/>
              </w:rPr>
              <w:t>Commercial real estate</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208</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0</w:t>
            </w:r>
          </w:p>
        </w:tc>
        <w:tc>
          <w:tcPr>
            <w:tcW w:w="1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417</w:t>
            </w:r>
          </w:p>
        </w:tc>
        <w:tc>
          <w:tcPr>
            <w:tcW w:w="2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625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99,571</w:t>
            </w:r>
          </w:p>
        </w:tc>
        <w:tc>
          <w:tcPr>
            <w:tcW w:w="16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100,196</w:t>
            </w: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Construction</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0</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1,187</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1,187</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300" w:type="dxa"/>
            <w:vAlign w:val="bottom"/>
          </w:tcPr>
          <w:p>
            <w:pPr>
              <w:ind w:left="180"/>
              <w:spacing w:after="0"/>
              <w:rPr>
                <w:sz w:val="20"/>
                <w:szCs w:val="20"/>
                <w:color w:val="auto"/>
              </w:rPr>
            </w:pPr>
            <w:r>
              <w:rPr>
                <w:rFonts w:ascii="Arial" w:cs="Arial" w:eastAsia="Arial" w:hAnsi="Arial"/>
                <w:sz w:val="18"/>
                <w:szCs w:val="18"/>
                <w:color w:val="auto"/>
              </w:rPr>
              <w:t>Commercial business</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0</w:t>
            </w:r>
          </w:p>
        </w:tc>
        <w:tc>
          <w:tcPr>
            <w:tcW w:w="1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901</w:t>
            </w:r>
          </w:p>
        </w:tc>
        <w:tc>
          <w:tcPr>
            <w:tcW w:w="2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1,008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18,604</w:t>
            </w:r>
          </w:p>
        </w:tc>
        <w:tc>
          <w:tcPr>
            <w:tcW w:w="16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19,612</w:t>
            </w: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1,008</w:t>
            </w: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Consumer</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259</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137</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0</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206</w:t>
            </w: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16,547</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17,149</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10"/>
        </w:trPr>
        <w:tc>
          <w:tcPr>
            <w:tcW w:w="2300" w:type="dxa"/>
            <w:vAlign w:val="bottom"/>
          </w:tcPr>
          <w:p>
            <w:pPr>
              <w:spacing w:after="0"/>
              <w:rPr>
                <w:sz w:val="20"/>
                <w:szCs w:val="20"/>
                <w:color w:val="auto"/>
              </w:rPr>
            </w:pPr>
            <w:r>
              <w:rPr>
                <w:rFonts w:ascii="Arial" w:cs="Arial" w:eastAsia="Arial" w:hAnsi="Arial"/>
                <w:sz w:val="18"/>
                <w:szCs w:val="18"/>
                <w:color w:val="auto"/>
              </w:rPr>
              <w:t>Total originated portfolio</w:t>
            </w:r>
          </w:p>
        </w:tc>
        <w:tc>
          <w:tcPr>
            <w:tcW w:w="4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536</w:t>
            </w: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0</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4,567</w:t>
            </w:r>
          </w:p>
        </w:tc>
        <w:tc>
          <w:tcPr>
            <w:tcW w:w="2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5,898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265,886</w:t>
            </w: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271,784</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Purchased portfolio:</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ind w:left="180"/>
              <w:spacing w:after="0"/>
              <w:rPr>
                <w:sz w:val="20"/>
                <w:szCs w:val="20"/>
                <w:color w:val="auto"/>
              </w:rPr>
            </w:pPr>
            <w:r>
              <w:rPr>
                <w:rFonts w:ascii="Arial" w:cs="Arial" w:eastAsia="Arial" w:hAnsi="Arial"/>
                <w:sz w:val="18"/>
                <w:szCs w:val="18"/>
                <w:color w:val="auto"/>
              </w:rPr>
              <w:t>Residential real estate</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0</w:t>
            </w:r>
          </w:p>
        </w:tc>
        <w:tc>
          <w:tcPr>
            <w:tcW w:w="1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3,931</w:t>
            </w:r>
          </w:p>
        </w:tc>
        <w:tc>
          <w:tcPr>
            <w:tcW w:w="16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3,931</w:t>
            </w: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real estate</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0</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1,055</w:t>
            </w: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79,484</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80,539</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1,055</w:t>
            </w:r>
          </w:p>
        </w:tc>
        <w:tc>
          <w:tcPr>
            <w:tcW w:w="0" w:type="dxa"/>
            <w:vAlign w:val="bottom"/>
          </w:tcPr>
          <w:p>
            <w:pPr>
              <w:spacing w:after="0"/>
              <w:rPr>
                <w:sz w:val="1"/>
                <w:szCs w:val="1"/>
                <w:color w:val="auto"/>
              </w:rPr>
            </w:pPr>
          </w:p>
        </w:tc>
      </w:tr>
      <w:tr>
        <w:trPr>
          <w:trHeight w:val="210"/>
        </w:trPr>
        <w:tc>
          <w:tcPr>
            <w:tcW w:w="2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purchased portfolio</w:t>
            </w:r>
          </w:p>
        </w:tc>
        <w:tc>
          <w:tcPr>
            <w:tcW w:w="44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2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0</w:t>
            </w:r>
          </w:p>
        </w:tc>
        <w:tc>
          <w:tcPr>
            <w:tcW w:w="2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1,055</w:t>
            </w:r>
          </w:p>
        </w:tc>
        <w:tc>
          <w:tcPr>
            <w:tcW w:w="24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1,055</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83,415</w:t>
            </w:r>
          </w:p>
        </w:tc>
        <w:tc>
          <w:tcPr>
            <w:tcW w:w="2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84,470</w:t>
            </w:r>
          </w:p>
        </w:tc>
        <w:tc>
          <w:tcPr>
            <w:tcW w:w="2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3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loans</w:t>
            </w:r>
          </w:p>
        </w:tc>
        <w:tc>
          <w:tcPr>
            <w:tcW w:w="4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648"/>
              <w:spacing w:after="0"/>
              <w:rPr>
                <w:sz w:val="20"/>
                <w:szCs w:val="20"/>
                <w:color w:val="auto"/>
              </w:rPr>
            </w:pPr>
            <w:r>
              <w:rPr>
                <w:rFonts w:ascii="Arial" w:cs="Arial" w:eastAsia="Arial" w:hAnsi="Arial"/>
                <w:sz w:val="15"/>
                <w:szCs w:val="15"/>
                <w:color w:val="auto"/>
                <w:w w:val="71"/>
              </w:rPr>
              <w: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0</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5,622</w:t>
            </w:r>
          </w:p>
        </w:tc>
        <w:tc>
          <w:tcPr>
            <w:tcW w:w="2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6,953</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349,301</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356,254</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6,114</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following table shows loans modified in a TDR for the Fiscal 2013 periods and the change in the recorded investment subsequent to the modifications occurring.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80" w:type="dxa"/>
            <w:vAlign w:val="bottom"/>
            <w:gridSpan w:val="9"/>
          </w:tcPr>
          <w:p>
            <w:pPr>
              <w:ind w:left="120"/>
              <w:spacing w:after="0"/>
              <w:rPr>
                <w:sz w:val="20"/>
                <w:szCs w:val="20"/>
                <w:color w:val="auto"/>
              </w:rPr>
            </w:pPr>
            <w:r>
              <w:rPr>
                <w:rFonts w:ascii="Arial" w:cs="Arial" w:eastAsia="Arial" w:hAnsi="Arial"/>
                <w:sz w:val="14"/>
                <w:szCs w:val="14"/>
                <w:b w:val="1"/>
                <w:bCs w:val="1"/>
                <w:color w:val="auto"/>
              </w:rPr>
              <w:t>Three Months Ended March 31, 2013</w:t>
            </w:r>
          </w:p>
        </w:tc>
        <w:tc>
          <w:tcPr>
            <w:tcW w:w="1040" w:type="dxa"/>
            <w:vAlign w:val="bottom"/>
          </w:tcPr>
          <w:p>
            <w:pPr>
              <w:spacing w:after="0"/>
              <w:rPr>
                <w:sz w:val="14"/>
                <w:szCs w:val="14"/>
                <w:color w:val="auto"/>
              </w:rPr>
            </w:pPr>
          </w:p>
        </w:tc>
        <w:tc>
          <w:tcPr>
            <w:tcW w:w="3380" w:type="dxa"/>
            <w:vAlign w:val="bottom"/>
            <w:gridSpan w:val="7"/>
          </w:tcPr>
          <w:p>
            <w:pPr>
              <w:spacing w:after="0"/>
              <w:rPr>
                <w:sz w:val="20"/>
                <w:szCs w:val="20"/>
                <w:color w:val="auto"/>
              </w:rPr>
            </w:pPr>
            <w:r>
              <w:rPr>
                <w:rFonts w:ascii="Arial" w:cs="Arial" w:eastAsia="Arial" w:hAnsi="Arial"/>
                <w:sz w:val="14"/>
                <w:szCs w:val="14"/>
                <w:b w:val="1"/>
                <w:bCs w:val="1"/>
                <w:color w:val="auto"/>
              </w:rPr>
              <w:t>Nine Months Ended March 31, 2013</w:t>
            </w:r>
          </w:p>
        </w:tc>
        <w:tc>
          <w:tcPr>
            <w:tcW w:w="0" w:type="dxa"/>
            <w:vAlign w:val="bottom"/>
          </w:tcPr>
          <w:p>
            <w:pPr>
              <w:spacing w:after="0"/>
              <w:rPr>
                <w:sz w:val="1"/>
                <w:szCs w:val="1"/>
                <w:color w:val="auto"/>
              </w:rPr>
            </w:pPr>
          </w:p>
        </w:tc>
      </w:tr>
      <w:tr>
        <w:trPr>
          <w:trHeight w:val="119"/>
        </w:trPr>
        <w:tc>
          <w:tcPr>
            <w:tcW w:w="2420" w:type="dxa"/>
            <w:vAlign w:val="bottom"/>
          </w:tcPr>
          <w:p>
            <w:pPr>
              <w:spacing w:after="0"/>
              <w:rPr>
                <w:sz w:val="10"/>
                <w:szCs w:val="10"/>
                <w:color w:val="auto"/>
              </w:rPr>
            </w:pPr>
          </w:p>
        </w:tc>
        <w:tc>
          <w:tcPr>
            <w:tcW w:w="900" w:type="dxa"/>
            <w:vAlign w:val="bottom"/>
            <w:tcBorders>
              <w:top w:val="single" w:sz="8" w:color="auto"/>
            </w:tcBorders>
            <w:vMerge w:val="restart"/>
          </w:tcPr>
          <w:p>
            <w:pPr>
              <w:jc w:val="center"/>
              <w:ind w:left="48"/>
              <w:spacing w:after="0"/>
              <w:rPr>
                <w:sz w:val="20"/>
                <w:szCs w:val="20"/>
                <w:color w:val="auto"/>
              </w:rPr>
            </w:pPr>
            <w:r>
              <w:rPr>
                <w:rFonts w:ascii="Arial" w:cs="Arial" w:eastAsia="Arial" w:hAnsi="Arial"/>
                <w:sz w:val="14"/>
                <w:szCs w:val="14"/>
                <w:b w:val="1"/>
                <w:bCs w:val="1"/>
                <w:color w:val="auto"/>
                <w:w w:val="94"/>
              </w:rPr>
              <w:t>Number of</w:t>
            </w:r>
          </w:p>
        </w:tc>
        <w:tc>
          <w:tcPr>
            <w:tcW w:w="1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480" w:type="dxa"/>
            <w:vAlign w:val="bottom"/>
            <w:tcBorders>
              <w:top w:val="single" w:sz="8" w:color="auto"/>
            </w:tcBorders>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w w:val="96"/>
              </w:rPr>
              <w:t>Recorded</w:t>
            </w:r>
          </w:p>
        </w:tc>
        <w:tc>
          <w:tcPr>
            <w:tcW w:w="14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tcPr>
          <w:p>
            <w:pPr>
              <w:jc w:val="center"/>
              <w:ind w:right="55"/>
              <w:spacing w:after="0" w:line="119" w:lineRule="exact"/>
              <w:rPr>
                <w:sz w:val="20"/>
                <w:szCs w:val="20"/>
                <w:color w:val="auto"/>
              </w:rPr>
            </w:pPr>
            <w:r>
              <w:rPr>
                <w:rFonts w:ascii="Arial" w:cs="Arial" w:eastAsia="Arial" w:hAnsi="Arial"/>
                <w:sz w:val="13"/>
                <w:szCs w:val="13"/>
                <w:b w:val="1"/>
                <w:bCs w:val="1"/>
                <w:color w:val="auto"/>
                <w:w w:val="96"/>
              </w:rPr>
              <w:t>Recorded</w:t>
            </w:r>
          </w:p>
        </w:tc>
        <w:tc>
          <w:tcPr>
            <w:tcW w:w="220" w:type="dxa"/>
            <w:vAlign w:val="bottom"/>
          </w:tcPr>
          <w:p>
            <w:pPr>
              <w:spacing w:after="0"/>
              <w:rPr>
                <w:sz w:val="10"/>
                <w:szCs w:val="10"/>
                <w:color w:val="auto"/>
              </w:rPr>
            </w:pPr>
          </w:p>
        </w:tc>
        <w:tc>
          <w:tcPr>
            <w:tcW w:w="1040" w:type="dxa"/>
            <w:vAlign w:val="bottom"/>
            <w:tcBorders>
              <w:top w:val="single" w:sz="8" w:color="auto"/>
            </w:tcBorders>
            <w:vMerge w:val="restart"/>
          </w:tcPr>
          <w:p>
            <w:pPr>
              <w:jc w:val="right"/>
              <w:ind w:right="93"/>
              <w:spacing w:after="0"/>
              <w:rPr>
                <w:sz w:val="20"/>
                <w:szCs w:val="20"/>
                <w:color w:val="auto"/>
              </w:rPr>
            </w:pPr>
            <w:r>
              <w:rPr>
                <w:rFonts w:ascii="Arial" w:cs="Arial" w:eastAsia="Arial" w:hAnsi="Arial"/>
                <w:sz w:val="14"/>
                <w:szCs w:val="14"/>
                <w:b w:val="1"/>
                <w:bCs w:val="1"/>
                <w:color w:val="auto"/>
              </w:rPr>
              <w:t>Number of</w:t>
            </w:r>
          </w:p>
        </w:tc>
        <w:tc>
          <w:tcPr>
            <w:tcW w:w="2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w w:val="99"/>
              </w:rPr>
              <w:t>Recorded</w:t>
            </w:r>
          </w:p>
        </w:tc>
        <w:tc>
          <w:tcPr>
            <w:tcW w:w="12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tcPr>
          <w:p>
            <w:pPr>
              <w:jc w:val="center"/>
              <w:ind w:right="54"/>
              <w:spacing w:after="0" w:line="119" w:lineRule="exact"/>
              <w:rPr>
                <w:sz w:val="20"/>
                <w:szCs w:val="20"/>
                <w:color w:val="auto"/>
              </w:rPr>
            </w:pPr>
            <w:r>
              <w:rPr>
                <w:rFonts w:ascii="Arial" w:cs="Arial" w:eastAsia="Arial" w:hAnsi="Arial"/>
                <w:sz w:val="13"/>
                <w:szCs w:val="13"/>
                <w:b w:val="1"/>
                <w:bCs w:val="1"/>
                <w:color w:val="auto"/>
                <w:w w:val="99"/>
              </w:rPr>
              <w:t>Recorded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Investment</w:t>
            </w:r>
          </w:p>
        </w:tc>
        <w:tc>
          <w:tcPr>
            <w:tcW w:w="140" w:type="dxa"/>
            <w:vAlign w:val="bottom"/>
          </w:tcPr>
          <w:p>
            <w:pPr>
              <w:spacing w:after="0"/>
              <w:rPr>
                <w:sz w:val="12"/>
                <w:szCs w:val="12"/>
                <w:color w:val="auto"/>
              </w:rPr>
            </w:pPr>
          </w:p>
        </w:tc>
        <w:tc>
          <w:tcPr>
            <w:tcW w:w="15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Investment</w:t>
            </w:r>
          </w:p>
        </w:tc>
        <w:tc>
          <w:tcPr>
            <w:tcW w:w="10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Investment</w:t>
            </w:r>
          </w:p>
        </w:tc>
        <w:tc>
          <w:tcPr>
            <w:tcW w:w="120" w:type="dxa"/>
            <w:vAlign w:val="bottom"/>
          </w:tcPr>
          <w:p>
            <w:pPr>
              <w:spacing w:after="0"/>
              <w:rPr>
                <w:sz w:val="12"/>
                <w:szCs w:val="12"/>
                <w:color w:val="auto"/>
              </w:rPr>
            </w:pPr>
          </w:p>
        </w:tc>
        <w:tc>
          <w:tcPr>
            <w:tcW w:w="14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Investment</w:t>
            </w:r>
          </w:p>
        </w:tc>
        <w:tc>
          <w:tcPr>
            <w:tcW w:w="0" w:type="dxa"/>
            <w:vAlign w:val="bottom"/>
          </w:tcPr>
          <w:p>
            <w:pPr>
              <w:spacing w:after="0"/>
              <w:rPr>
                <w:sz w:val="1"/>
                <w:szCs w:val="1"/>
                <w:color w:val="auto"/>
              </w:rPr>
            </w:pPr>
          </w:p>
        </w:tc>
      </w:tr>
      <w:tr>
        <w:trPr>
          <w:trHeight w:val="171"/>
        </w:trPr>
        <w:tc>
          <w:tcPr>
            <w:tcW w:w="2420" w:type="dxa"/>
            <w:vAlign w:val="bottom"/>
          </w:tcPr>
          <w:p>
            <w:pPr>
              <w:spacing w:after="0"/>
              <w:rPr>
                <w:sz w:val="14"/>
                <w:szCs w:val="14"/>
                <w:color w:val="auto"/>
              </w:rPr>
            </w:pPr>
          </w:p>
        </w:tc>
        <w:tc>
          <w:tcPr>
            <w:tcW w:w="900" w:type="dxa"/>
            <w:vAlign w:val="bottom"/>
          </w:tcPr>
          <w:p>
            <w:pPr>
              <w:jc w:val="center"/>
              <w:ind w:left="48"/>
              <w:spacing w:after="0"/>
              <w:rPr>
                <w:sz w:val="20"/>
                <w:szCs w:val="20"/>
                <w:color w:val="auto"/>
              </w:rPr>
            </w:pPr>
            <w:r>
              <w:rPr>
                <w:rFonts w:ascii="Arial" w:cs="Arial" w:eastAsia="Arial" w:hAnsi="Arial"/>
                <w:sz w:val="14"/>
                <w:szCs w:val="14"/>
                <w:b w:val="1"/>
                <w:bCs w:val="1"/>
                <w:color w:val="auto"/>
                <w:w w:val="94"/>
              </w:rPr>
              <w:t>Contracts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Pre-Modification</w:t>
            </w:r>
          </w:p>
        </w:tc>
        <w:tc>
          <w:tcPr>
            <w:tcW w:w="140" w:type="dxa"/>
            <w:vAlign w:val="bottom"/>
          </w:tcPr>
          <w:p>
            <w:pPr>
              <w:spacing w:after="0"/>
              <w:rPr>
                <w:sz w:val="14"/>
                <w:szCs w:val="14"/>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Post-Modification</w:t>
            </w:r>
          </w:p>
        </w:tc>
        <w:tc>
          <w:tcPr>
            <w:tcW w:w="1040" w:type="dxa"/>
            <w:vAlign w:val="bottom"/>
          </w:tcPr>
          <w:p>
            <w:pPr>
              <w:jc w:val="right"/>
              <w:ind w:right="133"/>
              <w:spacing w:after="0"/>
              <w:rPr>
                <w:sz w:val="20"/>
                <w:szCs w:val="20"/>
                <w:color w:val="auto"/>
              </w:rPr>
            </w:pPr>
            <w:r>
              <w:rPr>
                <w:rFonts w:ascii="Arial" w:cs="Arial" w:eastAsia="Arial" w:hAnsi="Arial"/>
                <w:sz w:val="14"/>
                <w:szCs w:val="14"/>
                <w:b w:val="1"/>
                <w:bCs w:val="1"/>
                <w:color w:val="auto"/>
              </w:rPr>
              <w:t>Contracts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Pre-Modification</w:t>
            </w:r>
          </w:p>
        </w:tc>
        <w:tc>
          <w:tcPr>
            <w:tcW w:w="120" w:type="dxa"/>
            <w:vAlign w:val="bottom"/>
          </w:tcPr>
          <w:p>
            <w:pPr>
              <w:spacing w:after="0"/>
              <w:rPr>
                <w:sz w:val="14"/>
                <w:szCs w:val="14"/>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Post-Modification</w:t>
            </w:r>
          </w:p>
        </w:tc>
        <w:tc>
          <w:tcPr>
            <w:tcW w:w="0" w:type="dxa"/>
            <w:vAlign w:val="bottom"/>
          </w:tcPr>
          <w:p>
            <w:pPr>
              <w:spacing w:after="0"/>
              <w:rPr>
                <w:sz w:val="1"/>
                <w:szCs w:val="1"/>
                <w:color w:val="auto"/>
              </w:rPr>
            </w:pPr>
          </w:p>
        </w:tc>
      </w:tr>
      <w:tr>
        <w:trPr>
          <w:trHeight w:val="142"/>
        </w:trPr>
        <w:tc>
          <w:tcPr>
            <w:tcW w:w="24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620" w:type="dxa"/>
            <w:vAlign w:val="bottom"/>
            <w:tcBorders>
              <w:top w:val="single" w:sz="8" w:color="auto"/>
            </w:tcBorders>
            <w:gridSpan w:val="3"/>
          </w:tcPr>
          <w:p>
            <w:pPr>
              <w:jc w:val="right"/>
              <w:ind w:right="413"/>
              <w:spacing w:after="0" w:line="142" w:lineRule="exact"/>
              <w:rPr>
                <w:sz w:val="20"/>
                <w:szCs w:val="20"/>
                <w:color w:val="auto"/>
              </w:rPr>
            </w:pPr>
            <w:r>
              <w:rPr>
                <w:rFonts w:ascii="Arial" w:cs="Arial" w:eastAsia="Arial" w:hAnsi="Arial"/>
                <w:sz w:val="14"/>
                <w:szCs w:val="14"/>
                <w:b w:val="1"/>
                <w:bCs w:val="1"/>
                <w:color w:val="auto"/>
              </w:rPr>
              <w:t>(Dollars in thousands)</w:t>
            </w:r>
          </w:p>
        </w:tc>
        <w:tc>
          <w:tcPr>
            <w:tcW w:w="2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Originated portfolio:</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gridSpan w:val="2"/>
          </w:tcPr>
          <w:p>
            <w:pPr>
              <w:ind w:left="180"/>
              <w:spacing w:after="0"/>
              <w:rPr>
                <w:sz w:val="20"/>
                <w:szCs w:val="20"/>
                <w:color w:val="auto"/>
              </w:rPr>
            </w:pPr>
            <w:r>
              <w:rPr>
                <w:rFonts w:ascii="Arial" w:cs="Arial" w:eastAsia="Arial" w:hAnsi="Arial"/>
                <w:sz w:val="18"/>
                <w:szCs w:val="18"/>
                <w:color w:val="auto"/>
              </w:rPr>
              <w:t>Residential real estate</w:t>
            </w: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228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228</w:t>
            </w:r>
          </w:p>
        </w:tc>
        <w:tc>
          <w:tcPr>
            <w:tcW w:w="1040" w:type="dxa"/>
            <w:vAlign w:val="bottom"/>
          </w:tcPr>
          <w:p>
            <w:pPr>
              <w:jc w:val="right"/>
              <w:spacing w:after="0"/>
              <w:rPr>
                <w:sz w:val="20"/>
                <w:szCs w:val="20"/>
                <w:color w:val="auto"/>
              </w:rPr>
            </w:pPr>
            <w:r>
              <w:rPr>
                <w:rFonts w:ascii="Arial" w:cs="Arial" w:eastAsia="Arial" w:hAnsi="Arial"/>
                <w:sz w:val="18"/>
                <w:szCs w:val="18"/>
                <w:color w:val="auto"/>
              </w:rPr>
              <w:t>9</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903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903</w:t>
            </w:r>
          </w:p>
        </w:tc>
        <w:tc>
          <w:tcPr>
            <w:tcW w:w="0" w:type="dxa"/>
            <w:vAlign w:val="bottom"/>
          </w:tcPr>
          <w:p>
            <w:pPr>
              <w:spacing w:after="0"/>
              <w:rPr>
                <w:sz w:val="1"/>
                <w:szCs w:val="1"/>
                <w:color w:val="auto"/>
              </w:rPr>
            </w:pPr>
          </w:p>
        </w:tc>
      </w:tr>
      <w:tr>
        <w:trPr>
          <w:trHeight w:val="216"/>
        </w:trPr>
        <w:tc>
          <w:tcPr>
            <w:tcW w:w="3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Home equity</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w:t>
            </w: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362</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16"/>
        </w:trPr>
        <w:tc>
          <w:tcPr>
            <w:tcW w:w="3320" w:type="dxa"/>
            <w:vAlign w:val="bottom"/>
            <w:gridSpan w:val="2"/>
          </w:tcPr>
          <w:p>
            <w:pPr>
              <w:ind w:left="180"/>
              <w:spacing w:after="0"/>
              <w:rPr>
                <w:sz w:val="20"/>
                <w:szCs w:val="20"/>
                <w:color w:val="auto"/>
              </w:rPr>
            </w:pPr>
            <w:r>
              <w:rPr>
                <w:rFonts w:ascii="Arial" w:cs="Arial" w:eastAsia="Arial" w:hAnsi="Arial"/>
                <w:sz w:val="18"/>
                <w:szCs w:val="18"/>
                <w:color w:val="auto"/>
              </w:rPr>
              <w:t>Commercial real estate</w:t>
            </w: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103</w:t>
            </w:r>
          </w:p>
        </w:tc>
        <w:tc>
          <w:tcPr>
            <w:tcW w:w="14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50</w:t>
            </w: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3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Construction</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3320" w:type="dxa"/>
            <w:vAlign w:val="bottom"/>
            <w:gridSpan w:val="2"/>
          </w:tcPr>
          <w:p>
            <w:pPr>
              <w:ind w:left="180"/>
              <w:spacing w:after="0"/>
              <w:rPr>
                <w:sz w:val="20"/>
                <w:szCs w:val="20"/>
                <w:color w:val="auto"/>
              </w:rPr>
            </w:pPr>
            <w:r>
              <w:rPr>
                <w:rFonts w:ascii="Arial" w:cs="Arial" w:eastAsia="Arial" w:hAnsi="Arial"/>
                <w:sz w:val="18"/>
                <w:szCs w:val="18"/>
                <w:color w:val="auto"/>
              </w:rPr>
              <w:t>Commercial business</w:t>
            </w: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040" w:type="dxa"/>
            <w:vAlign w:val="bottom"/>
          </w:tcPr>
          <w:p>
            <w:pPr>
              <w:jc w:val="right"/>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3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Consumer</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0"/>
        </w:trPr>
        <w:tc>
          <w:tcPr>
            <w:tcW w:w="2420" w:type="dxa"/>
            <w:vAlign w:val="bottom"/>
          </w:tcPr>
          <w:p>
            <w:pPr>
              <w:spacing w:after="0"/>
              <w:rPr>
                <w:sz w:val="20"/>
                <w:szCs w:val="20"/>
                <w:color w:val="auto"/>
              </w:rPr>
            </w:pPr>
            <w:r>
              <w:rPr>
                <w:rFonts w:ascii="Arial" w:cs="Arial" w:eastAsia="Arial" w:hAnsi="Arial"/>
                <w:sz w:val="18"/>
                <w:szCs w:val="18"/>
                <w:color w:val="auto"/>
              </w:rPr>
              <w:t>Total originated portfolio</w:t>
            </w: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423</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370</w:t>
            </w:r>
          </w:p>
        </w:tc>
        <w:tc>
          <w:tcPr>
            <w:tcW w:w="220" w:type="dxa"/>
            <w:vAlign w:val="bottom"/>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1,384</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Purchased portfolio:</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gridSpan w:val="2"/>
          </w:tcPr>
          <w:p>
            <w:pPr>
              <w:ind w:left="180"/>
              <w:spacing w:after="0"/>
              <w:rPr>
                <w:sz w:val="20"/>
                <w:szCs w:val="20"/>
                <w:color w:val="auto"/>
              </w:rPr>
            </w:pPr>
            <w:r>
              <w:rPr>
                <w:rFonts w:ascii="Arial" w:cs="Arial" w:eastAsia="Arial" w:hAnsi="Arial"/>
                <w:sz w:val="18"/>
                <w:szCs w:val="18"/>
                <w:color w:val="auto"/>
              </w:rPr>
              <w:t>Residential real estate</w:t>
            </w: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040" w:type="dxa"/>
            <w:vAlign w:val="bottom"/>
          </w:tcPr>
          <w:p>
            <w:pPr>
              <w:jc w:val="right"/>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3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Commercial real estate</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0"/>
        </w:trPr>
        <w:tc>
          <w:tcPr>
            <w:tcW w:w="24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purchased portfolio</w:t>
            </w:r>
          </w:p>
        </w:tc>
        <w:tc>
          <w:tcPr>
            <w:tcW w:w="90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2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220" w:type="dxa"/>
            <w:vAlign w:val="bottom"/>
            <w:tcBorders>
              <w:bottom w:val="single" w:sz="8" w:color="CCEEFF"/>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2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2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9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2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1,384</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Further, during the first quarter of Fiscal 2013, the Company identified approximately $1.1 million of residential and consumer loans for which the borrower’s obligation had been discharged in bankruptcy in a prior period. Under recent regulatory guidance, these loans are required to be classified as TDRs and are considered collateral dependent impaired loans.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Company’s post-modification balance of TDRs by type of modification.</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tcPr>
          <w:p>
            <w:pPr>
              <w:spacing w:after="0"/>
              <w:rPr>
                <w:sz w:val="14"/>
                <w:szCs w:val="14"/>
                <w:color w:val="auto"/>
              </w:rPr>
            </w:pPr>
          </w:p>
        </w:tc>
        <w:tc>
          <w:tcPr>
            <w:tcW w:w="252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3"/>
              </w:rPr>
              <w:t>Three Months Ended</w:t>
            </w:r>
          </w:p>
        </w:tc>
        <w:tc>
          <w:tcPr>
            <w:tcW w:w="2380" w:type="dxa"/>
            <w:vAlign w:val="bottom"/>
            <w:gridSpan w:val="7"/>
          </w:tcPr>
          <w:p>
            <w:pPr>
              <w:jc w:val="center"/>
              <w:ind w:right="100"/>
              <w:spacing w:after="0"/>
              <w:rPr>
                <w:sz w:val="20"/>
                <w:szCs w:val="20"/>
                <w:color w:val="auto"/>
              </w:rPr>
            </w:pPr>
            <w:r>
              <w:rPr>
                <w:rFonts w:ascii="Arial" w:cs="Arial" w:eastAsia="Arial" w:hAnsi="Arial"/>
                <w:sz w:val="14"/>
                <w:szCs w:val="14"/>
                <w:b w:val="1"/>
                <w:bCs w:val="1"/>
                <w:color w:val="auto"/>
                <w:w w:val="94"/>
              </w:rPr>
              <w:t>Nine Months Ended</w:t>
            </w:r>
          </w:p>
        </w:tc>
      </w:tr>
      <w:tr>
        <w:trPr>
          <w:trHeight w:val="171"/>
        </w:trPr>
        <w:tc>
          <w:tcPr>
            <w:tcW w:w="2520" w:type="dxa"/>
            <w:vAlign w:val="bottom"/>
          </w:tcPr>
          <w:p>
            <w:pPr>
              <w:spacing w:after="0"/>
              <w:rPr>
                <w:sz w:val="14"/>
                <w:szCs w:val="14"/>
                <w:color w:val="auto"/>
              </w:rPr>
            </w:pPr>
          </w:p>
        </w:tc>
        <w:tc>
          <w:tcPr>
            <w:tcW w:w="252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4"/>
              </w:rPr>
              <w:t>March 31, 2013</w:t>
            </w:r>
          </w:p>
        </w:tc>
        <w:tc>
          <w:tcPr>
            <w:tcW w:w="2380" w:type="dxa"/>
            <w:vAlign w:val="bottom"/>
            <w:gridSpan w:val="7"/>
          </w:tcPr>
          <w:p>
            <w:pPr>
              <w:jc w:val="center"/>
              <w:ind w:right="100"/>
              <w:spacing w:after="0"/>
              <w:rPr>
                <w:sz w:val="20"/>
                <w:szCs w:val="20"/>
                <w:color w:val="auto"/>
              </w:rPr>
            </w:pPr>
            <w:r>
              <w:rPr>
                <w:rFonts w:ascii="Arial" w:cs="Arial" w:eastAsia="Arial" w:hAnsi="Arial"/>
                <w:sz w:val="14"/>
                <w:szCs w:val="14"/>
                <w:b w:val="1"/>
                <w:bCs w:val="1"/>
                <w:color w:val="auto"/>
                <w:w w:val="96"/>
              </w:rPr>
              <w:t>March 31, 2013</w:t>
            </w:r>
          </w:p>
        </w:tc>
      </w:tr>
      <w:tr>
        <w:trPr>
          <w:trHeight w:val="119"/>
        </w:trPr>
        <w:tc>
          <w:tcPr>
            <w:tcW w:w="2520" w:type="dxa"/>
            <w:vAlign w:val="bottom"/>
          </w:tcPr>
          <w:p>
            <w:pPr>
              <w:spacing w:after="0"/>
              <w:rPr>
                <w:sz w:val="10"/>
                <w:szCs w:val="10"/>
                <w:color w:val="auto"/>
              </w:rPr>
            </w:pPr>
          </w:p>
        </w:tc>
        <w:tc>
          <w:tcPr>
            <w:tcW w:w="1260" w:type="dxa"/>
            <w:vAlign w:val="bottom"/>
            <w:tcBorders>
              <w:top w:val="single" w:sz="8" w:color="auto"/>
            </w:tcBorders>
            <w:gridSpan w:val="2"/>
          </w:tcPr>
          <w:p>
            <w:pPr>
              <w:jc w:val="right"/>
              <w:ind w:right="420"/>
              <w:spacing w:after="0" w:line="119" w:lineRule="exact"/>
              <w:rPr>
                <w:sz w:val="20"/>
                <w:szCs w:val="20"/>
                <w:color w:val="auto"/>
              </w:rPr>
            </w:pPr>
            <w:r>
              <w:rPr>
                <w:rFonts w:ascii="Arial" w:cs="Arial" w:eastAsia="Arial" w:hAnsi="Arial"/>
                <w:sz w:val="13"/>
                <w:szCs w:val="13"/>
                <w:b w:val="1"/>
                <w:bCs w:val="1"/>
                <w:color w:val="auto"/>
              </w:rPr>
              <w:t>Number of</w:t>
            </w:r>
          </w:p>
        </w:tc>
        <w:tc>
          <w:tcPr>
            <w:tcW w:w="12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center"/>
              <w:ind w:right="37"/>
              <w:spacing w:after="0" w:line="119" w:lineRule="exact"/>
              <w:rPr>
                <w:sz w:val="20"/>
                <w:szCs w:val="20"/>
                <w:color w:val="auto"/>
              </w:rPr>
            </w:pPr>
            <w:r>
              <w:rPr>
                <w:rFonts w:ascii="Arial" w:cs="Arial" w:eastAsia="Arial" w:hAnsi="Arial"/>
                <w:sz w:val="13"/>
                <w:szCs w:val="13"/>
                <w:b w:val="1"/>
                <w:bCs w:val="1"/>
                <w:color w:val="auto"/>
                <w:w w:val="99"/>
              </w:rPr>
              <w:t>Recorded</w:t>
            </w:r>
          </w:p>
        </w:tc>
        <w:tc>
          <w:tcPr>
            <w:tcW w:w="220" w:type="dxa"/>
            <w:vAlign w:val="bottom"/>
          </w:tcPr>
          <w:p>
            <w:pPr>
              <w:spacing w:after="0"/>
              <w:rPr>
                <w:sz w:val="10"/>
                <w:szCs w:val="10"/>
                <w:color w:val="auto"/>
              </w:rPr>
            </w:pPr>
          </w:p>
        </w:tc>
        <w:tc>
          <w:tcPr>
            <w:tcW w:w="1260" w:type="dxa"/>
            <w:vAlign w:val="bottom"/>
            <w:tcBorders>
              <w:top w:val="single" w:sz="8" w:color="auto"/>
            </w:tcBorders>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rPr>
              <w:t>Number of</w:t>
            </w:r>
          </w:p>
        </w:tc>
        <w:tc>
          <w:tcPr>
            <w:tcW w:w="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center"/>
              <w:ind w:right="35"/>
              <w:spacing w:after="0" w:line="119" w:lineRule="exact"/>
              <w:rPr>
                <w:sz w:val="20"/>
                <w:szCs w:val="20"/>
                <w:color w:val="auto"/>
              </w:rPr>
            </w:pPr>
            <w:r>
              <w:rPr>
                <w:rFonts w:ascii="Arial" w:cs="Arial" w:eastAsia="Arial" w:hAnsi="Arial"/>
                <w:sz w:val="13"/>
                <w:szCs w:val="13"/>
                <w:b w:val="1"/>
                <w:bCs w:val="1"/>
                <w:color w:val="auto"/>
                <w:w w:val="96"/>
              </w:rPr>
              <w:t>Recorded</w:t>
            </w:r>
          </w:p>
        </w:tc>
        <w:tc>
          <w:tcPr>
            <w:tcW w:w="100" w:type="dxa"/>
            <w:vAlign w:val="bottom"/>
            <w:gridSpan w:val="2"/>
          </w:tcPr>
          <w:p>
            <w:pPr>
              <w:spacing w:after="0"/>
              <w:rPr>
                <w:sz w:val="10"/>
                <w:szCs w:val="10"/>
                <w:color w:val="auto"/>
              </w:rPr>
            </w:pPr>
          </w:p>
        </w:tc>
      </w:tr>
      <w:tr>
        <w:trPr>
          <w:trHeight w:val="171"/>
        </w:trPr>
        <w:tc>
          <w:tcPr>
            <w:tcW w:w="2520" w:type="dxa"/>
            <w:vAlign w:val="bottom"/>
          </w:tcPr>
          <w:p>
            <w:pPr>
              <w:spacing w:after="0"/>
              <w:rPr>
                <w:sz w:val="14"/>
                <w:szCs w:val="14"/>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Contracts</w:t>
            </w:r>
          </w:p>
        </w:tc>
        <w:tc>
          <w:tcPr>
            <w:tcW w:w="120" w:type="dxa"/>
            <w:vAlign w:val="bottom"/>
          </w:tcPr>
          <w:p>
            <w:pPr>
              <w:spacing w:after="0"/>
              <w:rPr>
                <w:sz w:val="14"/>
                <w:szCs w:val="14"/>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Investment</w:t>
            </w: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Contracts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4"/>
              </w:rPr>
              <w:t>Investment</w:t>
            </w:r>
          </w:p>
        </w:tc>
      </w:tr>
      <w:tr>
        <w:trPr>
          <w:trHeight w:val="142"/>
        </w:trPr>
        <w:tc>
          <w:tcPr>
            <w:tcW w:w="252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400" w:type="dxa"/>
            <w:vAlign w:val="bottom"/>
            <w:tcBorders>
              <w:top w:val="single" w:sz="8" w:color="auto"/>
            </w:tcBorders>
            <w:gridSpan w:val="4"/>
          </w:tcPr>
          <w:p>
            <w:pPr>
              <w:ind w:left="340"/>
              <w:spacing w:after="0" w:line="142" w:lineRule="exact"/>
              <w:rPr>
                <w:sz w:val="20"/>
                <w:szCs w:val="20"/>
                <w:color w:val="auto"/>
              </w:rPr>
            </w:pPr>
            <w:r>
              <w:rPr>
                <w:rFonts w:ascii="Arial" w:cs="Arial" w:eastAsia="Arial" w:hAnsi="Arial"/>
                <w:sz w:val="14"/>
                <w:szCs w:val="14"/>
                <w:b w:val="1"/>
                <w:bCs w:val="1"/>
                <w:color w:val="auto"/>
              </w:rPr>
              <w:t>(Dollars in thousands)</w:t>
            </w: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Extended maturity</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326</w:t>
            </w:r>
          </w:p>
        </w:tc>
        <w:tc>
          <w:tcPr>
            <w:tcW w:w="80" w:type="dxa"/>
            <w:vAlign w:val="bottom"/>
            <w:shd w:val="clear" w:color="auto" w:fill="CCEEFF"/>
          </w:tcPr>
          <w:p>
            <w:pPr>
              <w:spacing w:after="0"/>
              <w:rPr>
                <w:sz w:val="18"/>
                <w:szCs w:val="18"/>
                <w:color w:val="auto"/>
              </w:rPr>
            </w:pP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Adjusted interest rate</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84</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84</w:t>
            </w:r>
          </w:p>
        </w:tc>
        <w:tc>
          <w:tcPr>
            <w:tcW w:w="80" w:type="dxa"/>
            <w:vAlign w:val="bottom"/>
          </w:tcPr>
          <w:p>
            <w:pPr>
              <w:spacing w:after="0"/>
              <w:rPr>
                <w:sz w:val="18"/>
                <w:szCs w:val="18"/>
                <w:color w:val="auto"/>
              </w:rPr>
            </w:pPr>
          </w:p>
        </w:tc>
      </w:tr>
      <w:tr>
        <w:trPr>
          <w:trHeight w:val="216"/>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Rate and maturity</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733</w:t>
            </w:r>
          </w:p>
        </w:tc>
        <w:tc>
          <w:tcPr>
            <w:tcW w:w="80" w:type="dxa"/>
            <w:vAlign w:val="bottom"/>
            <w:shd w:val="clear" w:color="auto" w:fill="CCEEFF"/>
          </w:tcPr>
          <w:p>
            <w:pPr>
              <w:spacing w:after="0"/>
              <w:rPr>
                <w:sz w:val="18"/>
                <w:szCs w:val="18"/>
                <w:color w:val="auto"/>
              </w:rPr>
            </w:pP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Principal deferment</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73</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73</w:t>
            </w:r>
          </w:p>
        </w:tc>
        <w:tc>
          <w:tcPr>
            <w:tcW w:w="80" w:type="dxa"/>
            <w:vAlign w:val="bottom"/>
          </w:tcPr>
          <w:p>
            <w:pPr>
              <w:spacing w:after="0"/>
              <w:rPr>
                <w:sz w:val="18"/>
                <w:szCs w:val="18"/>
                <w:color w:val="auto"/>
              </w:rPr>
            </w:pPr>
          </w:p>
        </w:tc>
      </w:tr>
      <w:tr>
        <w:trPr>
          <w:trHeight w:val="216"/>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Court ordered concession</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116</w:t>
            </w:r>
          </w:p>
        </w:tc>
      </w:tr>
      <w:tr>
        <w:trPr>
          <w:trHeight w:val="210"/>
        </w:trPr>
        <w:tc>
          <w:tcPr>
            <w:tcW w:w="252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371</w:t>
            </w:r>
          </w:p>
        </w:tc>
        <w:tc>
          <w:tcPr>
            <w:tcW w:w="22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1,332</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25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Company considers TDRs past due 90 days or more to be in payment default. One loan modified in a TDR in the last twelve months defaulted during the nine months ended March 31, 2013; the recorded investment of such loan was $36 thousand. There were no defaults of TDRs modified during the last twelve</w:t>
      </w:r>
    </w:p>
    <w:p>
      <w:pPr>
        <w:sectPr>
          <w:pgSz w:w="11900" w:h="16838" w:orient="portrait"/>
          <w:cols w:equalWidth="0" w:num="1">
            <w:col w:w="11420"/>
          </w:cols>
          <w:pgMar w:left="240" w:top="125" w:right="239" w:bottom="0" w:gutter="0" w:footer="0" w:header="0"/>
        </w:sectPr>
      </w:pPr>
    </w:p>
    <w:bookmarkStart w:id="14" w:name="page15"/>
    <w:bookmarkEnd w:id="14"/>
    <w:p>
      <w:pPr>
        <w:spacing w:after="0" w:line="5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months during the three months ended March 31, 2013. As of March 31, 2013, there were no further commitments to lend associated with loans modified in a TDR.</w:t>
      </w:r>
    </w:p>
    <w:p>
      <w:pPr>
        <w:spacing w:after="0" w:line="17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following table shows loans modified in a TDR for the Fiscal 2012 periods and the change in the recorded investment subsequent to the modifications occurring. All concessions given during the period consisted of either rate reductions or maturity extensions, or combinations thereof. There was no forgiveness of principal related to loans modified in a TDR during the period. There were no defaults of loans previously modified in a TDR during the three or nine months ended March 31, 2012.</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80" w:type="dxa"/>
            <w:vAlign w:val="bottom"/>
            <w:gridSpan w:val="9"/>
          </w:tcPr>
          <w:p>
            <w:pPr>
              <w:ind w:left="120"/>
              <w:spacing w:after="0"/>
              <w:rPr>
                <w:sz w:val="20"/>
                <w:szCs w:val="20"/>
                <w:color w:val="auto"/>
              </w:rPr>
            </w:pPr>
            <w:r>
              <w:rPr>
                <w:rFonts w:ascii="Arial" w:cs="Arial" w:eastAsia="Arial" w:hAnsi="Arial"/>
                <w:sz w:val="14"/>
                <w:szCs w:val="14"/>
                <w:b w:val="1"/>
                <w:bCs w:val="1"/>
                <w:color w:val="auto"/>
              </w:rPr>
              <w:t>Three Months Ended March 31, 2012</w:t>
            </w:r>
          </w:p>
        </w:tc>
        <w:tc>
          <w:tcPr>
            <w:tcW w:w="1040" w:type="dxa"/>
            <w:vAlign w:val="bottom"/>
          </w:tcPr>
          <w:p>
            <w:pPr>
              <w:spacing w:after="0"/>
              <w:rPr>
                <w:sz w:val="14"/>
                <w:szCs w:val="14"/>
                <w:color w:val="auto"/>
              </w:rPr>
            </w:pPr>
          </w:p>
        </w:tc>
        <w:tc>
          <w:tcPr>
            <w:tcW w:w="3380" w:type="dxa"/>
            <w:vAlign w:val="bottom"/>
            <w:gridSpan w:val="8"/>
          </w:tcPr>
          <w:p>
            <w:pPr>
              <w:spacing w:after="0"/>
              <w:rPr>
                <w:sz w:val="20"/>
                <w:szCs w:val="20"/>
                <w:color w:val="auto"/>
              </w:rPr>
            </w:pPr>
            <w:r>
              <w:rPr>
                <w:rFonts w:ascii="Arial" w:cs="Arial" w:eastAsia="Arial" w:hAnsi="Arial"/>
                <w:sz w:val="14"/>
                <w:szCs w:val="14"/>
                <w:b w:val="1"/>
                <w:bCs w:val="1"/>
                <w:color w:val="auto"/>
              </w:rPr>
              <w:t>Nine Months Ended March 31, 2012</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900" w:type="dxa"/>
            <w:vAlign w:val="bottom"/>
            <w:tcBorders>
              <w:top w:val="single" w:sz="8" w:color="auto"/>
            </w:tcBorders>
            <w:vMerge w:val="restart"/>
          </w:tcPr>
          <w:p>
            <w:pPr>
              <w:jc w:val="center"/>
              <w:ind w:left="48"/>
              <w:spacing w:after="0"/>
              <w:rPr>
                <w:sz w:val="20"/>
                <w:szCs w:val="20"/>
                <w:color w:val="auto"/>
              </w:rPr>
            </w:pPr>
            <w:r>
              <w:rPr>
                <w:rFonts w:ascii="Arial" w:cs="Arial" w:eastAsia="Arial" w:hAnsi="Arial"/>
                <w:sz w:val="14"/>
                <w:szCs w:val="14"/>
                <w:b w:val="1"/>
                <w:bCs w:val="1"/>
                <w:color w:val="auto"/>
                <w:w w:val="94"/>
              </w:rPr>
              <w:t>Number of</w:t>
            </w:r>
          </w:p>
        </w:tc>
        <w:tc>
          <w:tcPr>
            <w:tcW w:w="1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480" w:type="dxa"/>
            <w:vAlign w:val="bottom"/>
            <w:tcBorders>
              <w:top w:val="single" w:sz="8" w:color="auto"/>
            </w:tcBorders>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w w:val="96"/>
              </w:rPr>
              <w:t>Recorded</w:t>
            </w:r>
          </w:p>
        </w:tc>
        <w:tc>
          <w:tcPr>
            <w:tcW w:w="14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tcPr>
          <w:p>
            <w:pPr>
              <w:jc w:val="center"/>
              <w:ind w:right="55"/>
              <w:spacing w:after="0" w:line="119" w:lineRule="exact"/>
              <w:rPr>
                <w:sz w:val="20"/>
                <w:szCs w:val="20"/>
                <w:color w:val="auto"/>
              </w:rPr>
            </w:pPr>
            <w:r>
              <w:rPr>
                <w:rFonts w:ascii="Arial" w:cs="Arial" w:eastAsia="Arial" w:hAnsi="Arial"/>
                <w:sz w:val="13"/>
                <w:szCs w:val="13"/>
                <w:b w:val="1"/>
                <w:bCs w:val="1"/>
                <w:color w:val="auto"/>
                <w:w w:val="96"/>
              </w:rPr>
              <w:t>Recorded</w:t>
            </w:r>
          </w:p>
        </w:tc>
        <w:tc>
          <w:tcPr>
            <w:tcW w:w="220" w:type="dxa"/>
            <w:vAlign w:val="bottom"/>
          </w:tcPr>
          <w:p>
            <w:pPr>
              <w:spacing w:after="0"/>
              <w:rPr>
                <w:sz w:val="10"/>
                <w:szCs w:val="10"/>
                <w:color w:val="auto"/>
              </w:rPr>
            </w:pPr>
          </w:p>
        </w:tc>
        <w:tc>
          <w:tcPr>
            <w:tcW w:w="1040" w:type="dxa"/>
            <w:vAlign w:val="bottom"/>
            <w:tcBorders>
              <w:top w:val="single" w:sz="8" w:color="auto"/>
            </w:tcBorders>
            <w:vMerge w:val="restart"/>
          </w:tcPr>
          <w:p>
            <w:pPr>
              <w:jc w:val="right"/>
              <w:ind w:right="93"/>
              <w:spacing w:after="0"/>
              <w:rPr>
                <w:sz w:val="20"/>
                <w:szCs w:val="20"/>
                <w:color w:val="auto"/>
              </w:rPr>
            </w:pPr>
            <w:r>
              <w:rPr>
                <w:rFonts w:ascii="Arial" w:cs="Arial" w:eastAsia="Arial" w:hAnsi="Arial"/>
                <w:sz w:val="14"/>
                <w:szCs w:val="14"/>
                <w:b w:val="1"/>
                <w:bCs w:val="1"/>
                <w:color w:val="auto"/>
              </w:rPr>
              <w:t>Number of</w:t>
            </w:r>
          </w:p>
        </w:tc>
        <w:tc>
          <w:tcPr>
            <w:tcW w:w="2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w w:val="99"/>
              </w:rPr>
              <w:t>Recorded</w:t>
            </w:r>
          </w:p>
        </w:tc>
        <w:tc>
          <w:tcPr>
            <w:tcW w:w="12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tcPr>
          <w:p>
            <w:pPr>
              <w:jc w:val="center"/>
              <w:ind w:right="54"/>
              <w:spacing w:after="0" w:line="119" w:lineRule="exact"/>
              <w:rPr>
                <w:sz w:val="20"/>
                <w:szCs w:val="20"/>
                <w:color w:val="auto"/>
              </w:rPr>
            </w:pPr>
            <w:r>
              <w:rPr>
                <w:rFonts w:ascii="Arial" w:cs="Arial" w:eastAsia="Arial" w:hAnsi="Arial"/>
                <w:sz w:val="13"/>
                <w:szCs w:val="13"/>
                <w:b w:val="1"/>
                <w:bCs w:val="1"/>
                <w:color w:val="auto"/>
                <w:w w:val="99"/>
              </w:rPr>
              <w:t>Recorded</w:t>
            </w:r>
          </w:p>
        </w:tc>
        <w:tc>
          <w:tcPr>
            <w:tcW w:w="1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Investment</w:t>
            </w:r>
          </w:p>
        </w:tc>
        <w:tc>
          <w:tcPr>
            <w:tcW w:w="140" w:type="dxa"/>
            <w:vAlign w:val="bottom"/>
          </w:tcPr>
          <w:p>
            <w:pPr>
              <w:spacing w:after="0"/>
              <w:rPr>
                <w:sz w:val="12"/>
                <w:szCs w:val="12"/>
                <w:color w:val="auto"/>
              </w:rPr>
            </w:pPr>
          </w:p>
        </w:tc>
        <w:tc>
          <w:tcPr>
            <w:tcW w:w="15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Investment</w:t>
            </w:r>
          </w:p>
        </w:tc>
        <w:tc>
          <w:tcPr>
            <w:tcW w:w="10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Investment</w:t>
            </w:r>
          </w:p>
        </w:tc>
        <w:tc>
          <w:tcPr>
            <w:tcW w:w="120" w:type="dxa"/>
            <w:vAlign w:val="bottom"/>
          </w:tcPr>
          <w:p>
            <w:pPr>
              <w:spacing w:after="0"/>
              <w:rPr>
                <w:sz w:val="12"/>
                <w:szCs w:val="12"/>
                <w:color w:val="auto"/>
              </w:rPr>
            </w:pPr>
          </w:p>
        </w:tc>
        <w:tc>
          <w:tcPr>
            <w:tcW w:w="144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Investment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900" w:type="dxa"/>
            <w:vAlign w:val="bottom"/>
          </w:tcPr>
          <w:p>
            <w:pPr>
              <w:jc w:val="center"/>
              <w:ind w:left="48"/>
              <w:spacing w:after="0"/>
              <w:rPr>
                <w:sz w:val="20"/>
                <w:szCs w:val="20"/>
                <w:color w:val="auto"/>
              </w:rPr>
            </w:pPr>
            <w:r>
              <w:rPr>
                <w:rFonts w:ascii="Arial" w:cs="Arial" w:eastAsia="Arial" w:hAnsi="Arial"/>
                <w:sz w:val="14"/>
                <w:szCs w:val="14"/>
                <w:b w:val="1"/>
                <w:bCs w:val="1"/>
                <w:color w:val="auto"/>
                <w:w w:val="94"/>
              </w:rPr>
              <w:t>Contracts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Pre-Modification</w:t>
            </w:r>
          </w:p>
        </w:tc>
        <w:tc>
          <w:tcPr>
            <w:tcW w:w="140" w:type="dxa"/>
            <w:vAlign w:val="bottom"/>
          </w:tcPr>
          <w:p>
            <w:pPr>
              <w:spacing w:after="0"/>
              <w:rPr>
                <w:sz w:val="14"/>
                <w:szCs w:val="14"/>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Post-Modification</w:t>
            </w:r>
          </w:p>
        </w:tc>
        <w:tc>
          <w:tcPr>
            <w:tcW w:w="1040" w:type="dxa"/>
            <w:vAlign w:val="bottom"/>
          </w:tcPr>
          <w:p>
            <w:pPr>
              <w:jc w:val="right"/>
              <w:ind w:right="133"/>
              <w:spacing w:after="0"/>
              <w:rPr>
                <w:sz w:val="20"/>
                <w:szCs w:val="20"/>
                <w:color w:val="auto"/>
              </w:rPr>
            </w:pPr>
            <w:r>
              <w:rPr>
                <w:rFonts w:ascii="Arial" w:cs="Arial" w:eastAsia="Arial" w:hAnsi="Arial"/>
                <w:sz w:val="14"/>
                <w:szCs w:val="14"/>
                <w:b w:val="1"/>
                <w:bCs w:val="1"/>
                <w:color w:val="auto"/>
              </w:rPr>
              <w:t>Contracts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Pre-Modification</w:t>
            </w:r>
          </w:p>
        </w:tc>
        <w:tc>
          <w:tcPr>
            <w:tcW w:w="120" w:type="dxa"/>
            <w:vAlign w:val="bottom"/>
          </w:tcPr>
          <w:p>
            <w:pPr>
              <w:spacing w:after="0"/>
              <w:rPr>
                <w:sz w:val="14"/>
                <w:szCs w:val="14"/>
                <w:color w:val="auto"/>
              </w:rPr>
            </w:pPr>
          </w:p>
        </w:tc>
        <w:tc>
          <w:tcPr>
            <w:tcW w:w="14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Post-Modification</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620" w:type="dxa"/>
            <w:vAlign w:val="bottom"/>
            <w:tcBorders>
              <w:top w:val="single" w:sz="8" w:color="auto"/>
            </w:tcBorders>
            <w:gridSpan w:val="3"/>
          </w:tcPr>
          <w:p>
            <w:pPr>
              <w:jc w:val="right"/>
              <w:ind w:right="413"/>
              <w:spacing w:after="0" w:line="142" w:lineRule="exact"/>
              <w:rPr>
                <w:sz w:val="20"/>
                <w:szCs w:val="20"/>
                <w:color w:val="auto"/>
              </w:rPr>
            </w:pPr>
            <w:r>
              <w:rPr>
                <w:rFonts w:ascii="Arial" w:cs="Arial" w:eastAsia="Arial" w:hAnsi="Arial"/>
                <w:sz w:val="14"/>
                <w:szCs w:val="14"/>
                <w:b w:val="1"/>
                <w:bCs w:val="1"/>
                <w:color w:val="auto"/>
              </w:rPr>
              <w:t>(Dollars in thousands)</w:t>
            </w:r>
          </w:p>
        </w:tc>
        <w:tc>
          <w:tcPr>
            <w:tcW w:w="2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Originated portfolio:</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tcPr>
          <w:p>
            <w:pPr>
              <w:ind w:left="160"/>
              <w:spacing w:after="0"/>
              <w:rPr>
                <w:sz w:val="20"/>
                <w:szCs w:val="20"/>
                <w:color w:val="auto"/>
              </w:rPr>
            </w:pPr>
            <w:r>
              <w:rPr>
                <w:rFonts w:ascii="Arial" w:cs="Arial" w:eastAsia="Arial" w:hAnsi="Arial"/>
                <w:sz w:val="18"/>
                <w:szCs w:val="18"/>
                <w:color w:val="auto"/>
              </w:rPr>
              <w:t>Residential real estate</w:t>
            </w: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161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161</w:t>
            </w: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161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161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Home equity</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tcPr>
          <w:p>
            <w:pPr>
              <w:ind w:left="160"/>
              <w:spacing w:after="0"/>
              <w:rPr>
                <w:sz w:val="20"/>
                <w:szCs w:val="20"/>
                <w:color w:val="auto"/>
              </w:rPr>
            </w:pPr>
            <w:r>
              <w:rPr>
                <w:rFonts w:ascii="Arial" w:cs="Arial" w:eastAsia="Arial" w:hAnsi="Arial"/>
                <w:sz w:val="18"/>
                <w:szCs w:val="18"/>
                <w:color w:val="auto"/>
              </w:rPr>
              <w:t>Commercial real estate</w:t>
            </w: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040" w:type="dxa"/>
            <w:vAlign w:val="bottom"/>
          </w:tcPr>
          <w:p>
            <w:pPr>
              <w:jc w:val="right"/>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Construction</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tcPr>
          <w:p>
            <w:pPr>
              <w:ind w:left="160"/>
              <w:spacing w:after="0"/>
              <w:rPr>
                <w:sz w:val="20"/>
                <w:szCs w:val="20"/>
                <w:color w:val="auto"/>
              </w:rPr>
            </w:pPr>
            <w:r>
              <w:rPr>
                <w:rFonts w:ascii="Arial" w:cs="Arial" w:eastAsia="Arial" w:hAnsi="Arial"/>
                <w:sz w:val="18"/>
                <w:szCs w:val="18"/>
                <w:color w:val="auto"/>
              </w:rPr>
              <w:t>Commercial business</w:t>
            </w: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040" w:type="dxa"/>
            <w:vAlign w:val="bottom"/>
          </w:tcPr>
          <w:p>
            <w:pPr>
              <w:jc w:val="right"/>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Consumer</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Total originated portfolio</w:t>
            </w: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220" w:type="dxa"/>
            <w:vAlign w:val="bottom"/>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gridSpan w:val="2"/>
          </w:tcPr>
          <w:p>
            <w:pPr>
              <w:spacing w:after="0"/>
              <w:rPr>
                <w:sz w:val="20"/>
                <w:szCs w:val="20"/>
                <w:color w:val="auto"/>
              </w:rPr>
            </w:pPr>
            <w:r>
              <w:rPr>
                <w:rFonts w:ascii="Arial" w:cs="Arial" w:eastAsia="Arial" w:hAnsi="Arial"/>
                <w:sz w:val="18"/>
                <w:szCs w:val="18"/>
                <w:color w:val="auto"/>
              </w:rPr>
              <w:t>Purchased portfolio:</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Residential real estate</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tcPr>
          <w:p>
            <w:pPr>
              <w:ind w:left="160"/>
              <w:spacing w:after="0"/>
              <w:rPr>
                <w:sz w:val="20"/>
                <w:szCs w:val="20"/>
                <w:color w:val="auto"/>
              </w:rPr>
            </w:pPr>
            <w:r>
              <w:rPr>
                <w:rFonts w:ascii="Arial" w:cs="Arial" w:eastAsia="Arial" w:hAnsi="Arial"/>
                <w:sz w:val="18"/>
                <w:szCs w:val="18"/>
                <w:color w:val="auto"/>
              </w:rPr>
              <w:t>Commercial real estate</w:t>
            </w: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040" w:type="dxa"/>
            <w:vAlign w:val="bottom"/>
          </w:tcPr>
          <w:p>
            <w:pPr>
              <w:jc w:val="right"/>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purchased portfolio</w:t>
            </w:r>
          </w:p>
        </w:tc>
        <w:tc>
          <w:tcPr>
            <w:tcW w:w="90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00" w:type="dxa"/>
            <w:vAlign w:val="bottom"/>
          </w:tcPr>
          <w:p>
            <w:pPr>
              <w:ind w:left="340"/>
              <w:spacing w:after="0"/>
              <w:rPr>
                <w:sz w:val="20"/>
                <w:szCs w:val="20"/>
                <w:color w:val="auto"/>
              </w:rPr>
            </w:pPr>
            <w:r>
              <w:rPr>
                <w:rFonts w:ascii="Arial" w:cs="Arial" w:eastAsia="Arial" w:hAnsi="Arial"/>
                <w:sz w:val="18"/>
                <w:szCs w:val="18"/>
                <w:color w:val="auto"/>
              </w:rPr>
              <w:t>Total</w:t>
            </w:r>
          </w:p>
        </w:tc>
        <w:tc>
          <w:tcPr>
            <w:tcW w:w="9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2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22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2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Company’s total TDRs as of the dates indicated.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6"/>
              </w:rPr>
              <w:t>March 31, 2013</w:t>
            </w:r>
          </w:p>
        </w:tc>
        <w:tc>
          <w:tcPr>
            <w:tcW w:w="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92"/>
              </w:rPr>
              <w:t>June 30, 2012</w:t>
            </w: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rPr>
              <w:t>On Accrual</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2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rPr>
              <w:t>On Nonaccrual</w:t>
            </w: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gridSpan w:val="2"/>
            <w:vMerge w:val="restart"/>
          </w:tcPr>
          <w:p>
            <w:pPr>
              <w:jc w:val="right"/>
              <w:ind w:right="66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0"/>
                <w:szCs w:val="10"/>
                <w:color w:val="auto"/>
              </w:rPr>
            </w:pPr>
          </w:p>
        </w:tc>
        <w:tc>
          <w:tcPr>
            <w:tcW w:w="1120" w:type="dxa"/>
            <w:vAlign w:val="bottom"/>
            <w:gridSpan w:val="2"/>
          </w:tcPr>
          <w:p>
            <w:pPr>
              <w:jc w:val="right"/>
              <w:ind w:right="340"/>
              <w:spacing w:after="0" w:line="119" w:lineRule="exact"/>
              <w:rPr>
                <w:sz w:val="20"/>
                <w:szCs w:val="20"/>
                <w:color w:val="auto"/>
              </w:rPr>
            </w:pPr>
            <w:r>
              <w:rPr>
                <w:rFonts w:ascii="Arial" w:cs="Arial" w:eastAsia="Arial" w:hAnsi="Arial"/>
                <w:sz w:val="13"/>
                <w:szCs w:val="13"/>
                <w:b w:val="1"/>
                <w:bCs w:val="1"/>
                <w:color w:val="auto"/>
              </w:rPr>
              <w:t>On Accrual</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4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rPr>
              <w:t>On Nonaccrual</w:t>
            </w:r>
          </w:p>
        </w:tc>
        <w:tc>
          <w:tcPr>
            <w:tcW w:w="240" w:type="dxa"/>
            <w:vAlign w:val="bottom"/>
          </w:tcPr>
          <w:p>
            <w:pPr>
              <w:spacing w:after="0"/>
              <w:rPr>
                <w:sz w:val="10"/>
                <w:szCs w:val="10"/>
                <w:color w:val="auto"/>
              </w:rPr>
            </w:pPr>
          </w:p>
        </w:tc>
        <w:tc>
          <w:tcPr>
            <w:tcW w:w="9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Status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Status</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Status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8"/>
              </w:rPr>
              <w:t>Status</w:t>
            </w:r>
          </w:p>
        </w:tc>
        <w:tc>
          <w:tcPr>
            <w:tcW w:w="2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400" w:type="dxa"/>
            <w:vAlign w:val="bottom"/>
            <w:tcBorders>
              <w:top w:val="single" w:sz="8" w:color="auto"/>
            </w:tcBorders>
            <w:gridSpan w:val="5"/>
          </w:tcPr>
          <w:p>
            <w:pPr>
              <w:jc w:val="right"/>
              <w:ind w:right="720"/>
              <w:spacing w:after="0" w:line="142" w:lineRule="exact"/>
              <w:rPr>
                <w:sz w:val="20"/>
                <w:szCs w:val="20"/>
                <w:color w:val="auto"/>
              </w:rPr>
            </w:pPr>
            <w:r>
              <w:rPr>
                <w:rFonts w:ascii="Arial" w:cs="Arial" w:eastAsia="Arial" w:hAnsi="Arial"/>
                <w:sz w:val="14"/>
                <w:szCs w:val="14"/>
                <w:b w:val="1"/>
                <w:bCs w:val="1"/>
                <w:color w:val="auto"/>
              </w:rPr>
              <w:t>(Dollars in thousands)</w:t>
            </w: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Originated portfolio:</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ind w:left="160"/>
              <w:spacing w:after="0"/>
              <w:rPr>
                <w:sz w:val="20"/>
                <w:szCs w:val="20"/>
                <w:color w:val="auto"/>
              </w:rPr>
            </w:pPr>
            <w:r>
              <w:rPr>
                <w:rFonts w:ascii="Arial" w:cs="Arial" w:eastAsia="Arial" w:hAnsi="Arial"/>
                <w:sz w:val="18"/>
                <w:szCs w:val="18"/>
                <w:color w:val="auto"/>
              </w:rPr>
              <w:t>Residential real estate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1,360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508</w:t>
            </w:r>
          </w:p>
        </w:tc>
        <w:tc>
          <w:tcPr>
            <w:tcW w:w="280" w:type="dxa"/>
            <w:vAlign w:val="bottom"/>
            <w:gridSpan w:val="2"/>
          </w:tcPr>
          <w:p>
            <w:pPr>
              <w:jc w:val="right"/>
              <w:ind w:right="85"/>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1,868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139</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Home equity</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139</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225</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ind w:left="160"/>
              <w:spacing w:after="0"/>
              <w:rPr>
                <w:sz w:val="20"/>
                <w:szCs w:val="20"/>
                <w:color w:val="auto"/>
              </w:rPr>
            </w:pPr>
            <w:r>
              <w:rPr>
                <w:rFonts w:ascii="Arial" w:cs="Arial" w:eastAsia="Arial" w:hAnsi="Arial"/>
                <w:sz w:val="18"/>
                <w:szCs w:val="18"/>
                <w:color w:val="auto"/>
              </w:rPr>
              <w:t>Commercial real estate</w:t>
            </w: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1,077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1,127</w:t>
            </w: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1,053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Construction</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ind w:left="160"/>
              <w:spacing w:after="0"/>
              <w:rPr>
                <w:sz w:val="20"/>
                <w:szCs w:val="20"/>
                <w:color w:val="auto"/>
              </w:rPr>
            </w:pPr>
            <w:r>
              <w:rPr>
                <w:rFonts w:ascii="Arial" w:cs="Arial" w:eastAsia="Arial" w:hAnsi="Arial"/>
                <w:sz w:val="18"/>
                <w:szCs w:val="18"/>
                <w:color w:val="auto"/>
              </w:rPr>
              <w:t>Commercial business</w:t>
            </w: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Consumer</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150</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Total originated portfolio</w:t>
            </w: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2,636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734</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3,370</w:t>
            </w: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Purchased portfolio:</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Residential real estate</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ind w:left="160"/>
              <w:spacing w:after="0"/>
              <w:rPr>
                <w:sz w:val="20"/>
                <w:szCs w:val="20"/>
                <w:color w:val="auto"/>
              </w:rPr>
            </w:pPr>
            <w:r>
              <w:rPr>
                <w:rFonts w:ascii="Arial" w:cs="Arial" w:eastAsia="Arial" w:hAnsi="Arial"/>
                <w:sz w:val="18"/>
                <w:szCs w:val="18"/>
                <w:color w:val="auto"/>
              </w:rPr>
              <w:t>Commercial real estate</w:t>
            </w: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purchased portfolio</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60" w:type="dxa"/>
            <w:vAlign w:val="bottom"/>
          </w:tcPr>
          <w:p>
            <w:pPr>
              <w:ind w:left="34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734</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3,370</w:t>
            </w:r>
          </w:p>
        </w:tc>
        <w:tc>
          <w:tcPr>
            <w:tcW w:w="2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220" w:type="dxa"/>
            <w:vAlign w:val="bottom"/>
          </w:tcPr>
          <w:p>
            <w:pPr>
              <w:spacing w:after="0"/>
              <w:rPr>
                <w:sz w:val="18"/>
                <w:szCs w:val="18"/>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286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0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22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90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0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22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8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240" w:hanging="232"/>
        <w:spacing w:after="0"/>
        <w:tabs>
          <w:tab w:leader="none" w:pos="2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Stock-Based Compensation</w:t>
      </w:r>
    </w:p>
    <w:p>
      <w:pPr>
        <w:spacing w:after="0" w:line="229" w:lineRule="exact"/>
        <w:rPr>
          <w:sz w:val="20"/>
          <w:szCs w:val="20"/>
          <w:color w:val="auto"/>
        </w:rPr>
      </w:pPr>
    </w:p>
    <w:p>
      <w:pPr>
        <w:jc w:val="both"/>
        <w:ind w:right="660"/>
        <w:spacing w:after="0" w:line="286" w:lineRule="auto"/>
        <w:rPr>
          <w:sz w:val="20"/>
          <w:szCs w:val="20"/>
          <w:color w:val="auto"/>
        </w:rPr>
      </w:pPr>
      <w:r>
        <w:rPr>
          <w:rFonts w:ascii="Arial" w:cs="Arial" w:eastAsia="Arial" w:hAnsi="Arial"/>
          <w:sz w:val="17"/>
          <w:szCs w:val="17"/>
          <w:color w:val="auto"/>
        </w:rPr>
        <w:t>At the 2012 annual meeting of shareholders held on November 28, 2012, the Company’s shareholders approved the Northeast Bancorp Amended and Restated 2010 Stock Option and Incentive Plan (the “Restated Plan”). The Restated Plan amends and restates the Northeast Bancorp 2010 Option and Incentive Plan (the “2010 Plan”). The key material differences between the 2010 Plan and the Restated Plan are:</w:t>
      </w:r>
    </w:p>
    <w:p>
      <w:pPr>
        <w:spacing w:after="0" w:line="166" w:lineRule="exact"/>
        <w:rPr>
          <w:sz w:val="20"/>
          <w:szCs w:val="20"/>
          <w:color w:val="auto"/>
        </w:rPr>
      </w:pPr>
    </w:p>
    <w:p>
      <w:pPr>
        <w:ind w:left="660" w:right="580" w:hanging="328"/>
        <w:spacing w:after="0" w:line="258" w:lineRule="auto"/>
        <w:tabs>
          <w:tab w:leader="none" w:pos="6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maximum number of shares of common stock to be issued under the Restated Plan is increased by 600,000 shares, from 810,054 shares to 1,410,054 shares;</w:t>
      </w:r>
    </w:p>
    <w:p>
      <w:pPr>
        <w:spacing w:after="0" w:line="1" w:lineRule="exact"/>
        <w:rPr>
          <w:rFonts w:ascii="Arial" w:cs="Arial" w:eastAsia="Arial" w:hAnsi="Arial"/>
          <w:sz w:val="18"/>
          <w:szCs w:val="18"/>
          <w:color w:val="auto"/>
        </w:rPr>
      </w:pPr>
    </w:p>
    <w:p>
      <w:pPr>
        <w:ind w:left="660" w:right="120" w:hanging="328"/>
        <w:spacing w:after="0" w:line="250" w:lineRule="auto"/>
        <w:tabs>
          <w:tab w:leader="none" w:pos="6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method by which shares subject to previously granted awards are added back to the Restated Plan has been revised so that the only shares added back to the Restated Plan are those subject to awards that are forfeited, canceled or otherwise terminated. The following shares shall not be added back to the Restated Plan: (i) shares tendered or held back upon exercise of an option or settlement of an award to cover the exercise price or tax withholding, and (ii) shares subject to a stock appreciation right that are not issued in connection with the stock settlement of the stock appreciation right upon exercise thereof.</w:t>
      </w:r>
    </w:p>
    <w:p>
      <w:pPr>
        <w:spacing w:after="0" w:line="2" w:lineRule="exact"/>
        <w:rPr>
          <w:rFonts w:ascii="Arial" w:cs="Arial" w:eastAsia="Arial" w:hAnsi="Arial"/>
          <w:sz w:val="18"/>
          <w:szCs w:val="18"/>
          <w:color w:val="auto"/>
        </w:rPr>
      </w:pPr>
    </w:p>
    <w:p>
      <w:pPr>
        <w:ind w:left="620" w:hanging="288"/>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Minimum vesting periods are required for grants of restricted stock, restricted stock units and performance share awards; and</w:t>
      </w:r>
    </w:p>
    <w:p>
      <w:pPr>
        <w:spacing w:after="0" w:line="9" w:lineRule="exact"/>
        <w:rPr>
          <w:rFonts w:ascii="Arial" w:cs="Arial" w:eastAsia="Arial" w:hAnsi="Arial"/>
          <w:sz w:val="18"/>
          <w:szCs w:val="18"/>
          <w:color w:val="auto"/>
        </w:rPr>
      </w:pPr>
    </w:p>
    <w:p>
      <w:pPr>
        <w:ind w:left="660" w:right="240" w:hanging="328"/>
        <w:spacing w:after="0" w:line="261" w:lineRule="auto"/>
        <w:tabs>
          <w:tab w:leader="none" w:pos="6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term of the Restated Plan will now expire on November 28, 2022, while grants of incentive options under the Restated Plan may be made until September 21, 2022.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 summary of stock option activity for the nine months ended March 31, 2013 follows:</w:t>
      </w:r>
    </w:p>
    <w:p>
      <w:pPr>
        <w:spacing w:after="0" w:line="204" w:lineRule="exact"/>
        <w:rPr>
          <w:sz w:val="20"/>
          <w:szCs w:val="20"/>
          <w:color w:val="auto"/>
        </w:rPr>
      </w:pPr>
    </w:p>
    <w:tbl>
      <w:tblPr>
        <w:tblLayout w:type="fixed"/>
        <w:tblInd w:w="6540" w:type="dxa"/>
        <w:tblCellMar>
          <w:top w:w="0" w:type="dxa"/>
          <w:left w:w="0" w:type="dxa"/>
          <w:bottom w:w="0" w:type="dxa"/>
          <w:right w:w="0" w:type="dxa"/>
        </w:tblCellMar>
      </w:tblPr>
      <w:tr>
        <w:trPr>
          <w:trHeight w:val="161"/>
        </w:trPr>
        <w:tc>
          <w:tcPr>
            <w:tcW w:w="900" w:type="dxa"/>
            <w:vAlign w:val="bottom"/>
          </w:tcPr>
          <w:p>
            <w:pPr>
              <w:spacing w:after="0"/>
              <w:rPr>
                <w:sz w:val="14"/>
                <w:szCs w:val="14"/>
                <w:color w:val="auto"/>
              </w:rPr>
            </w:pPr>
          </w:p>
        </w:tc>
        <w:tc>
          <w:tcPr>
            <w:tcW w:w="1380" w:type="dxa"/>
            <w:vAlign w:val="bottom"/>
          </w:tcPr>
          <w:p>
            <w:pPr>
              <w:jc w:val="center"/>
              <w:ind w:left="448"/>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900" w:type="dxa"/>
            <w:vAlign w:val="bottom"/>
            <w:vMerge w:val="restart"/>
          </w:tcPr>
          <w:p>
            <w:pPr>
              <w:spacing w:after="0"/>
              <w:rPr>
                <w:sz w:val="20"/>
                <w:szCs w:val="20"/>
                <w:color w:val="auto"/>
              </w:rPr>
            </w:pPr>
            <w:r>
              <w:rPr>
                <w:rFonts w:ascii="Arial" w:cs="Arial" w:eastAsia="Arial" w:hAnsi="Arial"/>
                <w:sz w:val="14"/>
                <w:szCs w:val="14"/>
                <w:b w:val="1"/>
                <w:bCs w:val="1"/>
                <w:color w:val="auto"/>
              </w:rPr>
              <w:t>Shares</w:t>
            </w:r>
          </w:p>
        </w:tc>
        <w:tc>
          <w:tcPr>
            <w:tcW w:w="1380" w:type="dxa"/>
            <w:vAlign w:val="bottom"/>
          </w:tcPr>
          <w:p>
            <w:pPr>
              <w:jc w:val="center"/>
              <w:ind w:left="448"/>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71"/>
        </w:trPr>
        <w:tc>
          <w:tcPr>
            <w:tcW w:w="900" w:type="dxa"/>
            <w:vAlign w:val="bottom"/>
            <w:vMerge w:val="continue"/>
          </w:tcPr>
          <w:p>
            <w:pPr>
              <w:spacing w:after="0"/>
              <w:rPr>
                <w:sz w:val="14"/>
                <w:szCs w:val="14"/>
                <w:color w:val="auto"/>
              </w:rPr>
            </w:pPr>
          </w:p>
        </w:tc>
        <w:tc>
          <w:tcPr>
            <w:tcW w:w="1380" w:type="dxa"/>
            <w:vAlign w:val="bottom"/>
          </w:tcPr>
          <w:p>
            <w:pPr>
              <w:jc w:val="center"/>
              <w:ind w:left="448"/>
              <w:spacing w:after="0"/>
              <w:rPr>
                <w:sz w:val="20"/>
                <w:szCs w:val="20"/>
                <w:color w:val="auto"/>
              </w:rPr>
            </w:pPr>
            <w:r>
              <w:rPr>
                <w:rFonts w:ascii="Arial" w:cs="Arial" w:eastAsia="Arial" w:hAnsi="Arial"/>
                <w:sz w:val="14"/>
                <w:szCs w:val="14"/>
                <w:b w:val="1"/>
                <w:bCs w:val="1"/>
                <w:color w:val="auto"/>
                <w:w w:val="89"/>
              </w:rPr>
              <w:t>Exercise Price</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97" w:orient="portrait"/>
          <w:cols w:equalWidth="0" w:num="1">
            <w:col w:w="11460"/>
          </w:cols>
          <w:pgMar w:left="240" w:top="125" w:right="199" w:bottom="0" w:gutter="0" w:footer="0" w:header="0"/>
        </w:sectPr>
      </w:pPr>
    </w:p>
    <w:tbl>
      <w:tblPr>
        <w:tblLayout w:type="fixed"/>
        <w:tblInd w:w="1960" w:type="dxa"/>
        <w:tblCellMar>
          <w:top w:w="0" w:type="dxa"/>
          <w:left w:w="0" w:type="dxa"/>
          <w:bottom w:w="0" w:type="dxa"/>
          <w:right w:w="0" w:type="dxa"/>
        </w:tblCellMar>
      </w:tblPr>
      <w:tr>
        <w:trPr>
          <w:trHeight w:val="210"/>
        </w:trPr>
        <w:tc>
          <w:tcPr>
            <w:tcW w:w="4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beginning of period</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796,049</w:t>
            </w:r>
          </w:p>
        </w:tc>
        <w:tc>
          <w:tcPr>
            <w:tcW w:w="2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100" w:type="dxa"/>
            <w:vAlign w:val="bottom"/>
          </w:tcPr>
          <w:p>
            <w:pPr>
              <w:ind w:left="180"/>
              <w:spacing w:after="0"/>
              <w:rPr>
                <w:sz w:val="20"/>
                <w:szCs w:val="20"/>
                <w:color w:val="auto"/>
              </w:rPr>
            </w:pPr>
            <w:r>
              <w:rPr>
                <w:rFonts w:ascii="Arial" w:cs="Arial" w:eastAsia="Arial" w:hAnsi="Arial"/>
                <w:sz w:val="18"/>
                <w:szCs w:val="18"/>
                <w:color w:val="auto"/>
              </w:rPr>
              <w:t>Granted</w:t>
            </w:r>
          </w:p>
        </w:tc>
        <w:tc>
          <w:tcPr>
            <w:tcW w:w="1360" w:type="dxa"/>
            <w:vAlign w:val="bottom"/>
          </w:tcPr>
          <w:p>
            <w:pPr>
              <w:jc w:val="right"/>
              <w:spacing w:after="0"/>
              <w:rPr>
                <w:sz w:val="20"/>
                <w:szCs w:val="20"/>
                <w:color w:val="auto"/>
              </w:rPr>
            </w:pPr>
            <w:r>
              <w:rPr>
                <w:rFonts w:ascii="Arial" w:cs="Arial" w:eastAsia="Arial" w:hAnsi="Arial"/>
                <w:sz w:val="18"/>
                <w:szCs w:val="18"/>
                <w:color w:val="auto"/>
              </w:rPr>
              <w:t>395,919</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9.38</w:t>
            </w:r>
          </w:p>
        </w:tc>
      </w:tr>
      <w:tr>
        <w:trPr>
          <w:trHeight w:val="216"/>
        </w:trPr>
        <w:tc>
          <w:tcPr>
            <w:tcW w:w="4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w:t>
            </w:r>
          </w:p>
        </w:tc>
        <w:tc>
          <w:tcPr>
            <w:tcW w:w="5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0.00</w:t>
            </w:r>
          </w:p>
        </w:tc>
      </w:tr>
    </w:tbl>
    <w:p>
      <w:pPr>
        <w:sectPr>
          <w:pgSz w:w="11900" w:h="16897" w:orient="portrait"/>
          <w:cols w:equalWidth="0" w:num="1">
            <w:col w:w="11460"/>
          </w:cols>
          <w:pgMar w:left="240" w:top="125" w:right="199" w:bottom="0" w:gutter="0" w:footer="0" w:header="0"/>
          <w:type w:val="continuous"/>
        </w:sectPr>
      </w:pPr>
    </w:p>
    <w:bookmarkStart w:id="15" w:name="page16"/>
    <w:bookmarkEnd w:id="15"/>
    <w:p>
      <w:pPr>
        <w:spacing w:after="0" w:line="1" w:lineRule="exact"/>
        <w:rPr>
          <w:sz w:val="20"/>
          <w:szCs w:val="20"/>
          <w:color w:val="auto"/>
        </w:rPr>
      </w:pPr>
    </w:p>
    <w:tbl>
      <w:tblPr>
        <w:tblLayout w:type="fixed"/>
        <w:tblInd w:w="1960" w:type="dxa"/>
        <w:tblCellMar>
          <w:top w:w="0" w:type="dxa"/>
          <w:left w:w="0" w:type="dxa"/>
          <w:bottom w:w="0" w:type="dxa"/>
          <w:right w:w="0" w:type="dxa"/>
        </w:tblCellMar>
      </w:tblPr>
      <w:tr>
        <w:trPr>
          <w:trHeight w:val="230"/>
        </w:trPr>
        <w:tc>
          <w:tcPr>
            <w:tcW w:w="4100" w:type="dxa"/>
            <w:vAlign w:val="bottom"/>
          </w:tcPr>
          <w:p>
            <w:pPr>
              <w:jc w:val="right"/>
              <w:ind w:right="3170"/>
              <w:spacing w:after="0"/>
              <w:rPr>
                <w:sz w:val="20"/>
                <w:szCs w:val="20"/>
                <w:color w:val="auto"/>
              </w:rPr>
            </w:pPr>
            <w:r>
              <w:rPr>
                <w:rFonts w:ascii="Arial" w:cs="Arial" w:eastAsia="Arial" w:hAnsi="Arial"/>
                <w:sz w:val="18"/>
                <w:szCs w:val="18"/>
                <w:color w:val="auto"/>
              </w:rPr>
              <w:t>Forfeited</w:t>
            </w:r>
          </w:p>
        </w:tc>
        <w:tc>
          <w:tcPr>
            <w:tcW w:w="2020" w:type="dxa"/>
            <w:vAlign w:val="bottom"/>
            <w:gridSpan w:val="2"/>
          </w:tcPr>
          <w:p>
            <w:pPr>
              <w:jc w:val="right"/>
              <w:ind w:right="600"/>
              <w:spacing w:after="0"/>
              <w:rPr>
                <w:sz w:val="20"/>
                <w:szCs w:val="20"/>
                <w:color w:val="auto"/>
              </w:rPr>
            </w:pPr>
            <w:r>
              <w:rPr>
                <w:rFonts w:ascii="Arial" w:cs="Arial" w:eastAsia="Arial" w:hAnsi="Arial"/>
                <w:sz w:val="18"/>
                <w:szCs w:val="18"/>
                <w:color w:val="auto"/>
              </w:rPr>
              <w:t>(18,301)</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13.40</w:t>
            </w:r>
          </w:p>
        </w:tc>
        <w:tc>
          <w:tcPr>
            <w:tcW w:w="0" w:type="dxa"/>
            <w:vAlign w:val="bottom"/>
          </w:tcPr>
          <w:p>
            <w:pPr>
              <w:spacing w:after="0"/>
              <w:rPr>
                <w:sz w:val="1"/>
                <w:szCs w:val="1"/>
                <w:color w:val="auto"/>
              </w:rPr>
            </w:pPr>
          </w:p>
        </w:tc>
      </w:tr>
      <w:tr>
        <w:trPr>
          <w:trHeight w:val="210"/>
        </w:trPr>
        <w:tc>
          <w:tcPr>
            <w:tcW w:w="4100" w:type="dxa"/>
            <w:vAlign w:val="bottom"/>
            <w:tcBorders>
              <w:top w:val="single" w:sz="8" w:color="CCEEFF"/>
              <w:bottom w:val="single" w:sz="8" w:color="CCEEFF"/>
            </w:tcBorders>
            <w:shd w:val="clear" w:color="auto" w:fill="CCEEFF"/>
          </w:tcPr>
          <w:p>
            <w:pPr>
              <w:jc w:val="right"/>
              <w:ind w:right="1950"/>
              <w:spacing w:after="0"/>
              <w:rPr>
                <w:sz w:val="20"/>
                <w:szCs w:val="20"/>
                <w:color w:val="auto"/>
              </w:rPr>
            </w:pPr>
            <w:r>
              <w:rPr>
                <w:rFonts w:ascii="Arial" w:cs="Arial" w:eastAsia="Arial" w:hAnsi="Arial"/>
                <w:sz w:val="18"/>
                <w:szCs w:val="18"/>
                <w:color w:val="auto"/>
                <w:w w:val="89"/>
              </w:rPr>
              <w:t>Outstanding at end of period</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1,173,667</w:t>
            </w:r>
          </w:p>
        </w:tc>
        <w:tc>
          <w:tcPr>
            <w:tcW w:w="660" w:type="dxa"/>
            <w:vAlign w:val="bottom"/>
            <w:tcBorders>
              <w:top w:val="single" w:sz="8" w:color="CCEEFF"/>
              <w:bottom w:val="single" w:sz="8" w:color="CCEEFF"/>
            </w:tcBorders>
            <w:shd w:val="clear" w:color="auto" w:fill="CCEEFF"/>
          </w:tcPr>
          <w:p>
            <w:pPr>
              <w:spacing w:after="0"/>
              <w:rPr>
                <w:sz w:val="18"/>
                <w:szCs w:val="18"/>
                <w:color w:val="auto"/>
              </w:rPr>
            </w:pPr>
          </w:p>
        </w:tc>
        <w:tc>
          <w:tcPr>
            <w:tcW w:w="110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12.44</w:t>
            </w:r>
          </w:p>
        </w:tc>
        <w:tc>
          <w:tcPr>
            <w:tcW w:w="0" w:type="dxa"/>
            <w:vAlign w:val="bottom"/>
          </w:tcPr>
          <w:p>
            <w:pPr>
              <w:spacing w:after="0"/>
              <w:rPr>
                <w:sz w:val="1"/>
                <w:szCs w:val="1"/>
                <w:color w:val="auto"/>
              </w:rPr>
            </w:pPr>
          </w:p>
        </w:tc>
      </w:tr>
      <w:tr>
        <w:trPr>
          <w:trHeight w:val="20"/>
        </w:trPr>
        <w:tc>
          <w:tcPr>
            <w:tcW w:w="4100" w:type="dxa"/>
            <w:vAlign w:val="bottom"/>
            <w:vMerge w:val="restart"/>
          </w:tcPr>
          <w:p>
            <w:pPr>
              <w:jc w:val="right"/>
              <w:ind w:right="3170"/>
              <w:spacing w:after="0"/>
              <w:rPr>
                <w:sz w:val="20"/>
                <w:szCs w:val="20"/>
                <w:color w:val="auto"/>
              </w:rPr>
            </w:pPr>
            <w:r>
              <w:rPr>
                <w:rFonts w:ascii="Arial" w:cs="Arial" w:eastAsia="Arial" w:hAnsi="Arial"/>
                <w:sz w:val="18"/>
                <w:szCs w:val="18"/>
                <w:color w:val="auto"/>
                <w:w w:val="88"/>
              </w:rPr>
              <w:t>Exercisable</w:t>
            </w:r>
          </w:p>
        </w:tc>
        <w:tc>
          <w:tcPr>
            <w:tcW w:w="13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00" w:type="dxa"/>
            <w:vAlign w:val="bottom"/>
            <w:vMerge w:val="restart"/>
          </w:tcPr>
          <w:p>
            <w:pPr>
              <w:jc w:val="right"/>
              <w:ind w:right="10"/>
              <w:spacing w:after="0"/>
              <w:rPr>
                <w:sz w:val="20"/>
                <w:szCs w:val="20"/>
                <w:color w:val="auto"/>
              </w:rPr>
            </w:pPr>
            <w:r>
              <w:rPr>
                <w:rFonts w:ascii="Arial" w:cs="Arial" w:eastAsia="Arial" w:hAnsi="Arial"/>
                <w:sz w:val="18"/>
                <w:szCs w:val="18"/>
                <w:color w:val="auto"/>
              </w:rPr>
              <w:t>14.08</w:t>
            </w:r>
          </w:p>
        </w:tc>
        <w:tc>
          <w:tcPr>
            <w:tcW w:w="0" w:type="dxa"/>
            <w:vAlign w:val="bottom"/>
          </w:tcPr>
          <w:p>
            <w:pPr>
              <w:spacing w:after="0" w:line="20" w:lineRule="exact"/>
              <w:rPr>
                <w:sz w:val="1"/>
                <w:szCs w:val="1"/>
                <w:color w:val="auto"/>
              </w:rPr>
            </w:pPr>
          </w:p>
        </w:tc>
      </w:tr>
      <w:tr>
        <w:trPr>
          <w:trHeight w:val="197"/>
        </w:trPr>
        <w:tc>
          <w:tcPr>
            <w:tcW w:w="4100" w:type="dxa"/>
            <w:vAlign w:val="bottom"/>
            <w:vMerge w:val="continue"/>
          </w:tcPr>
          <w:p>
            <w:pPr>
              <w:spacing w:after="0"/>
              <w:rPr>
                <w:sz w:val="17"/>
                <w:szCs w:val="17"/>
                <w:color w:val="auto"/>
              </w:rPr>
            </w:pP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126,714</w:t>
            </w:r>
          </w:p>
        </w:tc>
        <w:tc>
          <w:tcPr>
            <w:tcW w:w="66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fair value of options granted during the nine months ended March 31, 2013 was estimated on the date of grant using the Black-Scholes option-pricing model using the following weighted-average assumptions.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Assumptions:</w:t>
            </w:r>
          </w:p>
        </w:tc>
        <w:tc>
          <w:tcPr>
            <w:tcW w:w="9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60" w:type="dxa"/>
            <w:vAlign w:val="bottom"/>
          </w:tcPr>
          <w:p>
            <w:pPr>
              <w:spacing w:after="0"/>
              <w:rPr>
                <w:sz w:val="18"/>
                <w:szCs w:val="18"/>
                <w:color w:val="auto"/>
              </w:rPr>
            </w:pPr>
          </w:p>
        </w:tc>
      </w:tr>
      <w:tr>
        <w:trPr>
          <w:trHeight w:val="216"/>
        </w:trPr>
        <w:tc>
          <w:tcPr>
            <w:tcW w:w="2920" w:type="dxa"/>
            <w:vAlign w:val="bottom"/>
          </w:tcPr>
          <w:p>
            <w:pPr>
              <w:spacing w:after="0"/>
              <w:rPr>
                <w:sz w:val="18"/>
                <w:szCs w:val="18"/>
                <w:color w:val="auto"/>
              </w:rPr>
            </w:pPr>
          </w:p>
        </w:tc>
        <w:tc>
          <w:tcPr>
            <w:tcW w:w="3620" w:type="dxa"/>
            <w:vAlign w:val="bottom"/>
          </w:tcPr>
          <w:p>
            <w:pPr>
              <w:ind w:left="180"/>
              <w:spacing w:after="0"/>
              <w:rPr>
                <w:sz w:val="20"/>
                <w:szCs w:val="20"/>
                <w:color w:val="auto"/>
              </w:rPr>
            </w:pPr>
            <w:r>
              <w:rPr>
                <w:rFonts w:ascii="Arial" w:cs="Arial" w:eastAsia="Arial" w:hAnsi="Arial"/>
                <w:sz w:val="18"/>
                <w:szCs w:val="18"/>
                <w:color w:val="auto"/>
              </w:rPr>
              <w:t>Dividend yield</w:t>
            </w:r>
          </w:p>
        </w:tc>
        <w:tc>
          <w:tcPr>
            <w:tcW w:w="9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3.86%</w:t>
            </w:r>
          </w:p>
        </w:tc>
        <w:tc>
          <w:tcPr>
            <w:tcW w:w="3060" w:type="dxa"/>
            <w:vAlign w:val="bottom"/>
          </w:tcPr>
          <w:p>
            <w:pPr>
              <w:spacing w:after="0"/>
              <w:rPr>
                <w:sz w:val="18"/>
                <w:szCs w:val="18"/>
                <w:color w:val="auto"/>
              </w:rPr>
            </w:pPr>
          </w:p>
        </w:tc>
      </w:tr>
      <w:tr>
        <w:trPr>
          <w:trHeight w:val="216"/>
        </w:trPr>
        <w:tc>
          <w:tcPr>
            <w:tcW w:w="2920" w:type="dxa"/>
            <w:vAlign w:val="bottom"/>
          </w:tcPr>
          <w:p>
            <w:pPr>
              <w:spacing w:after="0"/>
              <w:rPr>
                <w:sz w:val="18"/>
                <w:szCs w:val="18"/>
                <w:color w:val="auto"/>
              </w:rPr>
            </w:pPr>
          </w:p>
        </w:tc>
        <w:tc>
          <w:tcPr>
            <w:tcW w:w="3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Expected life</w:t>
            </w:r>
          </w:p>
        </w:tc>
        <w:tc>
          <w:tcPr>
            <w:tcW w:w="9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7"/>
              </w:rPr>
              <w:t>6.5 years</w:t>
            </w:r>
          </w:p>
        </w:tc>
        <w:tc>
          <w:tcPr>
            <w:tcW w:w="3060" w:type="dxa"/>
            <w:vAlign w:val="bottom"/>
          </w:tcPr>
          <w:p>
            <w:pPr>
              <w:spacing w:after="0"/>
              <w:rPr>
                <w:sz w:val="18"/>
                <w:szCs w:val="18"/>
                <w:color w:val="auto"/>
              </w:rPr>
            </w:pPr>
          </w:p>
        </w:tc>
      </w:tr>
      <w:tr>
        <w:trPr>
          <w:trHeight w:val="216"/>
        </w:trPr>
        <w:tc>
          <w:tcPr>
            <w:tcW w:w="2920" w:type="dxa"/>
            <w:vAlign w:val="bottom"/>
          </w:tcPr>
          <w:p>
            <w:pPr>
              <w:spacing w:after="0"/>
              <w:rPr>
                <w:sz w:val="18"/>
                <w:szCs w:val="18"/>
                <w:color w:val="auto"/>
              </w:rPr>
            </w:pPr>
          </w:p>
        </w:tc>
        <w:tc>
          <w:tcPr>
            <w:tcW w:w="3620" w:type="dxa"/>
            <w:vAlign w:val="bottom"/>
          </w:tcPr>
          <w:p>
            <w:pPr>
              <w:ind w:left="180"/>
              <w:spacing w:after="0"/>
              <w:rPr>
                <w:sz w:val="20"/>
                <w:szCs w:val="20"/>
                <w:color w:val="auto"/>
              </w:rPr>
            </w:pPr>
            <w:r>
              <w:rPr>
                <w:rFonts w:ascii="Arial" w:cs="Arial" w:eastAsia="Arial" w:hAnsi="Arial"/>
                <w:sz w:val="18"/>
                <w:szCs w:val="18"/>
                <w:color w:val="auto"/>
              </w:rPr>
              <w:t>Expected volatility</w:t>
            </w:r>
          </w:p>
        </w:tc>
        <w:tc>
          <w:tcPr>
            <w:tcW w:w="9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30.47%</w:t>
            </w:r>
          </w:p>
        </w:tc>
        <w:tc>
          <w:tcPr>
            <w:tcW w:w="3060" w:type="dxa"/>
            <w:vAlign w:val="bottom"/>
          </w:tcPr>
          <w:p>
            <w:pPr>
              <w:spacing w:after="0"/>
              <w:rPr>
                <w:sz w:val="18"/>
                <w:szCs w:val="18"/>
                <w:color w:val="auto"/>
              </w:rPr>
            </w:pPr>
          </w:p>
        </w:tc>
      </w:tr>
      <w:tr>
        <w:trPr>
          <w:trHeight w:val="216"/>
        </w:trPr>
        <w:tc>
          <w:tcPr>
            <w:tcW w:w="2920" w:type="dxa"/>
            <w:vAlign w:val="bottom"/>
          </w:tcPr>
          <w:p>
            <w:pPr>
              <w:spacing w:after="0"/>
              <w:rPr>
                <w:sz w:val="18"/>
                <w:szCs w:val="18"/>
                <w:color w:val="auto"/>
              </w:rPr>
            </w:pPr>
          </w:p>
        </w:tc>
        <w:tc>
          <w:tcPr>
            <w:tcW w:w="3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Risk-free interest rate</w:t>
            </w:r>
          </w:p>
        </w:tc>
        <w:tc>
          <w:tcPr>
            <w:tcW w:w="9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3060" w:type="dxa"/>
            <w:vAlign w:val="bottom"/>
          </w:tcPr>
          <w:p>
            <w:pPr>
              <w:spacing w:after="0"/>
              <w:rPr>
                <w:sz w:val="18"/>
                <w:szCs w:val="18"/>
                <w:color w:val="auto"/>
              </w:rPr>
            </w:pPr>
          </w:p>
        </w:tc>
      </w:tr>
      <w:tr>
        <w:trPr>
          <w:trHeight w:val="230"/>
        </w:trPr>
        <w:tc>
          <w:tcPr>
            <w:tcW w:w="2920" w:type="dxa"/>
            <w:vAlign w:val="bottom"/>
          </w:tcPr>
          <w:p>
            <w:pPr>
              <w:spacing w:after="0"/>
              <w:rPr>
                <w:sz w:val="20"/>
                <w:szCs w:val="20"/>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Weighted average fair value per option</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3.01</w:t>
            </w:r>
          </w:p>
        </w:tc>
        <w:tc>
          <w:tcPr>
            <w:tcW w:w="3060" w:type="dxa"/>
            <w:vAlign w:val="bottom"/>
          </w:tcPr>
          <w:p>
            <w:pPr>
              <w:spacing w:after="0"/>
              <w:rPr>
                <w:sz w:val="20"/>
                <w:szCs w:val="20"/>
                <w:color w:val="auto"/>
              </w:rPr>
            </w:pPr>
          </w:p>
        </w:tc>
      </w:tr>
      <w:tr>
        <w:trPr>
          <w:trHeight w:val="418"/>
        </w:trPr>
        <w:tc>
          <w:tcPr>
            <w:tcW w:w="2920" w:type="dxa"/>
            <w:vAlign w:val="bottom"/>
          </w:tcPr>
          <w:p>
            <w:pPr>
              <w:spacing w:after="0"/>
              <w:rPr>
                <w:sz w:val="24"/>
                <w:szCs w:val="24"/>
                <w:color w:val="auto"/>
              </w:rPr>
            </w:pPr>
          </w:p>
        </w:tc>
        <w:tc>
          <w:tcPr>
            <w:tcW w:w="3620" w:type="dxa"/>
            <w:vAlign w:val="bottom"/>
          </w:tcPr>
          <w:p>
            <w:pPr>
              <w:ind w:left="2700"/>
              <w:spacing w:after="0"/>
              <w:rPr>
                <w:sz w:val="20"/>
                <w:szCs w:val="20"/>
                <w:color w:val="auto"/>
              </w:rPr>
            </w:pPr>
            <w:r>
              <w:rPr>
                <w:rFonts w:ascii="Arial" w:cs="Arial" w:eastAsia="Arial" w:hAnsi="Arial"/>
                <w:sz w:val="18"/>
                <w:szCs w:val="18"/>
                <w:color w:val="auto"/>
              </w:rPr>
              <w:t>22</w:t>
            </w: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132"/>
        </w:trPr>
        <w:tc>
          <w:tcPr>
            <w:tcW w:w="2920" w:type="dxa"/>
            <w:vAlign w:val="bottom"/>
            <w:tcBorders>
              <w:bottom w:val="single" w:sz="8" w:color="010101"/>
            </w:tcBorders>
          </w:tcPr>
          <w:p>
            <w:pPr>
              <w:spacing w:after="0"/>
              <w:rPr>
                <w:sz w:val="11"/>
                <w:szCs w:val="11"/>
                <w:color w:val="auto"/>
              </w:rPr>
            </w:pPr>
          </w:p>
        </w:tc>
        <w:tc>
          <w:tcPr>
            <w:tcW w:w="3620" w:type="dxa"/>
            <w:vAlign w:val="bottom"/>
            <w:tcBorders>
              <w:bottom w:val="single" w:sz="8" w:color="010101"/>
            </w:tcBorders>
          </w:tcPr>
          <w:p>
            <w:pPr>
              <w:spacing w:after="0"/>
              <w:rPr>
                <w:sz w:val="11"/>
                <w:szCs w:val="11"/>
                <w:color w:val="auto"/>
              </w:rPr>
            </w:pPr>
          </w:p>
        </w:tc>
        <w:tc>
          <w:tcPr>
            <w:tcW w:w="920" w:type="dxa"/>
            <w:vAlign w:val="bottom"/>
            <w:tcBorders>
              <w:bottom w:val="single" w:sz="8" w:color="010101"/>
            </w:tcBorders>
          </w:tcPr>
          <w:p>
            <w:pPr>
              <w:spacing w:after="0"/>
              <w:rPr>
                <w:sz w:val="11"/>
                <w:szCs w:val="11"/>
                <w:color w:val="auto"/>
              </w:rPr>
            </w:pPr>
          </w:p>
        </w:tc>
        <w:tc>
          <w:tcPr>
            <w:tcW w:w="940" w:type="dxa"/>
            <w:vAlign w:val="bottom"/>
            <w:tcBorders>
              <w:bottom w:val="single" w:sz="8" w:color="010101"/>
            </w:tcBorders>
          </w:tcPr>
          <w:p>
            <w:pPr>
              <w:spacing w:after="0"/>
              <w:rPr>
                <w:sz w:val="11"/>
                <w:szCs w:val="11"/>
                <w:color w:val="auto"/>
              </w:rPr>
            </w:pPr>
          </w:p>
        </w:tc>
        <w:tc>
          <w:tcPr>
            <w:tcW w:w="306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During the quarter ended March 31, 2013, certain provisions of outstanding stock options with market-based conditions were modified. The options, consisting of 237,616 shares, were granted to three executives of the Company in December of 2010 and were to vest in three equal tranches upon the Company’s common stock reaching applicable hurdle prices. The applicable hurdle price varies depending on the number of years that have elapsed since the date of grant. With respect to the first tranche, the applicable hurdle price was $27.86 for the period from December 29, 2010 through December 29, 2015; $31.34 for the period from December 29, 2015 through December 29, 2016; and $34.83 for the period from December 29, 2016 through December 29, 2017. With respect to the second tranche, the hurdle price was $31.34 for the period from December 29, 2010 through December 29, 2016; and $34.83 for the period from December 29, 2016 through December 29, 2017. With respect to the third tranche, the hurdle price was $34.83 for the period from December 29, 2010 through December 29, 2017.</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Compensation Committee approved amending the hurdle prices as follows:</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With respect to the first tranche, the applicable hurdle price is $16.43 for the period from December 29, 2010 through December 28, 2015; $18.58 for the period from December 29, 2015 through December 28, 2016; and $20.77 for the period from December 29, 2016 through December 28, 2017. With respect to the second tranche, the hurdle price is $18.58 for the period from December 29, 2010 through December 28, 2016; and $20.77 for the period from December 29, 2016 through December 28, 2017. With respect to the third tranche, the hurdle price is $20.77 for the period from December 29, 2010 through December 28, 2017.</w:t>
      </w:r>
    </w:p>
    <w:p>
      <w:pPr>
        <w:spacing w:after="0" w:line="188"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Except as modified by this amendment, all other terms and conditions of each of the outstanding performance-based stock options, including the option exercise price of $13.93 per share, remain in full force and effect.</w:t>
      </w:r>
    </w:p>
    <w:p>
      <w:pPr>
        <w:spacing w:after="0" w:line="1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incremental expense resulting from the modification was calculated as the difference between the stock option’s fair value immediately before and after the modification using the Hull-White option pricing model and the following weighted-average assumptions:</w:t>
      </w:r>
    </w:p>
    <w:p>
      <w:pPr>
        <w:spacing w:after="0" w:line="185" w:lineRule="exact"/>
        <w:rPr>
          <w:sz w:val="20"/>
          <w:szCs w:val="20"/>
          <w:color w:val="auto"/>
        </w:rPr>
      </w:pPr>
    </w:p>
    <w:tbl>
      <w:tblPr>
        <w:tblLayout w:type="fixed"/>
        <w:tblInd w:w="1960" w:type="dxa"/>
        <w:tblCellMar>
          <w:top w:w="0" w:type="dxa"/>
          <w:left w:w="0" w:type="dxa"/>
          <w:bottom w:w="0" w:type="dxa"/>
          <w:right w:w="0" w:type="dxa"/>
        </w:tblCellMar>
      </w:tblP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Assumptions:</w:t>
            </w:r>
          </w:p>
        </w:tc>
        <w:tc>
          <w:tcPr>
            <w:tcW w:w="9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6"/>
        </w:trPr>
        <w:tc>
          <w:tcPr>
            <w:tcW w:w="4500" w:type="dxa"/>
            <w:vAlign w:val="bottom"/>
          </w:tcPr>
          <w:p>
            <w:pPr>
              <w:ind w:left="180"/>
              <w:spacing w:after="0"/>
              <w:rPr>
                <w:sz w:val="20"/>
                <w:szCs w:val="20"/>
                <w:color w:val="auto"/>
              </w:rPr>
            </w:pPr>
            <w:r>
              <w:rPr>
                <w:rFonts w:ascii="Arial" w:cs="Arial" w:eastAsia="Arial" w:hAnsi="Arial"/>
                <w:sz w:val="18"/>
                <w:szCs w:val="18"/>
                <w:color w:val="auto"/>
              </w:rPr>
              <w:t>Dividend yield</w:t>
            </w:r>
          </w:p>
        </w:tc>
        <w:tc>
          <w:tcPr>
            <w:tcW w:w="94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3.72%</w:t>
            </w:r>
          </w:p>
        </w:tc>
      </w:tr>
      <w:tr>
        <w:trPr>
          <w:trHeight w:val="216"/>
        </w:trPr>
        <w:tc>
          <w:tcPr>
            <w:tcW w:w="4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Expected life</w:t>
            </w:r>
          </w:p>
        </w:tc>
        <w:tc>
          <w:tcPr>
            <w:tcW w:w="9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7.8 years</w:t>
            </w:r>
          </w:p>
        </w:tc>
      </w:tr>
      <w:tr>
        <w:trPr>
          <w:trHeight w:val="216"/>
        </w:trPr>
        <w:tc>
          <w:tcPr>
            <w:tcW w:w="4500" w:type="dxa"/>
            <w:vAlign w:val="bottom"/>
          </w:tcPr>
          <w:p>
            <w:pPr>
              <w:ind w:left="180"/>
              <w:spacing w:after="0"/>
              <w:rPr>
                <w:sz w:val="20"/>
                <w:szCs w:val="20"/>
                <w:color w:val="auto"/>
              </w:rPr>
            </w:pPr>
            <w:r>
              <w:rPr>
                <w:rFonts w:ascii="Arial" w:cs="Arial" w:eastAsia="Arial" w:hAnsi="Arial"/>
                <w:sz w:val="18"/>
                <w:szCs w:val="18"/>
                <w:color w:val="auto"/>
              </w:rPr>
              <w:t>Expected volatility</w:t>
            </w:r>
          </w:p>
        </w:tc>
        <w:tc>
          <w:tcPr>
            <w:tcW w:w="94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w w:val="91"/>
              </w:rPr>
              <w:t>28.45% - 32.84%</w:t>
            </w:r>
          </w:p>
        </w:tc>
      </w:tr>
      <w:tr>
        <w:trPr>
          <w:trHeight w:val="216"/>
        </w:trPr>
        <w:tc>
          <w:tcPr>
            <w:tcW w:w="4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Risk-free interest rate</w:t>
            </w:r>
          </w:p>
        </w:tc>
        <w:tc>
          <w:tcPr>
            <w:tcW w:w="9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0.07% - 1.54%</w:t>
            </w: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Incremental weighted average fair value per option</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0.52</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stock options outstanding at March 31, 2013.</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3"/>
          </w:tcPr>
          <w:p>
            <w:pPr>
              <w:ind w:left="620"/>
              <w:spacing w:after="0"/>
              <w:rPr>
                <w:sz w:val="20"/>
                <w:szCs w:val="20"/>
                <w:color w:val="auto"/>
              </w:rPr>
            </w:pPr>
            <w:r>
              <w:rPr>
                <w:rFonts w:ascii="Arial" w:cs="Arial" w:eastAsia="Arial" w:hAnsi="Arial"/>
                <w:sz w:val="14"/>
                <w:szCs w:val="14"/>
                <w:b w:val="1"/>
                <w:bCs w:val="1"/>
                <w:color w:val="auto"/>
              </w:rPr>
              <w:t>Options Outstanding</w:t>
            </w: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4"/>
          </w:tcPr>
          <w:p>
            <w:pPr>
              <w:ind w:left="680"/>
              <w:spacing w:after="0"/>
              <w:rPr>
                <w:sz w:val="20"/>
                <w:szCs w:val="20"/>
                <w:color w:val="auto"/>
              </w:rPr>
            </w:pPr>
            <w:r>
              <w:rPr>
                <w:rFonts w:ascii="Arial" w:cs="Arial" w:eastAsia="Arial" w:hAnsi="Arial"/>
                <w:sz w:val="14"/>
                <w:szCs w:val="14"/>
                <w:b w:val="1"/>
                <w:bCs w:val="1"/>
                <w:color w:val="auto"/>
              </w:rPr>
              <w:t>Options Exercisable</w:t>
            </w: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3080" w:type="dxa"/>
            <w:vAlign w:val="bottom"/>
            <w:gridSpan w:val="8"/>
          </w:tcPr>
          <w:p>
            <w:pPr>
              <w:ind w:left="80"/>
              <w:spacing w:after="0"/>
              <w:rPr>
                <w:sz w:val="20"/>
                <w:szCs w:val="20"/>
                <w:color w:val="auto"/>
              </w:rPr>
            </w:pPr>
            <w:r>
              <w:rPr>
                <w:rFonts w:ascii="Arial" w:cs="Arial" w:eastAsia="Arial" w:hAnsi="Arial"/>
                <w:sz w:val="14"/>
                <w:szCs w:val="14"/>
                <w:b w:val="1"/>
                <w:bCs w:val="1"/>
                <w:color w:val="auto"/>
                <w:w w:val="99"/>
              </w:rPr>
              <w:t>(Dollars in thousands, except per share data)</w:t>
            </w:r>
          </w:p>
        </w:tc>
        <w:tc>
          <w:tcPr>
            <w:tcW w:w="1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Weighted</w:t>
            </w: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160" w:type="dxa"/>
            <w:vAlign w:val="bottom"/>
          </w:tcPr>
          <w:p>
            <w:pPr>
              <w:spacing w:after="0"/>
              <w:rPr>
                <w:sz w:val="7"/>
                <w:szCs w:val="7"/>
                <w:color w:val="auto"/>
              </w:rPr>
            </w:pPr>
          </w:p>
        </w:tc>
        <w:tc>
          <w:tcPr>
            <w:tcW w:w="14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1"/>
              </w:rPr>
              <w:t>Weighted</w:t>
            </w:r>
          </w:p>
        </w:tc>
        <w:tc>
          <w:tcPr>
            <w:tcW w:w="12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9"/>
              </w:rPr>
              <w:t>Aggregate</w:t>
            </w: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1"/>
              </w:rPr>
              <w:t>Weighted</w:t>
            </w:r>
          </w:p>
        </w:tc>
        <w:tc>
          <w:tcPr>
            <w:tcW w:w="12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1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16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Average</w:t>
            </w:r>
          </w:p>
        </w:tc>
        <w:tc>
          <w:tcPr>
            <w:tcW w:w="1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0" w:type="dxa"/>
            <w:vAlign w:val="bottom"/>
          </w:tcPr>
          <w:p>
            <w:pPr>
              <w:spacing w:after="0"/>
              <w:rPr>
                <w:sz w:val="12"/>
                <w:szCs w:val="12"/>
                <w:color w:val="auto"/>
              </w:rPr>
            </w:pPr>
          </w:p>
        </w:tc>
        <w:tc>
          <w:tcPr>
            <w:tcW w:w="14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Average</w:t>
            </w:r>
          </w:p>
        </w:tc>
        <w:tc>
          <w:tcPr>
            <w:tcW w:w="144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Number</w:t>
            </w: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Intrinsic</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Average</w:t>
            </w:r>
          </w:p>
        </w:tc>
        <w:tc>
          <w:tcPr>
            <w:tcW w:w="144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Number</w:t>
            </w:r>
          </w:p>
        </w:tc>
        <w:tc>
          <w:tcPr>
            <w:tcW w:w="14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Remaining</w:t>
            </w:r>
          </w:p>
        </w:tc>
        <w:tc>
          <w:tcPr>
            <w:tcW w:w="18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160" w:type="dxa"/>
            <w:vAlign w:val="bottom"/>
          </w:tcPr>
          <w:p>
            <w:pPr>
              <w:spacing w:after="0"/>
              <w:rPr>
                <w:sz w:val="14"/>
                <w:szCs w:val="14"/>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Exercise Price</w:t>
            </w:r>
          </w:p>
        </w:tc>
        <w:tc>
          <w:tcPr>
            <w:tcW w:w="1440" w:type="dxa"/>
            <w:vAlign w:val="bottom"/>
            <w:gridSpan w:val="2"/>
            <w:vMerge w:val="continue"/>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Life</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Exercise Price</w:t>
            </w:r>
          </w:p>
        </w:tc>
        <w:tc>
          <w:tcPr>
            <w:tcW w:w="1440" w:type="dxa"/>
            <w:vAlign w:val="bottom"/>
            <w:gridSpan w:val="2"/>
            <w:vMerge w:val="continue"/>
          </w:tcPr>
          <w:p>
            <w:pPr>
              <w:spacing w:after="0"/>
              <w:rPr>
                <w:sz w:val="14"/>
                <w:szCs w:val="14"/>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Life</w:t>
            </w:r>
          </w:p>
        </w:tc>
        <w:tc>
          <w:tcPr>
            <w:tcW w:w="180" w:type="dxa"/>
            <w:vAlign w:val="bottom"/>
          </w:tcPr>
          <w:p>
            <w:pPr>
              <w:spacing w:after="0"/>
              <w:rPr>
                <w:sz w:val="14"/>
                <w:szCs w:val="14"/>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w:t>
            </w:r>
          </w:p>
        </w:tc>
        <w:tc>
          <w:tcPr>
            <w:tcW w:w="2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395,919</w:t>
            </w:r>
          </w:p>
        </w:tc>
        <w:tc>
          <w:tcPr>
            <w:tcW w:w="24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9.8 years</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w:t>
            </w:r>
          </w:p>
        </w:tc>
        <w:tc>
          <w:tcPr>
            <w:tcW w:w="2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4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9.8 years</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12.63</w:t>
            </w: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32,500</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8.8 years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12.63</w:t>
            </w: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0</w:t>
            </w:r>
          </w:p>
        </w:tc>
        <w:tc>
          <w:tcPr>
            <w:tcW w:w="1420" w:type="dxa"/>
            <w:vAlign w:val="bottom"/>
            <w:gridSpan w:val="2"/>
          </w:tcPr>
          <w:p>
            <w:pPr>
              <w:jc w:val="center"/>
              <w:ind w:right="220"/>
              <w:spacing w:after="0"/>
              <w:rPr>
                <w:sz w:val="20"/>
                <w:szCs w:val="20"/>
                <w:color w:val="auto"/>
              </w:rPr>
            </w:pPr>
            <w:r>
              <w:rPr>
                <w:rFonts w:ascii="Arial" w:cs="Arial" w:eastAsia="Arial" w:hAnsi="Arial"/>
                <w:sz w:val="18"/>
                <w:szCs w:val="18"/>
                <w:color w:val="auto"/>
                <w:w w:val="86"/>
              </w:rPr>
              <w:t>8.8 years</w:t>
            </w:r>
          </w:p>
        </w:tc>
        <w:tc>
          <w:tcPr>
            <w:tcW w:w="1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13.93</w:t>
            </w: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583,238</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7.8 years</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13.93</w:t>
            </w: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94,312</w:t>
            </w:r>
          </w:p>
        </w:tc>
        <w:tc>
          <w:tcPr>
            <w:tcW w:w="14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6"/>
              </w:rPr>
              <w:t>7.8 years</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14.52</w:t>
            </w: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162,010</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7.8 years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14.52</w:t>
            </w: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32,402</w:t>
            </w:r>
          </w:p>
        </w:tc>
        <w:tc>
          <w:tcPr>
            <w:tcW w:w="1420" w:type="dxa"/>
            <w:vAlign w:val="bottom"/>
            <w:gridSpan w:val="2"/>
          </w:tcPr>
          <w:p>
            <w:pPr>
              <w:jc w:val="center"/>
              <w:ind w:right="220"/>
              <w:spacing w:after="0"/>
              <w:rPr>
                <w:sz w:val="20"/>
                <w:szCs w:val="20"/>
                <w:color w:val="auto"/>
              </w:rPr>
            </w:pPr>
            <w:r>
              <w:rPr>
                <w:rFonts w:ascii="Arial" w:cs="Arial" w:eastAsia="Arial" w:hAnsi="Arial"/>
                <w:sz w:val="18"/>
                <w:szCs w:val="18"/>
                <w:color w:val="auto"/>
                <w:w w:val="86"/>
              </w:rPr>
              <w:t>7.8 years</w:t>
            </w:r>
          </w:p>
        </w:tc>
        <w:tc>
          <w:tcPr>
            <w:tcW w:w="1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0"/>
        </w:trPr>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0" w:type="dxa"/>
            <w:vAlign w:val="bottom"/>
            <w:tcBorders>
              <w:top w:val="single" w:sz="8" w:color="CCEEFF"/>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12.44</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1,173,667</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200" w:type="dxa"/>
            <w:vAlign w:val="bottom"/>
            <w:tcBorders>
              <w:top w:val="single" w:sz="8" w:color="CCEEFF"/>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8.5 years</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300" w:type="dxa"/>
            <w:vAlign w:val="bottom"/>
            <w:tcBorders>
              <w:top w:val="single" w:sz="8" w:color="CCEEFF"/>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14.08</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126,714</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420" w:type="dxa"/>
            <w:vAlign w:val="bottom"/>
            <w:tcBorders>
              <w:top w:val="single" w:sz="8" w:color="CCEEFF"/>
              <w:bottom w:val="single" w:sz="8" w:color="CCEEFF"/>
            </w:tcBorders>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6"/>
              </w:rPr>
              <w:t>7.8 years</w:t>
            </w: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 summary of restricted stock activity for the nine months ended March 31, 2013 follows:</w:t>
      </w:r>
    </w:p>
    <w:p>
      <w:pPr>
        <w:spacing w:after="0" w:line="204" w:lineRule="exact"/>
        <w:rPr>
          <w:sz w:val="20"/>
          <w:szCs w:val="20"/>
          <w:color w:val="auto"/>
        </w:rPr>
      </w:pPr>
    </w:p>
    <w:tbl>
      <w:tblPr>
        <w:tblLayout w:type="fixed"/>
        <w:tblInd w:w="162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152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9"/>
              </w:rPr>
              <w:t>Grant-Date</w:t>
            </w:r>
          </w:p>
        </w:tc>
        <w:tc>
          <w:tcPr>
            <w:tcW w:w="0" w:type="dxa"/>
            <w:vAlign w:val="bottom"/>
          </w:tcPr>
          <w:p>
            <w:pPr>
              <w:spacing w:after="0"/>
              <w:rPr>
                <w:sz w:val="1"/>
                <w:szCs w:val="1"/>
                <w:color w:val="auto"/>
              </w:rPr>
            </w:pPr>
          </w:p>
        </w:tc>
      </w:tr>
      <w:tr>
        <w:trPr>
          <w:trHeight w:val="171"/>
        </w:trPr>
        <w:tc>
          <w:tcPr>
            <w:tcW w:w="450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10"/>
        </w:trPr>
        <w:tc>
          <w:tcPr>
            <w:tcW w:w="4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at beginning of period</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13,026</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13.93</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ind w:left="180"/>
              <w:spacing w:after="0"/>
              <w:rPr>
                <w:sz w:val="20"/>
                <w:szCs w:val="20"/>
                <w:color w:val="auto"/>
              </w:rPr>
            </w:pPr>
            <w:r>
              <w:rPr>
                <w:rFonts w:ascii="Arial" w:cs="Arial" w:eastAsia="Arial" w:hAnsi="Arial"/>
                <w:sz w:val="18"/>
                <w:szCs w:val="18"/>
                <w:color w:val="auto"/>
              </w:rPr>
              <w:t>Granted</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63,202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9.33</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(5,210)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13.93</w:t>
            </w:r>
          </w:p>
        </w:tc>
        <w:tc>
          <w:tcPr>
            <w:tcW w:w="0" w:type="dxa"/>
            <w:vAlign w:val="bottom"/>
          </w:tcPr>
          <w:p>
            <w:pPr>
              <w:spacing w:after="0"/>
              <w:rPr>
                <w:sz w:val="1"/>
                <w:szCs w:val="1"/>
                <w:color w:val="auto"/>
              </w:rPr>
            </w:pPr>
          </w:p>
        </w:tc>
      </w:tr>
      <w:tr>
        <w:trPr>
          <w:trHeight w:val="216"/>
        </w:trPr>
        <w:tc>
          <w:tcPr>
            <w:tcW w:w="450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0"/>
        </w:trPr>
        <w:tc>
          <w:tcPr>
            <w:tcW w:w="45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at end of period</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71,018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80" w:type="dxa"/>
            <w:vAlign w:val="bottom"/>
            <w:tcBorders>
              <w:top w:val="single" w:sz="8" w:color="CCEEFF"/>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9.88</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At March 31, 2013, the Company has accrued a liability of $48 thousand representing the maximum cash payment for performance-based stock appreciation rights (“SARs”) granted in the fiscal year ended June 30, 2011. The SARs expire in December of 2020.</w:t>
      </w:r>
    </w:p>
    <w:p>
      <w:pPr>
        <w:sectPr>
          <w:pgSz w:w="11900" w:h="16838" w:orient="portrait"/>
          <w:cols w:equalWidth="0" w:num="1">
            <w:col w:w="11460"/>
          </w:cols>
          <w:pgMar w:left="240" w:top="125" w:right="199" w:bottom="0" w:gutter="0" w:footer="0" w:header="0"/>
        </w:sectPr>
      </w:pPr>
    </w:p>
    <w:bookmarkStart w:id="16" w:name="page17"/>
    <w:bookmarkEnd w:id="16"/>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estimated amount and timing of future pre-tax stock-based compensation expense to be recognized are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3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7"/>
          </w:tcPr>
          <w:p>
            <w:pPr>
              <w:jc w:val="right"/>
              <w:ind w:right="105"/>
              <w:spacing w:after="0"/>
              <w:rPr>
                <w:sz w:val="20"/>
                <w:szCs w:val="20"/>
                <w:color w:val="auto"/>
              </w:rPr>
            </w:pPr>
            <w:r>
              <w:rPr>
                <w:rFonts w:ascii="Arial" w:cs="Arial" w:eastAsia="Arial" w:hAnsi="Arial"/>
                <w:sz w:val="14"/>
                <w:szCs w:val="14"/>
                <w:b w:val="1"/>
                <w:bCs w:val="1"/>
                <w:color w:val="auto"/>
              </w:rPr>
              <w:t>Fiscal Years Ending June 30,</w:t>
            </w:r>
          </w:p>
        </w:tc>
        <w:tc>
          <w:tcPr>
            <w:tcW w:w="8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3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2"/>
          </w:tcPr>
          <w:p>
            <w:pPr>
              <w:ind w:left="80"/>
              <w:spacing w:after="0" w:line="142" w:lineRule="exact"/>
              <w:rPr>
                <w:sz w:val="20"/>
                <w:szCs w:val="20"/>
                <w:color w:val="auto"/>
              </w:rPr>
            </w:pPr>
            <w:r>
              <w:rPr>
                <w:rFonts w:ascii="Arial" w:cs="Arial" w:eastAsia="Arial" w:hAnsi="Arial"/>
                <w:sz w:val="14"/>
                <w:szCs w:val="14"/>
                <w:b w:val="1"/>
                <w:bCs w:val="1"/>
                <w:color w:val="auto"/>
              </w:rPr>
              <w:t>2013 (Q4)</w:t>
            </w:r>
          </w:p>
        </w:tc>
        <w:tc>
          <w:tcPr>
            <w:tcW w:w="1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14"/>
              <w:spacing w:after="0" w:line="142" w:lineRule="exact"/>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7"/>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4"/>
              <w:spacing w:after="0" w:line="142"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4"/>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r>
      <w:tr>
        <w:trPr>
          <w:trHeight w:val="142"/>
        </w:trPr>
        <w:tc>
          <w:tcPr>
            <w:tcW w:w="2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40" w:type="dxa"/>
            <w:vAlign w:val="bottom"/>
            <w:gridSpan w:val="4"/>
          </w:tcPr>
          <w:p>
            <w:pPr>
              <w:jc w:val="right"/>
              <w:ind w:right="140"/>
              <w:spacing w:after="0" w:line="142" w:lineRule="exact"/>
              <w:rPr>
                <w:sz w:val="20"/>
                <w:szCs w:val="20"/>
                <w:color w:val="auto"/>
              </w:rPr>
            </w:pPr>
            <w:r>
              <w:rPr>
                <w:rFonts w:ascii="Arial" w:cs="Arial" w:eastAsia="Arial" w:hAnsi="Arial"/>
                <w:sz w:val="14"/>
                <w:szCs w:val="14"/>
                <w:b w:val="1"/>
                <w:bCs w:val="1"/>
                <w:color w:val="auto"/>
                <w:w w:val="93"/>
              </w:rPr>
              <w:t>(Dollars in thousands)</w:t>
            </w: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660</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646</w:t>
            </w:r>
          </w:p>
        </w:tc>
        <w:tc>
          <w:tcPr>
            <w:tcW w:w="4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521</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319</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139</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2,453</w:t>
            </w:r>
          </w:p>
        </w:tc>
      </w:tr>
      <w:tr>
        <w:trPr>
          <w:trHeight w:val="216"/>
        </w:trPr>
        <w:tc>
          <w:tcPr>
            <w:tcW w:w="2360" w:type="dxa"/>
            <w:vAlign w:val="bottom"/>
          </w:tcPr>
          <w:p>
            <w:pPr>
              <w:spacing w:after="0"/>
              <w:rPr>
                <w:sz w:val="20"/>
                <w:szCs w:val="20"/>
                <w:color w:val="auto"/>
              </w:rPr>
            </w:pPr>
            <w:r>
              <w:rPr>
                <w:rFonts w:ascii="Arial" w:cs="Arial" w:eastAsia="Arial" w:hAnsi="Arial"/>
                <w:sz w:val="18"/>
                <w:szCs w:val="18"/>
                <w:color w:val="auto"/>
              </w:rPr>
              <w:t>Restricted stock</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154</w:t>
            </w:r>
          </w:p>
        </w:tc>
        <w:tc>
          <w:tcPr>
            <w:tcW w:w="26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154</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133</w:t>
            </w:r>
          </w:p>
        </w:tc>
        <w:tc>
          <w:tcPr>
            <w:tcW w:w="2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667</w:t>
            </w:r>
          </w:p>
        </w:tc>
      </w:tr>
      <w:tr>
        <w:trPr>
          <w:trHeight w:val="210"/>
        </w:trPr>
        <w:tc>
          <w:tcPr>
            <w:tcW w:w="23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2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240" w:hanging="232"/>
        <w:spacing w:after="0"/>
        <w:tabs>
          <w:tab w:leader="none" w:pos="2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Discontinued Operations</w:t>
      </w:r>
    </w:p>
    <w:p>
      <w:pPr>
        <w:spacing w:after="0" w:line="229"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On August 31, 2011, the Company sold customer lists and certain fixed assets of its wholly-owned subsidiary, Northeast Bank Insurance Group, Inc. (“NBIG”), to local insurance agencies in two separate transactions. The Varney Agency, Inc. of Bangor, Maine, purchased the assets of nine NBIG offices in Anson, Auburn, Augusta, Bethel, Livermore Falls, Scarborough, South Paris, Thomaston and Turner, Maine. The NBIG office in Berwick, Maine, which operates under the name of Spence &amp; Matthews, was acquired by Bradley Scott, previously a member of NBIG’s senior management team. The following is a summary of the sale transactions recorded during the nine months ended March 31, 2012 (dollars in thousands).</w:t>
      </w:r>
    </w:p>
    <w:p>
      <w:pPr>
        <w:spacing w:after="0" w:line="187" w:lineRule="exact"/>
        <w:rPr>
          <w:sz w:val="20"/>
          <w:szCs w:val="20"/>
          <w:color w:val="auto"/>
        </w:rPr>
      </w:pPr>
    </w:p>
    <w:tbl>
      <w:tblPr>
        <w:tblLayout w:type="fixed"/>
        <w:tblInd w:w="2280" w:type="dxa"/>
        <w:tblCellMar>
          <w:top w:w="0" w:type="dxa"/>
          <w:left w:w="0" w:type="dxa"/>
          <w:bottom w:w="0" w:type="dxa"/>
          <w:right w:w="0" w:type="dxa"/>
        </w:tblCellMar>
      </w:tblP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Sale proceeds</w:t>
            </w:r>
          </w:p>
        </w:tc>
        <w:tc>
          <w:tcPr>
            <w:tcW w:w="540" w:type="dxa"/>
            <w:vAlign w:val="bottom"/>
            <w:gridSpan w:val="2"/>
            <w:shd w:val="clear" w:color="auto" w:fill="CCEEFF"/>
          </w:tcPr>
          <w:p>
            <w:pPr>
              <w:jc w:val="right"/>
              <w:ind w:right="365"/>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9,863</w:t>
            </w:r>
          </w:p>
        </w:tc>
        <w:tc>
          <w:tcPr>
            <w:tcW w:w="120" w:type="dxa"/>
            <w:vAlign w:val="bottom"/>
            <w:shd w:val="clear" w:color="auto" w:fill="CCEEFF"/>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Less:</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Customer lists and other intangible assets, net</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7,379</w:t>
            </w:r>
          </w:p>
        </w:tc>
        <w:tc>
          <w:tcPr>
            <w:tcW w:w="120" w:type="dxa"/>
            <w:vAlign w:val="bottom"/>
            <w:shd w:val="clear" w:color="auto" w:fill="CCEEFF"/>
          </w:tcPr>
          <w:p>
            <w:pPr>
              <w:spacing w:after="0"/>
              <w:rPr>
                <w:sz w:val="18"/>
                <w:szCs w:val="18"/>
                <w:color w:val="auto"/>
              </w:rPr>
            </w:pPr>
          </w:p>
        </w:tc>
      </w:tr>
      <w:tr>
        <w:trPr>
          <w:trHeight w:val="216"/>
        </w:trPr>
        <w:tc>
          <w:tcPr>
            <w:tcW w:w="4580" w:type="dxa"/>
            <w:vAlign w:val="bottom"/>
          </w:tcPr>
          <w:p>
            <w:pPr>
              <w:ind w:left="180"/>
              <w:spacing w:after="0"/>
              <w:rPr>
                <w:sz w:val="20"/>
                <w:szCs w:val="20"/>
                <w:color w:val="auto"/>
              </w:rPr>
            </w:pPr>
            <w:r>
              <w:rPr>
                <w:rFonts w:ascii="Arial" w:cs="Arial" w:eastAsia="Arial" w:hAnsi="Arial"/>
                <w:sz w:val="18"/>
                <w:szCs w:val="18"/>
                <w:color w:val="auto"/>
              </w:rPr>
              <w:t>Fixed assets, net of accumulated depreciation</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165</w:t>
            </w:r>
          </w:p>
        </w:tc>
      </w:tr>
      <w:tr>
        <w:trPr>
          <w:trHeight w:val="216"/>
        </w:trPr>
        <w:tc>
          <w:tcPr>
            <w:tcW w:w="4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Severance and other direct expenses</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768</w:t>
            </w:r>
          </w:p>
        </w:tc>
      </w:tr>
      <w:tr>
        <w:trPr>
          <w:trHeight w:val="210"/>
        </w:trPr>
        <w:tc>
          <w:tcPr>
            <w:tcW w:w="4580" w:type="dxa"/>
            <w:vAlign w:val="bottom"/>
          </w:tcPr>
          <w:p>
            <w:pPr>
              <w:spacing w:after="0"/>
              <w:rPr>
                <w:sz w:val="20"/>
                <w:szCs w:val="20"/>
                <w:color w:val="auto"/>
              </w:rPr>
            </w:pPr>
            <w:r>
              <w:rPr>
                <w:rFonts w:ascii="Arial" w:cs="Arial" w:eastAsia="Arial" w:hAnsi="Arial"/>
                <w:sz w:val="18"/>
                <w:szCs w:val="18"/>
                <w:color w:val="auto"/>
              </w:rPr>
              <w:t>Pre-tax gain recognized</w:t>
            </w:r>
          </w:p>
        </w:tc>
        <w:tc>
          <w:tcPr>
            <w:tcW w:w="20" w:type="dxa"/>
            <w:vAlign w:val="bottom"/>
            <w:tcBorders>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ind w:right="3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1,551</w:t>
            </w:r>
          </w:p>
        </w:tc>
        <w:tc>
          <w:tcPr>
            <w:tcW w:w="120" w:type="dxa"/>
            <w:vAlign w:val="bottom"/>
          </w:tcPr>
          <w:p>
            <w:pPr>
              <w:spacing w:after="0"/>
              <w:rPr>
                <w:sz w:val="18"/>
                <w:szCs w:val="18"/>
                <w:color w:val="auto"/>
              </w:rPr>
            </w:pPr>
          </w:p>
        </w:tc>
      </w:tr>
      <w:tr>
        <w:trPr>
          <w:trHeight w:val="20"/>
        </w:trPr>
        <w:tc>
          <w:tcPr>
            <w:tcW w:w="4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Subsequent to March 31, 2012, the Company recognized additional gain on sale of discontinued operations of $15 thousand representing contingent proceeds received, net of expenses. The total gain on sale of discontinued operations was $1.6 million for Fiscal 2012.</w:t>
      </w:r>
    </w:p>
    <w:p>
      <w:pPr>
        <w:spacing w:after="0" w:line="170"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Operations associated with NBIG for the periods presented have been classified as discontinued operations in the accompanying consolidated statements of income. The Company has eliminated all intercompany transactions in presenting discontinued operations for each period. In connection with the transaction, the Company repaid borrowings associated with NBIG totaling $2.1 million.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240" w:hanging="232"/>
        <w:spacing w:after="0"/>
        <w:tabs>
          <w:tab w:leader="none" w:pos="2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Earnings Per Share (EPS)</w:t>
      </w:r>
    </w:p>
    <w:p>
      <w:pPr>
        <w:spacing w:after="0" w:line="2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EPS is computed by dividing net income allocated to common shareholders by the weighted average common shares outstanding. The following table shows the weighted average number of shares outstanding for the periods indicated. Shares issuable relative to stock options granted have been reflected as an increase in the shares outstanding used to calculate diluted EPS, after applying the treasury stock method. The number of shares outstanding for basic and diluted EPS is presented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6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w w:val="98"/>
              </w:rPr>
              <w:t>Three months Ended March 31,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4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w w:val="99"/>
              </w:rPr>
              <w:t>Nine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54"/>
              <w:spacing w:after="0" w:line="142" w:lineRule="exact"/>
              <w:rPr>
                <w:sz w:val="20"/>
                <w:szCs w:val="20"/>
                <w:color w:val="auto"/>
              </w:rPr>
            </w:pPr>
            <w:r>
              <w:rPr>
                <w:rFonts w:ascii="Arial" w:cs="Arial" w:eastAsia="Arial" w:hAnsi="Arial"/>
                <w:sz w:val="14"/>
                <w:szCs w:val="14"/>
                <w:b w:val="1"/>
                <w:bCs w:val="1"/>
                <w:color w:val="auto"/>
              </w:rPr>
              <w:t>2013</w:t>
            </w:r>
          </w:p>
        </w:tc>
        <w:tc>
          <w:tcPr>
            <w:tcW w:w="14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2012</w:t>
            </w: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320" w:type="dxa"/>
            <w:vAlign w:val="bottom"/>
            <w:gridSpan w:val="11"/>
          </w:tcPr>
          <w:p>
            <w:pPr>
              <w:jc w:val="right"/>
              <w:ind w:right="65"/>
              <w:spacing w:after="0" w:line="142" w:lineRule="exact"/>
              <w:rPr>
                <w:sz w:val="20"/>
                <w:szCs w:val="20"/>
                <w:color w:val="auto"/>
              </w:rPr>
            </w:pPr>
            <w:r>
              <w:rPr>
                <w:rFonts w:ascii="Arial" w:cs="Arial" w:eastAsia="Arial" w:hAnsi="Arial"/>
                <w:sz w:val="14"/>
                <w:szCs w:val="14"/>
                <w:b w:val="1"/>
                <w:bCs w:val="1"/>
                <w:color w:val="auto"/>
              </w:rPr>
              <w:t>(Dollars in thousands, except share and per share data)</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7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1,666</w:t>
            </w:r>
          </w:p>
        </w:tc>
        <w:tc>
          <w:tcPr>
            <w:tcW w:w="42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168</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4,215</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160"/>
              <w:spacing w:after="0"/>
              <w:rPr>
                <w:sz w:val="20"/>
                <w:szCs w:val="20"/>
                <w:color w:val="auto"/>
              </w:rPr>
            </w:pPr>
            <w:r>
              <w:rPr>
                <w:rFonts w:ascii="Arial" w:cs="Arial" w:eastAsia="Arial" w:hAnsi="Arial"/>
                <w:sz w:val="18"/>
                <w:szCs w:val="18"/>
                <w:color w:val="auto"/>
              </w:rPr>
              <w:t>Preferred stock dividends and accretion</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(355)</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tcBorders>
              <w:top w:val="single" w:sz="8" w:color="CCEEFF"/>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Net income available to common shareholders</w:t>
            </w:r>
          </w:p>
        </w:tc>
        <w:tc>
          <w:tcPr>
            <w:tcW w:w="5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3,860</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used in calculation of basic EPS</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10,425,576</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3,494,498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10,397,280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3,494,498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160"/>
              <w:spacing w:after="0"/>
              <w:rPr>
                <w:sz w:val="20"/>
                <w:szCs w:val="20"/>
                <w:color w:val="auto"/>
              </w:rPr>
            </w:pPr>
            <w:r>
              <w:rPr>
                <w:rFonts w:ascii="Arial" w:cs="Arial" w:eastAsia="Arial" w:hAnsi="Arial"/>
                <w:sz w:val="18"/>
                <w:szCs w:val="18"/>
                <w:color w:val="auto"/>
              </w:rPr>
              <w:t>Incremental shares from assumed exercise of dilutive securities</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17,775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shares used in calculation of diluted EPS</w:t>
            </w:r>
          </w:p>
        </w:tc>
        <w:tc>
          <w:tcPr>
            <w:tcW w:w="5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10,425,576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3,512,273</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10,397,280</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3,494,498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340"/>
              <w:spacing w:after="0"/>
              <w:rPr>
                <w:sz w:val="20"/>
                <w:szCs w:val="20"/>
                <w:color w:val="auto"/>
              </w:rPr>
            </w:pPr>
            <w:r>
              <w:rPr>
                <w:rFonts w:ascii="Arial" w:cs="Arial" w:eastAsia="Arial" w:hAnsi="Arial"/>
                <w:sz w:val="18"/>
                <w:szCs w:val="18"/>
                <w:color w:val="auto"/>
              </w:rPr>
              <w:t>Income (loss) from continuing operations</w:t>
            </w:r>
          </w:p>
        </w:tc>
        <w:tc>
          <w:tcPr>
            <w:tcW w:w="7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0.16</w:t>
            </w:r>
          </w:p>
        </w:tc>
        <w:tc>
          <w:tcPr>
            <w:tcW w:w="42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0.02</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0.37</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from discontinued operations</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0.00</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0.00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250"/>
        </w:trPr>
        <w:tc>
          <w:tcPr>
            <w:tcW w:w="5340" w:type="dxa"/>
            <w:vAlign w:val="bottom"/>
            <w:gridSpan w:val="2"/>
          </w:tcPr>
          <w:p>
            <w:pPr>
              <w:spacing w:after="0"/>
              <w:rPr>
                <w:sz w:val="20"/>
                <w:szCs w:val="20"/>
                <w:color w:val="auto"/>
              </w:rPr>
            </w:pPr>
            <w:r>
              <w:rPr>
                <w:rFonts w:ascii="Arial" w:cs="Arial" w:eastAsia="Arial" w:hAnsi="Arial"/>
                <w:sz w:val="18"/>
                <w:szCs w:val="18"/>
                <w:color w:val="auto"/>
              </w:rPr>
              <w:t>Earnings per common share</w:t>
            </w:r>
          </w:p>
        </w:tc>
        <w:tc>
          <w:tcPr>
            <w:tcW w:w="56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0.16</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0.37</w:t>
            </w:r>
          </w:p>
        </w:tc>
        <w:tc>
          <w:tcPr>
            <w:tcW w:w="3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3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Diluted earnings per common share:</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(loss) from continuing operations</w:t>
            </w:r>
          </w:p>
        </w:tc>
        <w:tc>
          <w:tcPr>
            <w:tcW w:w="7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0.16</w:t>
            </w:r>
          </w:p>
        </w:tc>
        <w:tc>
          <w:tcPr>
            <w:tcW w:w="42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0.02</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0.37</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340"/>
              <w:spacing w:after="0"/>
              <w:rPr>
                <w:sz w:val="20"/>
                <w:szCs w:val="20"/>
                <w:color w:val="auto"/>
              </w:rPr>
            </w:pPr>
            <w:r>
              <w:rPr>
                <w:rFonts w:ascii="Arial" w:cs="Arial" w:eastAsia="Arial" w:hAnsi="Arial"/>
                <w:sz w:val="18"/>
                <w:szCs w:val="18"/>
                <w:color w:val="auto"/>
              </w:rPr>
              <w:t>Income from discontinued operations</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0.00</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0.00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5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Average anti-dilutive options and warrants excluded from the calculation of dilutive earnings per share follow.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700" w:type="dxa"/>
            <w:vAlign w:val="bottom"/>
          </w:tcPr>
          <w:p>
            <w:pPr>
              <w:spacing w:after="0"/>
              <w:rPr>
                <w:sz w:val="14"/>
                <w:szCs w:val="14"/>
                <w:color w:val="auto"/>
              </w:rPr>
            </w:pPr>
          </w:p>
        </w:tc>
        <w:tc>
          <w:tcPr>
            <w:tcW w:w="3320" w:type="dxa"/>
            <w:vAlign w:val="bottom"/>
            <w:gridSpan w:val="4"/>
          </w:tcPr>
          <w:p>
            <w:pPr>
              <w:ind w:left="540"/>
              <w:spacing w:after="0"/>
              <w:rPr>
                <w:sz w:val="20"/>
                <w:szCs w:val="20"/>
                <w:color w:val="auto"/>
              </w:rPr>
            </w:pPr>
            <w:r>
              <w:rPr>
                <w:rFonts w:ascii="Arial" w:cs="Arial" w:eastAsia="Arial" w:hAnsi="Arial"/>
                <w:sz w:val="14"/>
                <w:szCs w:val="14"/>
                <w:b w:val="1"/>
                <w:bCs w:val="1"/>
                <w:color w:val="auto"/>
              </w:rPr>
              <w:t>Three Months Ended March 31,</w:t>
            </w:r>
          </w:p>
        </w:tc>
        <w:tc>
          <w:tcPr>
            <w:tcW w:w="312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Nine Months Ended March 31,</w:t>
            </w:r>
          </w:p>
        </w:tc>
      </w:tr>
      <w:tr>
        <w:trPr>
          <w:trHeight w:val="142"/>
        </w:trPr>
        <w:tc>
          <w:tcPr>
            <w:tcW w:w="2700" w:type="dxa"/>
            <w:vAlign w:val="bottom"/>
            <w:tcBorders>
              <w:bottom w:val="single" w:sz="8" w:color="CCEEFF"/>
            </w:tcBorders>
          </w:tcPr>
          <w:p>
            <w:pPr>
              <w:spacing w:after="0"/>
              <w:rPr>
                <w:sz w:val="12"/>
                <w:szCs w:val="12"/>
                <w:color w:val="auto"/>
              </w:rPr>
            </w:pPr>
          </w:p>
        </w:tc>
        <w:tc>
          <w:tcPr>
            <w:tcW w:w="1380" w:type="dxa"/>
            <w:vAlign w:val="bottom"/>
            <w:tcBorders>
              <w:top w:val="single" w:sz="8" w:color="auto"/>
              <w:bottom w:val="single" w:sz="8" w:color="auto"/>
            </w:tcBorders>
          </w:tcPr>
          <w:p>
            <w:pPr>
              <w:jc w:val="right"/>
              <w:ind w:right="459"/>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top w:val="single" w:sz="8" w:color="auto"/>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459"/>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top w:val="single" w:sz="8" w:color="auto"/>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436"/>
              <w:spacing w:after="0" w:line="142" w:lineRule="exact"/>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2"/>
                <w:szCs w:val="12"/>
                <w:color w:val="auto"/>
              </w:rPr>
            </w:pPr>
          </w:p>
        </w:tc>
      </w:tr>
      <w:tr>
        <w:trPr>
          <w:trHeight w:val="210"/>
        </w:trPr>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1,074,687</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796,049</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900,514</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796,049</w:t>
            </w:r>
          </w:p>
        </w:tc>
        <w:tc>
          <w:tcPr>
            <w:tcW w:w="120" w:type="dxa"/>
            <w:vAlign w:val="bottom"/>
            <w:shd w:val="clear" w:color="auto" w:fill="CCEEFF"/>
          </w:tcPr>
          <w:p>
            <w:pPr>
              <w:spacing w:after="0"/>
              <w:rPr>
                <w:sz w:val="18"/>
                <w:szCs w:val="18"/>
                <w:color w:val="auto"/>
              </w:rPr>
            </w:pP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Warrants</w:t>
            </w:r>
          </w:p>
        </w:tc>
        <w:tc>
          <w:tcPr>
            <w:tcW w:w="1680" w:type="dxa"/>
            <w:vAlign w:val="bottom"/>
            <w:gridSpan w:val="2"/>
          </w:tcPr>
          <w:p>
            <w:pPr>
              <w:jc w:val="right"/>
              <w:ind w:right="300"/>
              <w:spacing w:after="0"/>
              <w:rPr>
                <w:sz w:val="20"/>
                <w:szCs w:val="20"/>
                <w:color w:val="auto"/>
              </w:rPr>
            </w:pPr>
            <w:r>
              <w:rPr>
                <w:rFonts w:ascii="Arial" w:cs="Arial" w:eastAsia="Arial" w:hAnsi="Arial"/>
                <w:sz w:val="18"/>
                <w:szCs w:val="18"/>
                <w:color w:val="auto"/>
              </w:rPr>
              <w:t>0</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0</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40,775</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67,958</w:t>
            </w:r>
          </w:p>
        </w:tc>
      </w:tr>
      <w:tr>
        <w:trPr>
          <w:trHeight w:val="118"/>
        </w:trPr>
        <w:tc>
          <w:tcPr>
            <w:tcW w:w="2700" w:type="dxa"/>
            <w:vAlign w:val="bottom"/>
            <w:tcBorders>
              <w:top w:val="single" w:sz="8" w:color="CCEEFF"/>
            </w:tcBorders>
            <w:shd w:val="clear" w:color="auto" w:fill="CCEEFF"/>
          </w:tcPr>
          <w:p>
            <w:pPr>
              <w:spacing w:after="0"/>
              <w:rPr>
                <w:sz w:val="10"/>
                <w:szCs w:val="10"/>
                <w:color w:val="auto"/>
              </w:rPr>
            </w:pPr>
          </w:p>
        </w:tc>
        <w:tc>
          <w:tcPr>
            <w:tcW w:w="138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CCEEFF"/>
            </w:tcBorders>
            <w:shd w:val="clear" w:color="auto" w:fill="CCEEFF"/>
          </w:tcPr>
          <w:p>
            <w:pPr>
              <w:spacing w:after="0"/>
              <w:rPr>
                <w:sz w:val="10"/>
                <w:szCs w:val="10"/>
                <w:color w:val="auto"/>
              </w:rPr>
            </w:pPr>
          </w:p>
        </w:tc>
        <w:tc>
          <w:tcPr>
            <w:tcW w:w="136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CCEEFF"/>
            </w:tcBorders>
            <w:shd w:val="clear" w:color="auto" w:fill="CCEEFF"/>
          </w:tcPr>
          <w:p>
            <w:pPr>
              <w:spacing w:after="0"/>
              <w:rPr>
                <w:sz w:val="10"/>
                <w:szCs w:val="10"/>
                <w:color w:val="auto"/>
              </w:rPr>
            </w:pPr>
          </w:p>
        </w:tc>
        <w:tc>
          <w:tcPr>
            <w:tcW w:w="136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CCEEFF"/>
            </w:tcBorders>
            <w:shd w:val="clear" w:color="auto" w:fill="CCEEFF"/>
          </w:tcPr>
          <w:p>
            <w:pPr>
              <w:spacing w:after="0"/>
              <w:rPr>
                <w:sz w:val="10"/>
                <w:szCs w:val="10"/>
                <w:color w:val="auto"/>
              </w:rPr>
            </w:pPr>
          </w:p>
        </w:tc>
        <w:tc>
          <w:tcPr>
            <w:tcW w:w="136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r>
    </w:tbl>
    <w:p>
      <w:pPr>
        <w:sectPr>
          <w:pgSz w:w="11900" w:h="16900" w:orient="portrait"/>
          <w:cols w:equalWidth="0" w:num="1">
            <w:col w:w="11420"/>
          </w:cols>
          <w:pgMar w:left="240" w:top="125" w:right="239" w:bottom="0" w:gutter="0" w:footer="0" w:header="0"/>
        </w:sectPr>
      </w:pPr>
    </w:p>
    <w:bookmarkStart w:id="17" w:name="page18"/>
    <w:bookmarkEnd w:id="17"/>
    <w:p>
      <w:pPr>
        <w:ind w:left="3360"/>
        <w:spacing w:after="0"/>
        <w:tabs>
          <w:tab w:leader="none" w:pos="5120" w:val="left"/>
          <w:tab w:leader="none" w:pos="6780" w:val="left"/>
          <w:tab w:leader="none" w:pos="8420" w:val="left"/>
        </w:tabs>
        <w:rPr>
          <w:sz w:val="20"/>
          <w:szCs w:val="20"/>
          <w:color w:val="auto"/>
        </w:rPr>
      </w:pPr>
      <w:r>
        <w:rPr>
          <w:rFonts w:ascii="Arial" w:cs="Arial" w:eastAsia="Arial" w:hAnsi="Arial"/>
          <w:sz w:val="18"/>
          <w:szCs w:val="18"/>
          <w:color w:val="auto"/>
        </w:rPr>
        <w:t>1,074,687</w:t>
      </w:r>
      <w:r>
        <w:rPr>
          <w:sz w:val="20"/>
          <w:szCs w:val="20"/>
          <w:color w:val="auto"/>
        </w:rPr>
        <w:tab/>
      </w:r>
      <w:r>
        <w:rPr>
          <w:rFonts w:ascii="Arial" w:cs="Arial" w:eastAsia="Arial" w:hAnsi="Arial"/>
          <w:sz w:val="18"/>
          <w:szCs w:val="18"/>
          <w:color w:val="auto"/>
        </w:rPr>
        <w:t>796,049</w:t>
      </w:r>
      <w:r>
        <w:rPr>
          <w:sz w:val="20"/>
          <w:szCs w:val="20"/>
          <w:color w:val="auto"/>
        </w:rPr>
        <w:tab/>
      </w:r>
      <w:r>
        <w:rPr>
          <w:rFonts w:ascii="Arial" w:cs="Arial" w:eastAsia="Arial" w:hAnsi="Arial"/>
          <w:sz w:val="18"/>
          <w:szCs w:val="18"/>
          <w:color w:val="auto"/>
        </w:rPr>
        <w:t>941,289</w:t>
      </w:r>
      <w:r>
        <w:rPr>
          <w:sz w:val="20"/>
          <w:szCs w:val="20"/>
          <w:color w:val="auto"/>
        </w:rPr>
        <w:tab/>
      </w:r>
      <w:r>
        <w:rPr>
          <w:rFonts w:ascii="Arial" w:cs="Arial" w:eastAsia="Arial" w:hAnsi="Arial"/>
          <w:sz w:val="16"/>
          <w:szCs w:val="16"/>
          <w:color w:val="auto"/>
        </w:rPr>
        <w:t>864,007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5797550" cy="1631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97550" cy="163195"/>
                    </a:xfrm>
                    <a:prstGeom prst="rect">
                      <a:avLst/>
                    </a:prstGeom>
                    <a:noFill/>
                  </pic:spPr>
                </pic:pic>
              </a:graphicData>
            </a:graphic>
          </wp:anchor>
        </w:drawing>
      </w: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240" w:hanging="232"/>
        <w:spacing w:after="0"/>
        <w:tabs>
          <w:tab w:leader="none" w:pos="2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Fair Value Measurements</w:t>
      </w:r>
    </w:p>
    <w:p>
      <w:pPr>
        <w:spacing w:after="0" w:line="22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Fair value is a market-based measure considered from the perspective of a market participant rather than an entity-specific measure. Therefore, even when market assumptions are not readily available, the Company’s own assumptions are set to reflect those that market participants would use in pricing the asset or liability at the measurement date. If there has been a significant decrease in the volume and level of activity for the asset or liability, regardless of the valuation technique(s) used, the objective of a fair value measurement remains the same. Fair value is the price that would be received to sell an asset or paid to transfer a liability in an orderly transaction (that is, not a forced liquidation or distressed sale) between market participants at the measurement date under current market conditions. The Company uses prices and inputs that are current as of the measurement date, including during periods of market dislocation. In periods of market dislocation, the observability of prices and inputs may be reduced for many instruments. This condition could cause an instrument to be reclassified from one level to another.</w:t>
      </w:r>
    </w:p>
    <w:p>
      <w:pPr>
        <w:spacing w:after="0" w:line="179"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ASC 820 defines fair value and establishes a fair value hierarchy that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under ASC 820 are described below:</w:t>
      </w:r>
    </w:p>
    <w:p>
      <w:pPr>
        <w:spacing w:after="0" w:line="166" w:lineRule="exact"/>
        <w:rPr>
          <w:sz w:val="20"/>
          <w:szCs w:val="20"/>
          <w:color w:val="auto"/>
        </w:rPr>
      </w:pPr>
    </w:p>
    <w:p>
      <w:pPr>
        <w:ind w:left="660" w:right="60"/>
        <w:spacing w:after="0" w:line="277" w:lineRule="auto"/>
        <w:rPr>
          <w:sz w:val="20"/>
          <w:szCs w:val="20"/>
          <w:color w:val="auto"/>
        </w:rPr>
      </w:pPr>
      <w:r>
        <w:rPr>
          <w:rFonts w:ascii="Arial" w:cs="Arial" w:eastAsia="Arial" w:hAnsi="Arial"/>
          <w:sz w:val="18"/>
          <w:szCs w:val="18"/>
          <w:color w:val="auto"/>
        </w:rPr>
        <w:t>Level 1 — Inputs are quoted prices (unadjusted) in active markets for identical assets or liabilities that the reporting entity has the ability to access at the measurement date.</w:t>
      </w:r>
    </w:p>
    <w:p>
      <w:pPr>
        <w:spacing w:after="0" w:line="170" w:lineRule="exact"/>
        <w:rPr>
          <w:sz w:val="20"/>
          <w:szCs w:val="20"/>
          <w:color w:val="auto"/>
        </w:rPr>
      </w:pPr>
    </w:p>
    <w:p>
      <w:pPr>
        <w:ind w:left="660" w:right="340"/>
        <w:spacing w:after="0" w:line="342" w:lineRule="auto"/>
        <w:rPr>
          <w:sz w:val="20"/>
          <w:szCs w:val="20"/>
          <w:color w:val="auto"/>
        </w:rPr>
      </w:pPr>
      <w:r>
        <w:rPr>
          <w:rFonts w:ascii="Arial" w:cs="Arial" w:eastAsia="Arial" w:hAnsi="Arial"/>
          <w:sz w:val="16"/>
          <w:szCs w:val="16"/>
          <w:color w:val="auto"/>
        </w:rPr>
        <w:t>Level 2 — Valuations based on significant other observable inputs other than Level 1 prices such as quoted prices for similar assets or liabilities; quoted prices in markets that are not active; or other inputs that are observable or can be corroborated by observable market data.</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3 — Prices or valuations that require inputs that are both significant to the fair value measurement and unobservable.</w:t>
      </w:r>
    </w:p>
    <w:p>
      <w:pPr>
        <w:spacing w:after="0" w:line="225"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To the extent that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technique</w:t>
      </w:r>
      <w:r>
        <w:rPr>
          <w:rFonts w:ascii="Arial" w:cs="Arial" w:eastAsia="Arial" w:hAnsi="Arial"/>
          <w:sz w:val="18"/>
          <w:szCs w:val="18"/>
          <w:color w:val="auto"/>
        </w:rPr>
        <w:t>s - There have been no changes in the valuation techniques used during the current period.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and Liabilities Measured at Fair Value on a Recurring Basis:</w:t>
      </w:r>
    </w:p>
    <w:p>
      <w:pPr>
        <w:spacing w:after="0" w:line="225" w:lineRule="exact"/>
        <w:rPr>
          <w:sz w:val="20"/>
          <w:szCs w:val="20"/>
          <w:color w:val="auto"/>
        </w:rPr>
      </w:pPr>
    </w:p>
    <w:p>
      <w:pPr>
        <w:ind w:left="660" w:right="20"/>
        <w:spacing w:after="0" w:line="255" w:lineRule="auto"/>
        <w:rPr>
          <w:sz w:val="20"/>
          <w:szCs w:val="20"/>
          <w:color w:val="auto"/>
        </w:rPr>
      </w:pPr>
      <w:r>
        <w:rPr>
          <w:rFonts w:ascii="Arial" w:cs="Arial" w:eastAsia="Arial" w:hAnsi="Arial"/>
          <w:sz w:val="18"/>
          <w:szCs w:val="18"/>
          <w:i w:val="1"/>
          <w:iCs w:val="1"/>
          <w:color w:val="auto"/>
        </w:rPr>
        <w:t xml:space="preserve">Available-for-sale securities </w:t>
      </w:r>
      <w:r>
        <w:rPr>
          <w:rFonts w:ascii="Arial" w:cs="Arial" w:eastAsia="Arial" w:hAnsi="Arial"/>
          <w:sz w:val="18"/>
          <w:szCs w:val="18"/>
          <w:color w:val="auto"/>
        </w:rPr>
        <w:t>- Where quoted prices are available in an active market, securities are classified within Level 1 of the valuation</w:t>
      </w:r>
      <w:r>
        <w:rPr>
          <w:rFonts w:ascii="Arial" w:cs="Arial" w:eastAsia="Arial" w:hAnsi="Arial"/>
          <w:sz w:val="18"/>
          <w:szCs w:val="18"/>
          <w:i w:val="1"/>
          <w:iCs w:val="1"/>
          <w:color w:val="auto"/>
        </w:rPr>
        <w:t xml:space="preserve"> </w:t>
      </w:r>
      <w:r>
        <w:rPr>
          <w:rFonts w:ascii="Arial" w:cs="Arial" w:eastAsia="Arial" w:hAnsi="Arial"/>
          <w:sz w:val="18"/>
          <w:szCs w:val="18"/>
          <w:color w:val="auto"/>
        </w:rPr>
        <w:t>hierarchy. Examples of such instruments include publicly-traded common and preferred stocks. If quoted prices are not available, then fair values are estimated by using pricing models (</w:t>
      </w:r>
      <w:r>
        <w:rPr>
          <w:rFonts w:ascii="Arial" w:cs="Arial" w:eastAsia="Arial" w:hAnsi="Arial"/>
          <w:sz w:val="18"/>
          <w:szCs w:val="18"/>
          <w:i w:val="1"/>
          <w:iCs w:val="1"/>
          <w:color w:val="auto"/>
        </w:rPr>
        <w:t>i.e.</w:t>
      </w:r>
      <w:r>
        <w:rPr>
          <w:rFonts w:ascii="Arial" w:cs="Arial" w:eastAsia="Arial" w:hAnsi="Arial"/>
          <w:sz w:val="18"/>
          <w:szCs w:val="18"/>
          <w:color w:val="auto"/>
        </w:rPr>
        <w:t>, matrix pricing) and market interest rates and credit assumptions or quoted prices of securities with similar characteristics and are classified within Level 2 of the valuation hierarchy. Examples of such instruments include government agency and government sponsored agency mortgage-backed securities, as well as certain preferred and trust preferred stocks. Level 3 securities are securities for which significant unobservable inputs are utilized.</w:t>
      </w:r>
    </w:p>
    <w:p>
      <w:pPr>
        <w:spacing w:after="0" w:line="193" w:lineRule="exact"/>
        <w:rPr>
          <w:sz w:val="20"/>
          <w:szCs w:val="20"/>
          <w:color w:val="auto"/>
        </w:rPr>
      </w:pPr>
    </w:p>
    <w:p>
      <w:pPr>
        <w:ind w:left="660" w:right="340"/>
        <w:spacing w:after="0" w:line="297" w:lineRule="auto"/>
        <w:rPr>
          <w:sz w:val="20"/>
          <w:szCs w:val="20"/>
          <w:color w:val="auto"/>
        </w:rPr>
      </w:pPr>
      <w:r>
        <w:rPr>
          <w:rFonts w:ascii="Arial" w:cs="Arial" w:eastAsia="Arial" w:hAnsi="Arial"/>
          <w:sz w:val="16"/>
          <w:szCs w:val="16"/>
          <w:i w:val="1"/>
          <w:iCs w:val="1"/>
          <w:color w:val="auto"/>
        </w:rPr>
        <w:t xml:space="preserve">Derivative financial instruments </w:t>
      </w:r>
      <w:r>
        <w:rPr>
          <w:rFonts w:ascii="Arial" w:cs="Arial" w:eastAsia="Arial" w:hAnsi="Arial"/>
          <w:sz w:val="16"/>
          <w:szCs w:val="16"/>
          <w:color w:val="auto"/>
        </w:rPr>
        <w:t>- The valuation of the Company’s interest rate swaps and caps are determined using widely accepted valuation</w:t>
      </w:r>
      <w:r>
        <w:rPr>
          <w:rFonts w:ascii="Arial" w:cs="Arial" w:eastAsia="Arial" w:hAnsi="Arial"/>
          <w:sz w:val="16"/>
          <w:szCs w:val="16"/>
          <w:i w:val="1"/>
          <w:iCs w:val="1"/>
          <w:color w:val="auto"/>
        </w:rPr>
        <w:t xml:space="preserve"> </w:t>
      </w:r>
      <w:r>
        <w:rPr>
          <w:rFonts w:ascii="Arial" w:cs="Arial" w:eastAsia="Arial" w:hAnsi="Arial"/>
          <w:sz w:val="16"/>
          <w:szCs w:val="16"/>
          <w:color w:val="auto"/>
        </w:rPr>
        <w:t>techniques including discounted cash flow analyses on the expected cash flows of derivatives. These analyses reflect the contractual terms of the derivatives, including the period to maturity, and use observable market-based inputs, including interest rate curves and implied volatilities. Unobservable inputs, such as credit valuation adjustments are insignificant to the overall valuation of the Company’s derivative financial instruments. Accordingly, the Company has determined that its interest rate derivatives fall within Level 2 of the fair value hierarchy.</w:t>
      </w:r>
    </w:p>
    <w:p>
      <w:pPr>
        <w:spacing w:after="0" w:line="158" w:lineRule="exact"/>
        <w:rPr>
          <w:sz w:val="20"/>
          <w:szCs w:val="20"/>
          <w:color w:val="auto"/>
        </w:rPr>
      </w:pPr>
    </w:p>
    <w:p>
      <w:pPr>
        <w:jc w:val="both"/>
        <w:ind w:left="660" w:right="140"/>
        <w:spacing w:after="0" w:line="264" w:lineRule="auto"/>
        <w:rPr>
          <w:sz w:val="20"/>
          <w:szCs w:val="20"/>
          <w:color w:val="auto"/>
        </w:rPr>
      </w:pPr>
      <w:r>
        <w:rPr>
          <w:rFonts w:ascii="Arial" w:cs="Arial" w:eastAsia="Arial" w:hAnsi="Arial"/>
          <w:sz w:val="18"/>
          <w:szCs w:val="18"/>
          <w:color w:val="auto"/>
        </w:rPr>
        <w:t>The fair value of derivative loan commitments and forward loan sale agreements are estimated using the anticipated market price based on pricing indications provided from syndicate banks. These commitments and agreements are categorized as Level 2. The fair value of such instruments was nominal at each date presented.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and Liabilities Measured at Fair Value on a Nonrecurring Basis:</w:t>
      </w:r>
    </w:p>
    <w:p>
      <w:pPr>
        <w:spacing w:after="0" w:line="225" w:lineRule="exact"/>
        <w:rPr>
          <w:sz w:val="20"/>
          <w:szCs w:val="20"/>
          <w:color w:val="auto"/>
        </w:rPr>
      </w:pPr>
    </w:p>
    <w:p>
      <w:pPr>
        <w:ind w:left="660" w:right="640"/>
        <w:spacing w:after="0" w:line="342" w:lineRule="auto"/>
        <w:rPr>
          <w:sz w:val="20"/>
          <w:szCs w:val="20"/>
          <w:color w:val="auto"/>
        </w:rPr>
      </w:pPr>
      <w:r>
        <w:rPr>
          <w:rFonts w:ascii="Arial" w:cs="Arial" w:eastAsia="Arial" w:hAnsi="Arial"/>
          <w:sz w:val="16"/>
          <w:szCs w:val="16"/>
          <w:i w:val="1"/>
          <w:iCs w:val="1"/>
          <w:color w:val="auto"/>
        </w:rPr>
        <w:t xml:space="preserve">Impaired Loans </w:t>
      </w:r>
      <w:r>
        <w:rPr>
          <w:rFonts w:ascii="Arial" w:cs="Arial" w:eastAsia="Arial" w:hAnsi="Arial"/>
          <w:sz w:val="16"/>
          <w:szCs w:val="16"/>
          <w:color w:val="auto"/>
        </w:rPr>
        <w:t>- Valuations of impaired loans measured at fair value are determined by a review of collateral values. Certain inputs used in</w:t>
      </w:r>
      <w:r>
        <w:rPr>
          <w:rFonts w:ascii="Arial" w:cs="Arial" w:eastAsia="Arial" w:hAnsi="Arial"/>
          <w:sz w:val="16"/>
          <w:szCs w:val="16"/>
          <w:i w:val="1"/>
          <w:iCs w:val="1"/>
          <w:color w:val="auto"/>
        </w:rPr>
        <w:t xml:space="preserve"> </w:t>
      </w:r>
      <w:r>
        <w:rPr>
          <w:rFonts w:ascii="Arial" w:cs="Arial" w:eastAsia="Arial" w:hAnsi="Arial"/>
          <w:sz w:val="16"/>
          <w:szCs w:val="16"/>
          <w:color w:val="auto"/>
        </w:rPr>
        <w:t>appraisals are not always observable, and therefore impaired loans are generally categorized as Level 3 within the fair value hierarchy.</w:t>
      </w:r>
    </w:p>
    <w:p>
      <w:pPr>
        <w:spacing w:after="0" w:line="124"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i w:val="1"/>
          <w:iCs w:val="1"/>
          <w:color w:val="auto"/>
        </w:rPr>
        <w:t xml:space="preserve">Real Estate Owned and Other Repossessed collateral </w:t>
      </w:r>
      <w:r>
        <w:rPr>
          <w:rFonts w:ascii="Arial" w:cs="Arial" w:eastAsia="Arial" w:hAnsi="Arial"/>
          <w:sz w:val="17"/>
          <w:szCs w:val="17"/>
          <w:color w:val="auto"/>
        </w:rPr>
        <w:t>- The fair values of real estate owned and other repossessed collateral are estimated based upon</w:t>
      </w:r>
      <w:r>
        <w:rPr>
          <w:rFonts w:ascii="Arial" w:cs="Arial" w:eastAsia="Arial" w:hAnsi="Arial"/>
          <w:sz w:val="17"/>
          <w:szCs w:val="17"/>
          <w:i w:val="1"/>
          <w:iCs w:val="1"/>
          <w:color w:val="auto"/>
        </w:rPr>
        <w:t xml:space="preserve"> </w:t>
      </w:r>
      <w:r>
        <w:rPr>
          <w:rFonts w:ascii="Arial" w:cs="Arial" w:eastAsia="Arial" w:hAnsi="Arial"/>
          <w:sz w:val="17"/>
          <w:szCs w:val="17"/>
          <w:color w:val="auto"/>
        </w:rPr>
        <w:t>appraised values less estimated costs to sell. Certain inputs used in appraisals are not always observable, and therefore may be categorized as Level 3 within the fair value hierarchy. When inputs used in appraisals are primarily observable, they are classified as Level 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other Financial Instruments:</w:t>
      </w:r>
    </w:p>
    <w:p>
      <w:pPr>
        <w:spacing w:after="0" w:line="225" w:lineRule="exact"/>
        <w:rPr>
          <w:sz w:val="20"/>
          <w:szCs w:val="20"/>
          <w:color w:val="auto"/>
        </w:rPr>
      </w:pPr>
    </w:p>
    <w:p>
      <w:pPr>
        <w:ind w:left="660" w:right="500"/>
        <w:spacing w:after="0" w:line="277"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 The fair value of cash, due from banks, interest bearing deposits and FHLB overnight deposits approximates their</w:t>
      </w:r>
      <w:r>
        <w:rPr>
          <w:rFonts w:ascii="Arial" w:cs="Arial" w:eastAsia="Arial" w:hAnsi="Arial"/>
          <w:sz w:val="18"/>
          <w:szCs w:val="18"/>
          <w:i w:val="1"/>
          <w:iCs w:val="1"/>
          <w:color w:val="auto"/>
        </w:rPr>
        <w:t xml:space="preserve"> </w:t>
      </w:r>
      <w:r>
        <w:rPr>
          <w:rFonts w:ascii="Arial" w:cs="Arial" w:eastAsia="Arial" w:hAnsi="Arial"/>
          <w:sz w:val="18"/>
          <w:szCs w:val="18"/>
          <w:color w:val="auto"/>
        </w:rPr>
        <w:t>relative book values, as these financial instruments have short maturities.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125" w:right="239" w:bottom="208" w:gutter="0" w:footer="0" w:header="0"/>
        </w:sectPr>
      </w:pPr>
    </w:p>
    <w:bookmarkStart w:id="18" w:name="page19"/>
    <w:bookmarkEnd w:id="18"/>
    <w:p>
      <w:pPr>
        <w:spacing w:after="0" w:line="46" w:lineRule="exact"/>
        <w:rPr>
          <w:sz w:val="20"/>
          <w:szCs w:val="20"/>
          <w:color w:val="auto"/>
        </w:rPr>
      </w:pPr>
    </w:p>
    <w:p>
      <w:pPr>
        <w:ind w:left="660" w:right="500"/>
        <w:spacing w:after="0" w:line="277" w:lineRule="auto"/>
        <w:rPr>
          <w:sz w:val="20"/>
          <w:szCs w:val="20"/>
          <w:color w:val="auto"/>
        </w:rPr>
      </w:pPr>
      <w:r>
        <w:rPr>
          <w:rFonts w:ascii="Arial" w:cs="Arial" w:eastAsia="Arial" w:hAnsi="Arial"/>
          <w:sz w:val="18"/>
          <w:szCs w:val="18"/>
          <w:i w:val="1"/>
          <w:iCs w:val="1"/>
          <w:color w:val="auto"/>
        </w:rPr>
        <w:t xml:space="preserve">FHLB and Federal Reserve stock </w:t>
      </w:r>
      <w:r>
        <w:rPr>
          <w:rFonts w:ascii="Arial" w:cs="Arial" w:eastAsia="Arial" w:hAnsi="Arial"/>
          <w:sz w:val="18"/>
          <w:szCs w:val="18"/>
          <w:color w:val="auto"/>
        </w:rPr>
        <w:t>- The carrying value of FHLB stock and Federal Reserve stock approximates fair value based on redemption</w:t>
      </w:r>
      <w:r>
        <w:rPr>
          <w:rFonts w:ascii="Arial" w:cs="Arial" w:eastAsia="Arial" w:hAnsi="Arial"/>
          <w:sz w:val="18"/>
          <w:szCs w:val="18"/>
          <w:i w:val="1"/>
          <w:iCs w:val="1"/>
          <w:color w:val="auto"/>
        </w:rPr>
        <w:t xml:space="preserve"> </w:t>
      </w:r>
      <w:r>
        <w:rPr>
          <w:rFonts w:ascii="Arial" w:cs="Arial" w:eastAsia="Arial" w:hAnsi="Arial"/>
          <w:sz w:val="18"/>
          <w:szCs w:val="18"/>
          <w:color w:val="auto"/>
        </w:rPr>
        <w:t>provisions of the FHLB and the Federal Reserve.</w:t>
      </w:r>
    </w:p>
    <w:p>
      <w:pPr>
        <w:spacing w:after="0" w:line="170" w:lineRule="exact"/>
        <w:rPr>
          <w:sz w:val="20"/>
          <w:szCs w:val="20"/>
          <w:color w:val="auto"/>
        </w:rPr>
      </w:pPr>
    </w:p>
    <w:p>
      <w:pPr>
        <w:ind w:left="660" w:right="280"/>
        <w:spacing w:after="0" w:line="302" w:lineRule="auto"/>
        <w:rPr>
          <w:sz w:val="20"/>
          <w:szCs w:val="20"/>
          <w:color w:val="auto"/>
        </w:rPr>
      </w:pPr>
      <w:r>
        <w:rPr>
          <w:rFonts w:ascii="Arial" w:cs="Arial" w:eastAsia="Arial" w:hAnsi="Arial"/>
          <w:sz w:val="16"/>
          <w:szCs w:val="16"/>
          <w:i w:val="1"/>
          <w:iCs w:val="1"/>
          <w:color w:val="auto"/>
        </w:rPr>
        <w:t xml:space="preserve">Loans </w:t>
      </w:r>
      <w:r>
        <w:rPr>
          <w:rFonts w:ascii="Arial" w:cs="Arial" w:eastAsia="Arial" w:hAnsi="Arial"/>
          <w:sz w:val="16"/>
          <w:szCs w:val="16"/>
          <w:color w:val="auto"/>
        </w:rPr>
        <w:t>- Fair values are estimated for portfolios of loans with similar financial characteristics. The fair value of performing loans is calculated by</w:t>
      </w:r>
      <w:r>
        <w:rPr>
          <w:rFonts w:ascii="Arial" w:cs="Arial" w:eastAsia="Arial" w:hAnsi="Arial"/>
          <w:sz w:val="16"/>
          <w:szCs w:val="16"/>
          <w:i w:val="1"/>
          <w:iCs w:val="1"/>
          <w:color w:val="auto"/>
        </w:rPr>
        <w:t xml:space="preserve"> </w:t>
      </w:r>
      <w:r>
        <w:rPr>
          <w:rFonts w:ascii="Arial" w:cs="Arial" w:eastAsia="Arial" w:hAnsi="Arial"/>
          <w:sz w:val="16"/>
          <w:szCs w:val="16"/>
          <w:color w:val="auto"/>
        </w:rPr>
        <w:t>discounting scheduled cash flows through the estimated maturity using estimated market discount rates that reflect the credit and interest rate risk inherent in the loan. The estimates of maturity are based on the Company’s historical experience with repayments for each loan classification, modified, as required, by an estimate of the effect of current economic conditions, lending conditions and the effects of estimated prepayments.</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Loans held for sale </w:t>
      </w:r>
      <w:r>
        <w:rPr>
          <w:rFonts w:ascii="Arial" w:cs="Arial" w:eastAsia="Arial" w:hAnsi="Arial"/>
          <w:sz w:val="18"/>
          <w:szCs w:val="18"/>
          <w:color w:val="auto"/>
        </w:rPr>
        <w:t>- The fair value of loans held-for-sale is estimated based on bid quotations received from loan dealers.</w:t>
      </w:r>
    </w:p>
    <w:p>
      <w:pPr>
        <w:spacing w:after="0" w:line="225" w:lineRule="exact"/>
        <w:rPr>
          <w:sz w:val="20"/>
          <w:szCs w:val="20"/>
          <w:color w:val="auto"/>
        </w:rPr>
      </w:pPr>
    </w:p>
    <w:p>
      <w:pPr>
        <w:ind w:left="660" w:right="80"/>
        <w:spacing w:after="0" w:line="264" w:lineRule="auto"/>
        <w:rPr>
          <w:sz w:val="20"/>
          <w:szCs w:val="20"/>
          <w:color w:val="auto"/>
        </w:rPr>
      </w:pPr>
      <w:r>
        <w:rPr>
          <w:rFonts w:ascii="Arial" w:cs="Arial" w:eastAsia="Arial" w:hAnsi="Arial"/>
          <w:sz w:val="18"/>
          <w:szCs w:val="18"/>
          <w:i w:val="1"/>
          <w:iCs w:val="1"/>
          <w:color w:val="auto"/>
        </w:rPr>
        <w:t xml:space="preserve">Interest receivable </w:t>
      </w:r>
      <w:r>
        <w:rPr>
          <w:rFonts w:ascii="Arial" w:cs="Arial" w:eastAsia="Arial" w:hAnsi="Arial"/>
          <w:sz w:val="18"/>
          <w:szCs w:val="18"/>
          <w:color w:val="auto"/>
        </w:rPr>
        <w:t>- The fair value of this financial instrument approximates the book value as this financial instrument has a short maturity. It is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policy to stop accruing interest on loans past due by more than 90 days. Therefore, this financial instrument has been adjusted for estimated credit loss.</w:t>
      </w:r>
    </w:p>
    <w:p>
      <w:pPr>
        <w:spacing w:after="0" w:line="181" w:lineRule="exact"/>
        <w:rPr>
          <w:sz w:val="20"/>
          <w:szCs w:val="20"/>
          <w:color w:val="auto"/>
        </w:rPr>
      </w:pPr>
    </w:p>
    <w:p>
      <w:pPr>
        <w:ind w:left="660" w:right="40"/>
        <w:spacing w:after="0" w:line="276" w:lineRule="auto"/>
        <w:rPr>
          <w:sz w:val="20"/>
          <w:szCs w:val="20"/>
          <w:color w:val="auto"/>
        </w:rPr>
      </w:pPr>
      <w:r>
        <w:rPr>
          <w:rFonts w:ascii="Arial" w:cs="Arial" w:eastAsia="Arial" w:hAnsi="Arial"/>
          <w:sz w:val="17"/>
          <w:szCs w:val="17"/>
          <w:i w:val="1"/>
          <w:iCs w:val="1"/>
          <w:color w:val="auto"/>
        </w:rPr>
        <w:t xml:space="preserve">Deposits </w:t>
      </w:r>
      <w:r>
        <w:rPr>
          <w:rFonts w:ascii="Arial" w:cs="Arial" w:eastAsia="Arial" w:hAnsi="Arial"/>
          <w:sz w:val="17"/>
          <w:szCs w:val="17"/>
          <w:color w:val="auto"/>
        </w:rPr>
        <w:t>- The fair value of deposits with no stated maturity, such as noninterest-bearing demand deposits, savings, NOW accounts and money</w:t>
      </w:r>
      <w:r>
        <w:rPr>
          <w:rFonts w:ascii="Arial" w:cs="Arial" w:eastAsia="Arial" w:hAnsi="Arial"/>
          <w:sz w:val="17"/>
          <w:szCs w:val="17"/>
          <w:i w:val="1"/>
          <w:iCs w:val="1"/>
          <w:color w:val="auto"/>
        </w:rPr>
        <w:t xml:space="preserve"> </w:t>
      </w:r>
      <w:r>
        <w:rPr>
          <w:rFonts w:ascii="Arial" w:cs="Arial" w:eastAsia="Arial" w:hAnsi="Arial"/>
          <w:sz w:val="17"/>
          <w:szCs w:val="17"/>
          <w:color w:val="auto"/>
        </w:rPr>
        <w:t>market accounts, is equal to the amount payable on demand. The fair values of time deposits are based on the discounted value of contractual cash flows. The discount rate is estimated using the rates currently offered for deposits of similar remaining maturities. The fair value estimates do not include the benefit that results from the low-cost funding provided by the deposit liabilities compared to the cost of borrowing funds in the market. If that value were considered, the fair value of the Company’s net assets could increase.</w:t>
      </w:r>
    </w:p>
    <w:p>
      <w:pPr>
        <w:spacing w:after="0" w:line="173" w:lineRule="exact"/>
        <w:rPr>
          <w:sz w:val="20"/>
          <w:szCs w:val="20"/>
          <w:color w:val="auto"/>
        </w:rPr>
      </w:pPr>
    </w:p>
    <w:p>
      <w:pPr>
        <w:ind w:left="660" w:right="240"/>
        <w:spacing w:after="0" w:line="279" w:lineRule="auto"/>
        <w:rPr>
          <w:sz w:val="20"/>
          <w:szCs w:val="20"/>
          <w:color w:val="auto"/>
        </w:rPr>
      </w:pPr>
      <w:r>
        <w:rPr>
          <w:rFonts w:ascii="Arial" w:cs="Arial" w:eastAsia="Arial" w:hAnsi="Arial"/>
          <w:sz w:val="17"/>
          <w:szCs w:val="17"/>
          <w:i w:val="1"/>
          <w:iCs w:val="1"/>
          <w:color w:val="auto"/>
        </w:rPr>
        <w:t xml:space="preserve">Borrowings </w:t>
      </w:r>
      <w:r>
        <w:rPr>
          <w:rFonts w:ascii="Arial" w:cs="Arial" w:eastAsia="Arial" w:hAnsi="Arial"/>
          <w:sz w:val="17"/>
          <w:szCs w:val="17"/>
          <w:color w:val="auto"/>
        </w:rPr>
        <w:t>- The fair value of the Company’s borrowings with the FHLB is estimated by discounting the cash flows through maturity or the next</w:t>
      </w:r>
      <w:r>
        <w:rPr>
          <w:rFonts w:ascii="Arial" w:cs="Arial" w:eastAsia="Arial" w:hAnsi="Arial"/>
          <w:sz w:val="17"/>
          <w:szCs w:val="17"/>
          <w:i w:val="1"/>
          <w:iCs w:val="1"/>
          <w:color w:val="auto"/>
        </w:rPr>
        <w:t xml:space="preserve"> </w:t>
      </w:r>
      <w:r>
        <w:rPr>
          <w:rFonts w:ascii="Arial" w:cs="Arial" w:eastAsia="Arial" w:hAnsi="Arial"/>
          <w:sz w:val="17"/>
          <w:szCs w:val="17"/>
          <w:color w:val="auto"/>
        </w:rPr>
        <w:t>repricing date based on current rates available to the Company for borrowings with similar maturities. The fair value of the Company’s short-term borrowings, capital lease obligations, structured repurchase agreements and other borrowings is estimated by discounting the cash flows through maturity based on current rates available to the Company for borrowings with similar maturities.</w:t>
      </w:r>
    </w:p>
    <w:p>
      <w:pPr>
        <w:spacing w:after="0" w:line="171" w:lineRule="exact"/>
        <w:rPr>
          <w:sz w:val="20"/>
          <w:szCs w:val="20"/>
          <w:color w:val="auto"/>
        </w:rPr>
      </w:pPr>
    </w:p>
    <w:p>
      <w:pPr>
        <w:ind w:left="660" w:right="120"/>
        <w:spacing w:after="0" w:line="264" w:lineRule="auto"/>
        <w:rPr>
          <w:sz w:val="20"/>
          <w:szCs w:val="20"/>
          <w:color w:val="auto"/>
        </w:rPr>
      </w:pPr>
      <w:r>
        <w:rPr>
          <w:rFonts w:ascii="Arial" w:cs="Arial" w:eastAsia="Arial" w:hAnsi="Arial"/>
          <w:sz w:val="18"/>
          <w:szCs w:val="18"/>
          <w:i w:val="1"/>
          <w:iCs w:val="1"/>
          <w:color w:val="auto"/>
        </w:rPr>
        <w:t xml:space="preserve">Off-Balance Sheet Credit-Related Instruments - </w:t>
      </w:r>
      <w:r>
        <w:rPr>
          <w:rFonts w:ascii="Arial" w:cs="Arial" w:eastAsia="Arial" w:hAnsi="Arial"/>
          <w:sz w:val="18"/>
          <w:szCs w:val="18"/>
          <w:color w:val="auto"/>
        </w:rPr>
        <w:t>Fair values for off-balance-sheet, credit-related financial instruments are based on fees currently</w:t>
      </w:r>
      <w:r>
        <w:rPr>
          <w:rFonts w:ascii="Arial" w:cs="Arial" w:eastAsia="Arial" w:hAnsi="Arial"/>
          <w:sz w:val="18"/>
          <w:szCs w:val="18"/>
          <w:i w:val="1"/>
          <w:iCs w:val="1"/>
          <w:color w:val="auto"/>
        </w:rPr>
        <w:t xml:space="preserve"> </w:t>
      </w:r>
      <w:r>
        <w:rPr>
          <w:rFonts w:ascii="Arial" w:cs="Arial" w:eastAsia="Arial" w:hAnsi="Arial"/>
          <w:sz w:val="18"/>
          <w:szCs w:val="18"/>
          <w:color w:val="auto"/>
        </w:rPr>
        <w:t>charged to enter into similar agreements, taking into account the remaining terms of the agreements and the counterparties’ credit standing. The fair value of such instruments was nominal at each date presented.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Assets and liabilities measured at fair value on a recurring basis are summarized below.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March 31, 2013</w:t>
            </w:r>
          </w:p>
        </w:tc>
        <w:tc>
          <w:tcPr>
            <w:tcW w:w="1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Total</w:t>
            </w:r>
          </w:p>
        </w:tc>
        <w:tc>
          <w:tcPr>
            <w:tcW w:w="6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Level 1</w:t>
            </w:r>
          </w:p>
        </w:tc>
        <w:tc>
          <w:tcPr>
            <w:tcW w:w="5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14"/>
              <w:spacing w:after="0" w:line="142" w:lineRule="exact"/>
              <w:rPr>
                <w:sz w:val="20"/>
                <w:szCs w:val="20"/>
                <w:color w:val="auto"/>
              </w:rPr>
            </w:pPr>
            <w:r>
              <w:rPr>
                <w:rFonts w:ascii="Arial" w:cs="Arial" w:eastAsia="Arial" w:hAnsi="Arial"/>
                <w:sz w:val="14"/>
                <w:szCs w:val="14"/>
                <w:b w:val="1"/>
                <w:bCs w:val="1"/>
                <w:color w:val="auto"/>
              </w:rPr>
              <w:t>Level 2</w:t>
            </w:r>
          </w:p>
        </w:tc>
        <w:tc>
          <w:tcPr>
            <w:tcW w:w="4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374"/>
              <w:spacing w:after="0" w:line="142"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30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4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1"/>
              </w:rPr>
              <w:t>Assets</w:t>
            </w:r>
          </w:p>
        </w:tc>
        <w:tc>
          <w:tcPr>
            <w:tcW w:w="3400" w:type="dxa"/>
            <w:vAlign w:val="bottom"/>
            <w:tcBorders>
              <w:bottom w:val="single" w:sz="8" w:color="CCEEFF"/>
            </w:tcBorders>
            <w:gridSpan w:val="2"/>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3"/>
          </w:tcPr>
          <w:p>
            <w:pPr>
              <w:spacing w:after="0"/>
              <w:rPr>
                <w:sz w:val="20"/>
                <w:szCs w:val="20"/>
                <w:color w:val="auto"/>
              </w:rPr>
            </w:pPr>
            <w:r>
              <w:rPr>
                <w:rFonts w:ascii="Arial" w:cs="Arial" w:eastAsia="Arial" w:hAnsi="Arial"/>
                <w:sz w:val="18"/>
                <w:szCs w:val="18"/>
                <w:color w:val="auto"/>
              </w:rPr>
              <w:t>Available-for-sale securities</w:t>
            </w:r>
          </w:p>
        </w:tc>
        <w:tc>
          <w:tcPr>
            <w:tcW w:w="1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U.S. Government agency securities</w:t>
            </w:r>
          </w:p>
        </w:tc>
        <w:tc>
          <w:tcPr>
            <w:tcW w:w="1980" w:type="dxa"/>
            <w:vAlign w:val="bottom"/>
            <w:gridSpan w:val="2"/>
            <w:shd w:val="clear" w:color="auto" w:fill="CCEEFF"/>
          </w:tcPr>
          <w:p>
            <w:pPr>
              <w:jc w:val="right"/>
              <w:ind w:right="708"/>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87"/>
              </w:rPr>
              <w:t>45,482</w:t>
            </w:r>
          </w:p>
        </w:tc>
        <w:tc>
          <w:tcPr>
            <w:tcW w:w="1100" w:type="dxa"/>
            <w:vAlign w:val="bottom"/>
            <w:shd w:val="clear" w:color="auto" w:fill="CCEEFF"/>
          </w:tcPr>
          <w:p>
            <w:pPr>
              <w:jc w:val="right"/>
              <w:ind w:right="779"/>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0</w:t>
            </w:r>
          </w:p>
        </w:tc>
        <w:tc>
          <w:tcPr>
            <w:tcW w:w="5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45,482</w:t>
            </w:r>
          </w:p>
        </w:tc>
        <w:tc>
          <w:tcPr>
            <w:tcW w:w="4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3"/>
          </w:tcPr>
          <w:p>
            <w:pPr>
              <w:ind w:left="160"/>
              <w:spacing w:after="0"/>
              <w:rPr>
                <w:sz w:val="20"/>
                <w:szCs w:val="20"/>
                <w:color w:val="auto"/>
              </w:rPr>
            </w:pPr>
            <w:r>
              <w:rPr>
                <w:rFonts w:ascii="Arial" w:cs="Arial" w:eastAsia="Arial" w:hAnsi="Arial"/>
                <w:sz w:val="18"/>
                <w:szCs w:val="18"/>
                <w:color w:val="auto"/>
              </w:rPr>
              <w:t>Agency mortgage-backed securities</w:t>
            </w:r>
          </w:p>
        </w:tc>
        <w:tc>
          <w:tcPr>
            <w:tcW w:w="1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jc w:val="right"/>
              <w:ind w:right="70"/>
              <w:spacing w:after="0"/>
              <w:rPr>
                <w:sz w:val="20"/>
                <w:szCs w:val="20"/>
                <w:color w:val="auto"/>
              </w:rPr>
            </w:pPr>
            <w:r>
              <w:rPr>
                <w:rFonts w:ascii="Arial" w:cs="Arial" w:eastAsia="Arial" w:hAnsi="Arial"/>
                <w:sz w:val="18"/>
                <w:szCs w:val="18"/>
                <w:color w:val="auto"/>
                <w:w w:val="87"/>
              </w:rPr>
              <w:t>83,067</w:t>
            </w:r>
          </w:p>
        </w:tc>
        <w:tc>
          <w:tcPr>
            <w:tcW w:w="1100" w:type="dxa"/>
            <w:vAlign w:val="bottom"/>
          </w:tcPr>
          <w:p>
            <w:pPr>
              <w:spacing w:after="0"/>
              <w:rPr>
                <w:sz w:val="18"/>
                <w:szCs w:val="18"/>
                <w:color w:val="auto"/>
              </w:rPr>
            </w:pPr>
          </w:p>
        </w:tc>
        <w:tc>
          <w:tcPr>
            <w:tcW w:w="560" w:type="dxa"/>
            <w:vAlign w:val="bottom"/>
          </w:tcPr>
          <w:p>
            <w:pPr>
              <w:jc w:val="right"/>
              <w:ind w:right="54"/>
              <w:spacing w:after="0"/>
              <w:rPr>
                <w:sz w:val="20"/>
                <w:szCs w:val="20"/>
                <w:color w:val="auto"/>
              </w:rPr>
            </w:pPr>
            <w:r>
              <w:rPr>
                <w:rFonts w:ascii="Arial" w:cs="Arial" w:eastAsia="Arial" w:hAnsi="Arial"/>
                <w:sz w:val="18"/>
                <w:szCs w:val="18"/>
                <w:color w:val="auto"/>
              </w:rPr>
              <w:t>0</w:t>
            </w:r>
          </w:p>
        </w:tc>
        <w:tc>
          <w:tcPr>
            <w:tcW w:w="520" w:type="dxa"/>
            <w:vAlign w:val="bottom"/>
          </w:tcPr>
          <w:p>
            <w:pPr>
              <w:spacing w:after="0"/>
              <w:rPr>
                <w:sz w:val="18"/>
                <w:szCs w:val="18"/>
                <w:color w:val="auto"/>
              </w:rPr>
            </w:pPr>
          </w:p>
        </w:tc>
        <w:tc>
          <w:tcPr>
            <w:tcW w:w="1120" w:type="dxa"/>
            <w:vAlign w:val="bottom"/>
          </w:tcPr>
          <w:p>
            <w:pPr>
              <w:jc w:val="right"/>
              <w:ind w:right="54"/>
              <w:spacing w:after="0"/>
              <w:rPr>
                <w:sz w:val="20"/>
                <w:szCs w:val="20"/>
                <w:color w:val="auto"/>
              </w:rPr>
            </w:pPr>
            <w:r>
              <w:rPr>
                <w:rFonts w:ascii="Arial" w:cs="Arial" w:eastAsia="Arial" w:hAnsi="Arial"/>
                <w:sz w:val="18"/>
                <w:szCs w:val="18"/>
                <w:color w:val="auto"/>
              </w:rPr>
              <w:t>83,067</w:t>
            </w:r>
          </w:p>
        </w:tc>
        <w:tc>
          <w:tcPr>
            <w:tcW w:w="4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assets – interest rate caps</w:t>
            </w:r>
          </w:p>
        </w:tc>
        <w:tc>
          <w:tcPr>
            <w:tcW w:w="1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w:t>
            </w:r>
          </w:p>
        </w:tc>
        <w:tc>
          <w:tcPr>
            <w:tcW w:w="1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0</w:t>
            </w:r>
          </w:p>
        </w:tc>
        <w:tc>
          <w:tcPr>
            <w:tcW w:w="5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0</w:t>
            </w:r>
          </w:p>
        </w:tc>
        <w:tc>
          <w:tcPr>
            <w:tcW w:w="4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60" w:type="dxa"/>
            <w:vAlign w:val="bottom"/>
            <w:gridSpan w:val="3"/>
          </w:tcPr>
          <w:p>
            <w:pPr>
              <w:spacing w:after="0" w:line="176" w:lineRule="exact"/>
              <w:rPr>
                <w:sz w:val="20"/>
                <w:szCs w:val="20"/>
                <w:color w:val="auto"/>
              </w:rPr>
            </w:pPr>
            <w:r>
              <w:rPr>
                <w:rFonts w:ascii="Arial" w:cs="Arial" w:eastAsia="Arial" w:hAnsi="Arial"/>
                <w:sz w:val="18"/>
                <w:szCs w:val="18"/>
                <w:color w:val="auto"/>
              </w:rPr>
              <w:t>Liabilities</w:t>
            </w:r>
          </w:p>
        </w:tc>
        <w:tc>
          <w:tcPr>
            <w:tcW w:w="1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liabilities - interest rate swap</w:t>
            </w:r>
          </w:p>
        </w:tc>
        <w:tc>
          <w:tcPr>
            <w:tcW w:w="1980" w:type="dxa"/>
            <w:vAlign w:val="bottom"/>
            <w:gridSpan w:val="2"/>
            <w:shd w:val="clear" w:color="auto" w:fill="CCEEFF"/>
          </w:tcPr>
          <w:p>
            <w:pPr>
              <w:jc w:val="right"/>
              <w:ind w:right="708"/>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452</w:t>
            </w:r>
          </w:p>
        </w:tc>
        <w:tc>
          <w:tcPr>
            <w:tcW w:w="1100" w:type="dxa"/>
            <w:vAlign w:val="bottom"/>
            <w:shd w:val="clear" w:color="auto" w:fill="CCEEFF"/>
          </w:tcPr>
          <w:p>
            <w:pPr>
              <w:jc w:val="right"/>
              <w:ind w:right="779"/>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0</w:t>
            </w:r>
          </w:p>
        </w:tc>
        <w:tc>
          <w:tcPr>
            <w:tcW w:w="5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452</w:t>
            </w:r>
          </w:p>
        </w:tc>
        <w:tc>
          <w:tcPr>
            <w:tcW w:w="4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June 30, 2012</w:t>
            </w:r>
          </w:p>
        </w:tc>
        <w:tc>
          <w:tcPr>
            <w:tcW w:w="1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Total</w:t>
            </w:r>
          </w:p>
        </w:tc>
        <w:tc>
          <w:tcPr>
            <w:tcW w:w="6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Level 1</w:t>
            </w:r>
          </w:p>
        </w:tc>
        <w:tc>
          <w:tcPr>
            <w:tcW w:w="5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14"/>
              <w:spacing w:after="0" w:line="142" w:lineRule="exact"/>
              <w:rPr>
                <w:sz w:val="20"/>
                <w:szCs w:val="20"/>
                <w:color w:val="auto"/>
              </w:rPr>
            </w:pPr>
            <w:r>
              <w:rPr>
                <w:rFonts w:ascii="Arial" w:cs="Arial" w:eastAsia="Arial" w:hAnsi="Arial"/>
                <w:sz w:val="14"/>
                <w:szCs w:val="14"/>
                <w:b w:val="1"/>
                <w:bCs w:val="1"/>
                <w:color w:val="auto"/>
              </w:rPr>
              <w:t>Level 2</w:t>
            </w:r>
          </w:p>
        </w:tc>
        <w:tc>
          <w:tcPr>
            <w:tcW w:w="4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374"/>
              <w:spacing w:after="0" w:line="142"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30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4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1"/>
              </w:rPr>
              <w:t>Assets</w:t>
            </w:r>
          </w:p>
        </w:tc>
        <w:tc>
          <w:tcPr>
            <w:tcW w:w="3400" w:type="dxa"/>
            <w:vAlign w:val="bottom"/>
            <w:tcBorders>
              <w:bottom w:val="single" w:sz="8" w:color="CCEEFF"/>
            </w:tcBorders>
            <w:gridSpan w:val="2"/>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3"/>
          </w:tcPr>
          <w:p>
            <w:pPr>
              <w:spacing w:after="0"/>
              <w:rPr>
                <w:sz w:val="20"/>
                <w:szCs w:val="20"/>
                <w:color w:val="auto"/>
              </w:rPr>
            </w:pPr>
            <w:r>
              <w:rPr>
                <w:rFonts w:ascii="Arial" w:cs="Arial" w:eastAsia="Arial" w:hAnsi="Arial"/>
                <w:sz w:val="18"/>
                <w:szCs w:val="18"/>
                <w:color w:val="auto"/>
              </w:rPr>
              <w:t>Available-for-sale securities</w:t>
            </w:r>
          </w:p>
        </w:tc>
        <w:tc>
          <w:tcPr>
            <w:tcW w:w="1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U.S. Government agency securities</w:t>
            </w:r>
          </w:p>
        </w:tc>
        <w:tc>
          <w:tcPr>
            <w:tcW w:w="1980" w:type="dxa"/>
            <w:vAlign w:val="bottom"/>
            <w:gridSpan w:val="2"/>
            <w:shd w:val="clear" w:color="auto" w:fill="CCEEFF"/>
          </w:tcPr>
          <w:p>
            <w:pPr>
              <w:jc w:val="right"/>
              <w:ind w:right="708"/>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87"/>
              </w:rPr>
              <w:t>45,808</w:t>
            </w:r>
          </w:p>
        </w:tc>
        <w:tc>
          <w:tcPr>
            <w:tcW w:w="1100" w:type="dxa"/>
            <w:vAlign w:val="bottom"/>
            <w:shd w:val="clear" w:color="auto" w:fill="CCEEFF"/>
          </w:tcPr>
          <w:p>
            <w:pPr>
              <w:jc w:val="right"/>
              <w:ind w:right="779"/>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0</w:t>
            </w:r>
          </w:p>
        </w:tc>
        <w:tc>
          <w:tcPr>
            <w:tcW w:w="5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45,808</w:t>
            </w:r>
          </w:p>
        </w:tc>
        <w:tc>
          <w:tcPr>
            <w:tcW w:w="4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3"/>
          </w:tcPr>
          <w:p>
            <w:pPr>
              <w:ind w:left="160"/>
              <w:spacing w:after="0"/>
              <w:rPr>
                <w:sz w:val="20"/>
                <w:szCs w:val="20"/>
                <w:color w:val="auto"/>
              </w:rPr>
            </w:pPr>
            <w:r>
              <w:rPr>
                <w:rFonts w:ascii="Arial" w:cs="Arial" w:eastAsia="Arial" w:hAnsi="Arial"/>
                <w:sz w:val="18"/>
                <w:szCs w:val="18"/>
                <w:color w:val="auto"/>
              </w:rPr>
              <w:t>Agency mortgage-backed securities</w:t>
            </w:r>
          </w:p>
        </w:tc>
        <w:tc>
          <w:tcPr>
            <w:tcW w:w="1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jc w:val="right"/>
              <w:ind w:right="70"/>
              <w:spacing w:after="0"/>
              <w:rPr>
                <w:sz w:val="20"/>
                <w:szCs w:val="20"/>
                <w:color w:val="auto"/>
              </w:rPr>
            </w:pPr>
            <w:r>
              <w:rPr>
                <w:rFonts w:ascii="Arial" w:cs="Arial" w:eastAsia="Arial" w:hAnsi="Arial"/>
                <w:sz w:val="18"/>
                <w:szCs w:val="18"/>
                <w:color w:val="auto"/>
                <w:w w:val="87"/>
              </w:rPr>
              <w:t>87,456</w:t>
            </w:r>
          </w:p>
        </w:tc>
        <w:tc>
          <w:tcPr>
            <w:tcW w:w="1100" w:type="dxa"/>
            <w:vAlign w:val="bottom"/>
          </w:tcPr>
          <w:p>
            <w:pPr>
              <w:spacing w:after="0"/>
              <w:rPr>
                <w:sz w:val="18"/>
                <w:szCs w:val="18"/>
                <w:color w:val="auto"/>
              </w:rPr>
            </w:pPr>
          </w:p>
        </w:tc>
        <w:tc>
          <w:tcPr>
            <w:tcW w:w="560" w:type="dxa"/>
            <w:vAlign w:val="bottom"/>
          </w:tcPr>
          <w:p>
            <w:pPr>
              <w:jc w:val="right"/>
              <w:ind w:right="54"/>
              <w:spacing w:after="0"/>
              <w:rPr>
                <w:sz w:val="20"/>
                <w:szCs w:val="20"/>
                <w:color w:val="auto"/>
              </w:rPr>
            </w:pPr>
            <w:r>
              <w:rPr>
                <w:rFonts w:ascii="Arial" w:cs="Arial" w:eastAsia="Arial" w:hAnsi="Arial"/>
                <w:sz w:val="18"/>
                <w:szCs w:val="18"/>
                <w:color w:val="auto"/>
              </w:rPr>
              <w:t>0</w:t>
            </w:r>
          </w:p>
        </w:tc>
        <w:tc>
          <w:tcPr>
            <w:tcW w:w="520" w:type="dxa"/>
            <w:vAlign w:val="bottom"/>
          </w:tcPr>
          <w:p>
            <w:pPr>
              <w:spacing w:after="0"/>
              <w:rPr>
                <w:sz w:val="18"/>
                <w:szCs w:val="18"/>
                <w:color w:val="auto"/>
              </w:rPr>
            </w:pPr>
          </w:p>
        </w:tc>
        <w:tc>
          <w:tcPr>
            <w:tcW w:w="1120" w:type="dxa"/>
            <w:vAlign w:val="bottom"/>
          </w:tcPr>
          <w:p>
            <w:pPr>
              <w:jc w:val="right"/>
              <w:ind w:right="54"/>
              <w:spacing w:after="0"/>
              <w:rPr>
                <w:sz w:val="20"/>
                <w:szCs w:val="20"/>
                <w:color w:val="auto"/>
              </w:rPr>
            </w:pPr>
            <w:r>
              <w:rPr>
                <w:rFonts w:ascii="Arial" w:cs="Arial" w:eastAsia="Arial" w:hAnsi="Arial"/>
                <w:sz w:val="18"/>
                <w:szCs w:val="18"/>
                <w:color w:val="auto"/>
              </w:rPr>
              <w:t>87,456</w:t>
            </w:r>
          </w:p>
        </w:tc>
        <w:tc>
          <w:tcPr>
            <w:tcW w:w="4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assets – interest rate caps</w:t>
            </w:r>
          </w:p>
        </w:tc>
        <w:tc>
          <w:tcPr>
            <w:tcW w:w="1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w:t>
            </w:r>
          </w:p>
        </w:tc>
        <w:tc>
          <w:tcPr>
            <w:tcW w:w="1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0</w:t>
            </w:r>
          </w:p>
        </w:tc>
        <w:tc>
          <w:tcPr>
            <w:tcW w:w="5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w:t>
            </w:r>
          </w:p>
        </w:tc>
        <w:tc>
          <w:tcPr>
            <w:tcW w:w="4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60" w:type="dxa"/>
            <w:vAlign w:val="bottom"/>
            <w:gridSpan w:val="3"/>
          </w:tcPr>
          <w:p>
            <w:pPr>
              <w:spacing w:after="0" w:line="176" w:lineRule="exact"/>
              <w:rPr>
                <w:sz w:val="20"/>
                <w:szCs w:val="20"/>
                <w:color w:val="auto"/>
              </w:rPr>
            </w:pPr>
            <w:r>
              <w:rPr>
                <w:rFonts w:ascii="Arial" w:cs="Arial" w:eastAsia="Arial" w:hAnsi="Arial"/>
                <w:sz w:val="18"/>
                <w:szCs w:val="18"/>
                <w:color w:val="auto"/>
              </w:rPr>
              <w:t>Liabilities</w:t>
            </w:r>
          </w:p>
        </w:tc>
        <w:tc>
          <w:tcPr>
            <w:tcW w:w="1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liabilities - interest rate swap</w:t>
            </w:r>
          </w:p>
        </w:tc>
        <w:tc>
          <w:tcPr>
            <w:tcW w:w="1980" w:type="dxa"/>
            <w:vAlign w:val="bottom"/>
            <w:gridSpan w:val="2"/>
            <w:shd w:val="clear" w:color="auto" w:fill="CCEEFF"/>
          </w:tcPr>
          <w:p>
            <w:pPr>
              <w:jc w:val="right"/>
              <w:ind w:right="708"/>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580</w:t>
            </w:r>
          </w:p>
        </w:tc>
        <w:tc>
          <w:tcPr>
            <w:tcW w:w="1100" w:type="dxa"/>
            <w:vAlign w:val="bottom"/>
            <w:shd w:val="clear" w:color="auto" w:fill="CCEEFF"/>
          </w:tcPr>
          <w:p>
            <w:pPr>
              <w:jc w:val="right"/>
              <w:ind w:right="779"/>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0</w:t>
            </w:r>
          </w:p>
        </w:tc>
        <w:tc>
          <w:tcPr>
            <w:tcW w:w="5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580</w:t>
            </w:r>
          </w:p>
        </w:tc>
        <w:tc>
          <w:tcPr>
            <w:tcW w:w="4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There were no significant transfers between the three levels of the fair value hierarchy for the three and nine months ended March 31, 2013 or 2012.</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Assets measured at fair value on a nonrecurring basis are summarized below.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30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2"/>
          </w:tcPr>
          <w:p>
            <w:pPr>
              <w:jc w:val="center"/>
              <w:ind w:right="101"/>
              <w:spacing w:after="0"/>
              <w:rPr>
                <w:sz w:val="20"/>
                <w:szCs w:val="20"/>
                <w:color w:val="auto"/>
              </w:rPr>
            </w:pPr>
            <w:r>
              <w:rPr>
                <w:rFonts w:ascii="Arial" w:cs="Arial" w:eastAsia="Arial" w:hAnsi="Arial"/>
                <w:sz w:val="14"/>
                <w:szCs w:val="14"/>
                <w:b w:val="1"/>
                <w:bCs w:val="1"/>
                <w:color w:val="auto"/>
                <w:w w:val="96"/>
              </w:rPr>
              <w:t>March 31, 2013</w:t>
            </w:r>
          </w:p>
        </w:tc>
        <w:tc>
          <w:tcPr>
            <w:tcW w:w="3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42"/>
        </w:trPr>
        <w:tc>
          <w:tcPr>
            <w:tcW w:w="13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2"/>
          </w:tcPr>
          <w:p>
            <w:pPr>
              <w:jc w:val="right"/>
              <w:ind w:right="520"/>
              <w:spacing w:after="0" w:line="142" w:lineRule="exact"/>
              <w:rPr>
                <w:sz w:val="20"/>
                <w:szCs w:val="20"/>
                <w:color w:val="auto"/>
              </w:rPr>
            </w:pPr>
            <w:r>
              <w:rPr>
                <w:rFonts w:ascii="Arial" w:cs="Arial" w:eastAsia="Arial" w:hAnsi="Arial"/>
                <w:sz w:val="14"/>
                <w:szCs w:val="14"/>
                <w:b w:val="1"/>
                <w:bCs w:val="1"/>
                <w:color w:val="auto"/>
                <w:w w:val="95"/>
              </w:rPr>
              <w:t>Total</w:t>
            </w:r>
          </w:p>
        </w:tc>
        <w:tc>
          <w:tcPr>
            <w:tcW w:w="5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41"/>
              <w:spacing w:after="0" w:line="142" w:lineRule="exact"/>
              <w:rPr>
                <w:sz w:val="20"/>
                <w:szCs w:val="20"/>
                <w:color w:val="auto"/>
              </w:rPr>
            </w:pPr>
            <w:r>
              <w:rPr>
                <w:rFonts w:ascii="Arial" w:cs="Arial" w:eastAsia="Arial" w:hAnsi="Arial"/>
                <w:sz w:val="14"/>
                <w:szCs w:val="14"/>
                <w:b w:val="1"/>
                <w:bCs w:val="1"/>
                <w:color w:val="auto"/>
                <w:w w:val="88"/>
              </w:rPr>
              <w:t>Level 1</w:t>
            </w:r>
          </w:p>
        </w:tc>
        <w:tc>
          <w:tcPr>
            <w:tcW w:w="1120" w:type="dxa"/>
            <w:vAlign w:val="bottom"/>
            <w:tcBorders>
              <w:bottom w:val="single" w:sz="8" w:color="auto"/>
            </w:tcBorders>
          </w:tcPr>
          <w:p>
            <w:pPr>
              <w:jc w:val="right"/>
              <w:ind w:right="41"/>
              <w:spacing w:after="0" w:line="142" w:lineRule="exact"/>
              <w:rPr>
                <w:sz w:val="20"/>
                <w:szCs w:val="20"/>
                <w:color w:val="auto"/>
              </w:rPr>
            </w:pPr>
            <w:r>
              <w:rPr>
                <w:rFonts w:ascii="Arial" w:cs="Arial" w:eastAsia="Arial" w:hAnsi="Arial"/>
                <w:sz w:val="14"/>
                <w:szCs w:val="14"/>
                <w:b w:val="1"/>
                <w:bCs w:val="1"/>
                <w:color w:val="auto"/>
              </w:rPr>
              <w:t>Level 2</w:t>
            </w:r>
          </w:p>
        </w:tc>
        <w:tc>
          <w:tcPr>
            <w:tcW w:w="3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w w:val="92"/>
              </w:rPr>
              <w:t>Level 3</w:t>
            </w:r>
          </w:p>
        </w:tc>
        <w:tc>
          <w:tcPr>
            <w:tcW w:w="940" w:type="dxa"/>
            <w:vAlign w:val="bottom"/>
            <w:gridSpan w:val="2"/>
          </w:tcPr>
          <w:p>
            <w:pPr>
              <w:spacing w:after="0"/>
              <w:rPr>
                <w:sz w:val="12"/>
                <w:szCs w:val="12"/>
                <w:color w:val="auto"/>
              </w:rPr>
            </w:pPr>
          </w:p>
        </w:tc>
      </w:tr>
      <w:tr>
        <w:trPr>
          <w:trHeight w:val="142"/>
        </w:trPr>
        <w:tc>
          <w:tcPr>
            <w:tcW w:w="13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980" w:type="dxa"/>
            <w:vAlign w:val="bottom"/>
            <w:gridSpan w:val="2"/>
          </w:tcPr>
          <w:p>
            <w:pPr>
              <w:jc w:val="center"/>
              <w:ind w:right="101"/>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216"/>
        </w:trPr>
        <w:tc>
          <w:tcPr>
            <w:tcW w:w="130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Impaired loans</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763</w:t>
            </w:r>
          </w:p>
        </w:tc>
        <w:tc>
          <w:tcPr>
            <w:tcW w:w="54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120" w:type="dxa"/>
            <w:vAlign w:val="bottom"/>
            <w:shd w:val="clear" w:color="auto" w:fill="CCEEFF"/>
          </w:tcPr>
          <w:p>
            <w:pPr>
              <w:jc w:val="right"/>
              <w:ind w:right="721"/>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2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763</w:t>
            </w:r>
          </w:p>
        </w:tc>
        <w:tc>
          <w:tcPr>
            <w:tcW w:w="820" w:type="dxa"/>
            <w:vAlign w:val="bottom"/>
          </w:tcPr>
          <w:p>
            <w:pPr>
              <w:spacing w:after="0"/>
              <w:rPr>
                <w:sz w:val="18"/>
                <w:szCs w:val="18"/>
                <w:color w:val="auto"/>
              </w:rPr>
            </w:pPr>
          </w:p>
        </w:tc>
      </w:tr>
      <w:tr>
        <w:trPr>
          <w:trHeight w:val="202"/>
        </w:trPr>
        <w:tc>
          <w:tcPr>
            <w:tcW w:w="1300" w:type="dxa"/>
            <w:vAlign w:val="bottom"/>
          </w:tcPr>
          <w:p>
            <w:pPr>
              <w:spacing w:after="0"/>
              <w:rPr>
                <w:sz w:val="17"/>
                <w:szCs w:val="17"/>
                <w:color w:val="auto"/>
              </w:rPr>
            </w:pPr>
          </w:p>
        </w:tc>
        <w:tc>
          <w:tcPr>
            <w:tcW w:w="3120" w:type="dxa"/>
            <w:vAlign w:val="bottom"/>
          </w:tcPr>
          <w:p>
            <w:pPr>
              <w:spacing w:after="0" w:line="201" w:lineRule="exact"/>
              <w:rPr>
                <w:sz w:val="20"/>
                <w:szCs w:val="20"/>
                <w:color w:val="auto"/>
              </w:rPr>
            </w:pPr>
            <w:r>
              <w:rPr>
                <w:rFonts w:ascii="Arial" w:cs="Arial" w:eastAsia="Arial" w:hAnsi="Arial"/>
                <w:sz w:val="18"/>
                <w:szCs w:val="18"/>
                <w:color w:val="auto"/>
                <w:w w:val="91"/>
              </w:rPr>
              <w:t>Real estate owned and other repossessed</w:t>
            </w: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30"/>
        </w:trPr>
        <w:tc>
          <w:tcPr>
            <w:tcW w:w="1300" w:type="dxa"/>
            <w:vAlign w:val="bottom"/>
          </w:tcPr>
          <w:p>
            <w:pPr>
              <w:spacing w:after="0"/>
              <w:rPr>
                <w:sz w:val="20"/>
                <w:szCs w:val="20"/>
                <w:color w:val="auto"/>
              </w:rPr>
            </w:pPr>
          </w:p>
        </w:tc>
        <w:tc>
          <w:tcPr>
            <w:tcW w:w="3120" w:type="dxa"/>
            <w:vAlign w:val="bottom"/>
          </w:tcPr>
          <w:p>
            <w:pPr>
              <w:ind w:left="180"/>
              <w:spacing w:after="0"/>
              <w:rPr>
                <w:sz w:val="20"/>
                <w:szCs w:val="20"/>
                <w:color w:val="auto"/>
              </w:rPr>
            </w:pPr>
            <w:r>
              <w:rPr>
                <w:rFonts w:ascii="Arial" w:cs="Arial" w:eastAsia="Arial" w:hAnsi="Arial"/>
                <w:sz w:val="18"/>
                <w:szCs w:val="18"/>
                <w:color w:val="auto"/>
              </w:rPr>
              <w:t>collateral</w:t>
            </w: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2,038</w:t>
            </w:r>
          </w:p>
        </w:tc>
        <w:tc>
          <w:tcPr>
            <w:tcW w:w="5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w:t>
            </w:r>
          </w:p>
        </w:tc>
        <w:tc>
          <w:tcPr>
            <w:tcW w:w="112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0</w:t>
            </w:r>
          </w:p>
        </w:tc>
        <w:tc>
          <w:tcPr>
            <w:tcW w:w="5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2,038</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365"/>
        </w:trPr>
        <w:tc>
          <w:tcPr>
            <w:tcW w:w="13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2"/>
          </w:tcPr>
          <w:p>
            <w:pPr>
              <w:jc w:val="center"/>
              <w:ind w:right="101"/>
              <w:spacing w:after="0"/>
              <w:rPr>
                <w:sz w:val="20"/>
                <w:szCs w:val="20"/>
                <w:color w:val="auto"/>
              </w:rPr>
            </w:pPr>
            <w:r>
              <w:rPr>
                <w:rFonts w:ascii="Arial" w:cs="Arial" w:eastAsia="Arial" w:hAnsi="Arial"/>
                <w:sz w:val="14"/>
                <w:szCs w:val="14"/>
                <w:b w:val="1"/>
                <w:bCs w:val="1"/>
                <w:color w:val="auto"/>
                <w:w w:val="92"/>
              </w:rPr>
              <w:t>June 30, 2012</w:t>
            </w:r>
          </w:p>
        </w:tc>
        <w:tc>
          <w:tcPr>
            <w:tcW w:w="3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42"/>
        </w:trPr>
        <w:tc>
          <w:tcPr>
            <w:tcW w:w="13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2"/>
          </w:tcPr>
          <w:p>
            <w:pPr>
              <w:jc w:val="right"/>
              <w:ind w:right="520"/>
              <w:spacing w:after="0" w:line="142" w:lineRule="exact"/>
              <w:rPr>
                <w:sz w:val="20"/>
                <w:szCs w:val="20"/>
                <w:color w:val="auto"/>
              </w:rPr>
            </w:pPr>
            <w:r>
              <w:rPr>
                <w:rFonts w:ascii="Arial" w:cs="Arial" w:eastAsia="Arial" w:hAnsi="Arial"/>
                <w:sz w:val="14"/>
                <w:szCs w:val="14"/>
                <w:b w:val="1"/>
                <w:bCs w:val="1"/>
                <w:color w:val="auto"/>
                <w:w w:val="95"/>
              </w:rPr>
              <w:t>Total</w:t>
            </w:r>
          </w:p>
        </w:tc>
        <w:tc>
          <w:tcPr>
            <w:tcW w:w="5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41"/>
              <w:spacing w:after="0" w:line="142" w:lineRule="exact"/>
              <w:rPr>
                <w:sz w:val="20"/>
                <w:szCs w:val="20"/>
                <w:color w:val="auto"/>
              </w:rPr>
            </w:pPr>
            <w:r>
              <w:rPr>
                <w:rFonts w:ascii="Arial" w:cs="Arial" w:eastAsia="Arial" w:hAnsi="Arial"/>
                <w:sz w:val="14"/>
                <w:szCs w:val="14"/>
                <w:b w:val="1"/>
                <w:bCs w:val="1"/>
                <w:color w:val="auto"/>
                <w:w w:val="88"/>
              </w:rPr>
              <w:t>Level 1</w:t>
            </w:r>
          </w:p>
        </w:tc>
        <w:tc>
          <w:tcPr>
            <w:tcW w:w="1120" w:type="dxa"/>
            <w:vAlign w:val="bottom"/>
            <w:tcBorders>
              <w:bottom w:val="single" w:sz="8" w:color="auto"/>
            </w:tcBorders>
          </w:tcPr>
          <w:p>
            <w:pPr>
              <w:jc w:val="right"/>
              <w:ind w:right="41"/>
              <w:spacing w:after="0" w:line="142" w:lineRule="exact"/>
              <w:rPr>
                <w:sz w:val="20"/>
                <w:szCs w:val="20"/>
                <w:color w:val="auto"/>
              </w:rPr>
            </w:pPr>
            <w:r>
              <w:rPr>
                <w:rFonts w:ascii="Arial" w:cs="Arial" w:eastAsia="Arial" w:hAnsi="Arial"/>
                <w:sz w:val="14"/>
                <w:szCs w:val="14"/>
                <w:b w:val="1"/>
                <w:bCs w:val="1"/>
                <w:color w:val="auto"/>
              </w:rPr>
              <w:t>Level 2</w:t>
            </w:r>
          </w:p>
        </w:tc>
        <w:tc>
          <w:tcPr>
            <w:tcW w:w="3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w w:val="92"/>
              </w:rPr>
              <w:t>Level 3</w:t>
            </w:r>
          </w:p>
        </w:tc>
        <w:tc>
          <w:tcPr>
            <w:tcW w:w="940" w:type="dxa"/>
            <w:vAlign w:val="bottom"/>
            <w:gridSpan w:val="2"/>
          </w:tcPr>
          <w:p>
            <w:pPr>
              <w:spacing w:after="0"/>
              <w:rPr>
                <w:sz w:val="12"/>
                <w:szCs w:val="12"/>
                <w:color w:val="auto"/>
              </w:rPr>
            </w:pPr>
          </w:p>
        </w:tc>
      </w:tr>
      <w:tr>
        <w:trPr>
          <w:trHeight w:val="142"/>
        </w:trPr>
        <w:tc>
          <w:tcPr>
            <w:tcW w:w="13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980" w:type="dxa"/>
            <w:vAlign w:val="bottom"/>
            <w:gridSpan w:val="2"/>
          </w:tcPr>
          <w:p>
            <w:pPr>
              <w:jc w:val="center"/>
              <w:ind w:right="101"/>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216"/>
        </w:trPr>
        <w:tc>
          <w:tcPr>
            <w:tcW w:w="130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Impaired loans</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1,103</w:t>
            </w:r>
          </w:p>
        </w:tc>
        <w:tc>
          <w:tcPr>
            <w:tcW w:w="54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120" w:type="dxa"/>
            <w:vAlign w:val="bottom"/>
            <w:shd w:val="clear" w:color="auto" w:fill="CCEEFF"/>
          </w:tcPr>
          <w:p>
            <w:pPr>
              <w:jc w:val="right"/>
              <w:ind w:right="721"/>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2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w:t>
            </w:r>
          </w:p>
        </w:tc>
        <w:tc>
          <w:tcPr>
            <w:tcW w:w="120" w:type="dxa"/>
            <w:vAlign w:val="bottom"/>
            <w:shd w:val="clear" w:color="auto" w:fill="CCEEFF"/>
          </w:tcPr>
          <w:p>
            <w:pPr>
              <w:spacing w:after="0"/>
              <w:rPr>
                <w:sz w:val="18"/>
                <w:szCs w:val="18"/>
                <w:color w:val="auto"/>
              </w:rPr>
            </w:pPr>
          </w:p>
        </w:tc>
        <w:tc>
          <w:tcPr>
            <w:tcW w:w="820" w:type="dxa"/>
            <w:vAlign w:val="bottom"/>
          </w:tcPr>
          <w:p>
            <w:pPr>
              <w:spacing w:after="0"/>
              <w:rPr>
                <w:sz w:val="18"/>
                <w:szCs w:val="18"/>
                <w:color w:val="auto"/>
              </w:rPr>
            </w:pPr>
          </w:p>
        </w:tc>
      </w:tr>
      <w:tr>
        <w:trPr>
          <w:trHeight w:val="202"/>
        </w:trPr>
        <w:tc>
          <w:tcPr>
            <w:tcW w:w="1300" w:type="dxa"/>
            <w:vAlign w:val="bottom"/>
          </w:tcPr>
          <w:p>
            <w:pPr>
              <w:spacing w:after="0"/>
              <w:rPr>
                <w:sz w:val="17"/>
                <w:szCs w:val="17"/>
                <w:color w:val="auto"/>
              </w:rPr>
            </w:pPr>
          </w:p>
        </w:tc>
        <w:tc>
          <w:tcPr>
            <w:tcW w:w="3120" w:type="dxa"/>
            <w:vAlign w:val="bottom"/>
          </w:tcPr>
          <w:p>
            <w:pPr>
              <w:spacing w:after="0" w:line="201" w:lineRule="exact"/>
              <w:rPr>
                <w:sz w:val="20"/>
                <w:szCs w:val="20"/>
                <w:color w:val="auto"/>
              </w:rPr>
            </w:pPr>
            <w:r>
              <w:rPr>
                <w:rFonts w:ascii="Arial" w:cs="Arial" w:eastAsia="Arial" w:hAnsi="Arial"/>
                <w:sz w:val="18"/>
                <w:szCs w:val="18"/>
                <w:color w:val="auto"/>
                <w:w w:val="91"/>
              </w:rPr>
              <w:t>Real estate owned and other repossessed</w:t>
            </w: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30"/>
        </w:trPr>
        <w:tc>
          <w:tcPr>
            <w:tcW w:w="1300" w:type="dxa"/>
            <w:vAlign w:val="bottom"/>
          </w:tcPr>
          <w:p>
            <w:pPr>
              <w:spacing w:after="0"/>
              <w:rPr>
                <w:sz w:val="20"/>
                <w:szCs w:val="20"/>
                <w:color w:val="auto"/>
              </w:rPr>
            </w:pPr>
          </w:p>
        </w:tc>
        <w:tc>
          <w:tcPr>
            <w:tcW w:w="3120" w:type="dxa"/>
            <w:vAlign w:val="bottom"/>
          </w:tcPr>
          <w:p>
            <w:pPr>
              <w:ind w:left="180"/>
              <w:spacing w:after="0"/>
              <w:rPr>
                <w:sz w:val="20"/>
                <w:szCs w:val="20"/>
                <w:color w:val="auto"/>
              </w:rPr>
            </w:pPr>
            <w:r>
              <w:rPr>
                <w:rFonts w:ascii="Arial" w:cs="Arial" w:eastAsia="Arial" w:hAnsi="Arial"/>
                <w:sz w:val="18"/>
                <w:szCs w:val="18"/>
                <w:color w:val="auto"/>
              </w:rPr>
              <w:t>collateral</w:t>
            </w: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834</w:t>
            </w:r>
          </w:p>
        </w:tc>
        <w:tc>
          <w:tcPr>
            <w:tcW w:w="5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w:t>
            </w:r>
          </w:p>
        </w:tc>
        <w:tc>
          <w:tcPr>
            <w:tcW w:w="112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0</w:t>
            </w:r>
          </w:p>
        </w:tc>
        <w:tc>
          <w:tcPr>
            <w:tcW w:w="52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834</w:t>
            </w:r>
          </w:p>
        </w:tc>
        <w:tc>
          <w:tcPr>
            <w:tcW w:w="820" w:type="dxa"/>
            <w:vAlign w:val="bottom"/>
          </w:tcPr>
          <w:p>
            <w:pPr>
              <w:spacing w:after="0"/>
              <w:rPr>
                <w:sz w:val="20"/>
                <w:szCs w:val="20"/>
                <w:color w:val="auto"/>
              </w:rPr>
            </w:pPr>
          </w:p>
        </w:tc>
      </w:tr>
      <w:tr>
        <w:trPr>
          <w:trHeight w:val="432"/>
        </w:trPr>
        <w:tc>
          <w:tcPr>
            <w:tcW w:w="6720" w:type="dxa"/>
            <w:vAlign w:val="bottom"/>
            <w:gridSpan w:val="7"/>
          </w:tcPr>
          <w:p>
            <w:pPr>
              <w:jc w:val="right"/>
              <w:spacing w:after="0"/>
              <w:rPr>
                <w:sz w:val="20"/>
                <w:szCs w:val="20"/>
                <w:color w:val="auto"/>
              </w:rPr>
            </w:pPr>
            <w:r>
              <w:rPr>
                <w:rFonts w:ascii="Arial" w:cs="Arial" w:eastAsia="Arial" w:hAnsi="Arial"/>
                <w:sz w:val="18"/>
                <w:szCs w:val="18"/>
                <w:color w:val="auto"/>
                <w:w w:val="91"/>
              </w:rPr>
              <w:t>The following table presents the estimated fair value of the Company’s financial instruments.</w:t>
            </w:r>
          </w:p>
        </w:tc>
        <w:tc>
          <w:tcPr>
            <w:tcW w:w="8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65"/>
        </w:trPr>
        <w:tc>
          <w:tcPr>
            <w:tcW w:w="13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Carrying</w:t>
            </w:r>
          </w:p>
        </w:tc>
        <w:tc>
          <w:tcPr>
            <w:tcW w:w="5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gridSpan w:val="7"/>
          </w:tcPr>
          <w:p>
            <w:pPr>
              <w:ind w:left="480"/>
              <w:spacing w:after="0"/>
              <w:rPr>
                <w:sz w:val="20"/>
                <w:szCs w:val="20"/>
                <w:color w:val="auto"/>
              </w:rPr>
            </w:pPr>
            <w:r>
              <w:rPr>
                <w:rFonts w:ascii="Arial" w:cs="Arial" w:eastAsia="Arial" w:hAnsi="Arial"/>
                <w:sz w:val="14"/>
                <w:szCs w:val="14"/>
                <w:b w:val="1"/>
                <w:bCs w:val="1"/>
                <w:color w:val="auto"/>
              </w:rPr>
              <w:t>Fair Value Measurements at March 31, 2013</w:t>
            </w:r>
          </w:p>
        </w:tc>
      </w:tr>
      <w:tr>
        <w:trPr>
          <w:trHeight w:val="142"/>
        </w:trPr>
        <w:tc>
          <w:tcPr>
            <w:tcW w:w="13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900" w:type="dxa"/>
            <w:vAlign w:val="bottom"/>
            <w:tcBorders>
              <w:bottom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Amount</w:t>
            </w:r>
          </w:p>
        </w:tc>
        <w:tc>
          <w:tcPr>
            <w:tcW w:w="54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Total</w:t>
            </w:r>
          </w:p>
        </w:tc>
        <w:tc>
          <w:tcPr>
            <w:tcW w:w="8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21"/>
              <w:spacing w:after="0" w:line="142" w:lineRule="exact"/>
              <w:rPr>
                <w:sz w:val="20"/>
                <w:szCs w:val="20"/>
                <w:color w:val="auto"/>
              </w:rPr>
            </w:pPr>
            <w:r>
              <w:rPr>
                <w:rFonts w:ascii="Arial" w:cs="Arial" w:eastAsia="Arial" w:hAnsi="Arial"/>
                <w:sz w:val="14"/>
                <w:szCs w:val="14"/>
                <w:b w:val="1"/>
                <w:bCs w:val="1"/>
                <w:color w:val="auto"/>
              </w:rPr>
              <w:t>Level 1</w:t>
            </w:r>
          </w:p>
        </w:tc>
        <w:tc>
          <w:tcPr>
            <w:tcW w:w="3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Level 2</w:t>
            </w:r>
          </w:p>
        </w:tc>
        <w:tc>
          <w:tcPr>
            <w:tcW w:w="8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Level 3</w:t>
            </w:r>
          </w:p>
        </w:tc>
      </w:tr>
    </w:tbl>
    <w:p>
      <w:pPr>
        <w:sectPr>
          <w:pgSz w:w="11900" w:h="16884" w:orient="portrait"/>
          <w:cols w:equalWidth="0" w:num="1">
            <w:col w:w="11420"/>
          </w:cols>
          <w:pgMar w:left="240" w:top="125" w:right="239" w:bottom="0"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40" w:type="dxa"/>
            <w:vAlign w:val="bottom"/>
            <w:gridSpan w:val="2"/>
          </w:tcPr>
          <w:p>
            <w:pPr>
              <w:jc w:val="right"/>
              <w:ind w:right="11"/>
              <w:spacing w:after="0"/>
              <w:rPr>
                <w:sz w:val="20"/>
                <w:szCs w:val="20"/>
                <w:color w:val="auto"/>
              </w:rPr>
            </w:pPr>
            <w:r>
              <w:rPr>
                <w:rFonts w:ascii="Arial" w:cs="Arial" w:eastAsia="Arial" w:hAnsi="Arial"/>
                <w:sz w:val="14"/>
                <w:szCs w:val="14"/>
                <w:b w:val="1"/>
                <w:bCs w:val="1"/>
                <w:color w:val="auto"/>
                <w:w w:val="96"/>
              </w:rPr>
              <w:t>(Dollars in thousands)</w:t>
            </w: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96"/>
        </w:trPr>
        <w:tc>
          <w:tcPr>
            <w:tcW w:w="340" w:type="dxa"/>
            <w:vAlign w:val="bottom"/>
          </w:tcPr>
          <w:p>
            <w:pPr>
              <w:spacing w:after="0"/>
              <w:rPr>
                <w:sz w:val="17"/>
                <w:szCs w:val="17"/>
                <w:color w:val="auto"/>
              </w:rPr>
            </w:pPr>
          </w:p>
        </w:tc>
        <w:tc>
          <w:tcPr>
            <w:tcW w:w="118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6"/>
              </w:rPr>
              <w:t>Financial assets:</w:t>
            </w:r>
          </w:p>
        </w:tc>
        <w:tc>
          <w:tcPr>
            <w:tcW w:w="2080" w:type="dxa"/>
            <w:vAlign w:val="bottom"/>
            <w:tcBorders>
              <w:bottom w:val="single" w:sz="8" w:color="CCEEFF"/>
            </w:tcBorders>
            <w:gridSpan w:val="2"/>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3260" w:type="dxa"/>
            <w:vAlign w:val="bottom"/>
            <w:gridSpan w:val="3"/>
          </w:tcPr>
          <w:p>
            <w:pPr>
              <w:spacing w:after="0"/>
              <w:rPr>
                <w:sz w:val="20"/>
                <w:szCs w:val="20"/>
                <w:color w:val="auto"/>
              </w:rPr>
            </w:pPr>
            <w:r>
              <w:rPr>
                <w:rFonts w:ascii="Arial" w:cs="Arial" w:eastAsia="Arial" w:hAnsi="Arial"/>
                <w:sz w:val="18"/>
                <w:szCs w:val="18"/>
                <w:color w:val="auto"/>
              </w:rPr>
              <w:t>Cash and cash equivalents</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142,569</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142,569</w:t>
            </w:r>
          </w:p>
        </w:tc>
        <w:tc>
          <w:tcPr>
            <w:tcW w:w="460" w:type="dxa"/>
            <w:vAlign w:val="bottom"/>
          </w:tcPr>
          <w:p>
            <w:pPr>
              <w:jc w:val="right"/>
              <w:ind w:right="61"/>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142,569</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0</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Available-for-sale securities</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128,549</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128,549</w:t>
            </w: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0</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128,549</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260" w:type="dxa"/>
            <w:vAlign w:val="bottom"/>
            <w:gridSpan w:val="3"/>
          </w:tcPr>
          <w:p>
            <w:pPr>
              <w:spacing w:after="0"/>
              <w:rPr>
                <w:sz w:val="20"/>
                <w:szCs w:val="20"/>
                <w:color w:val="auto"/>
              </w:rPr>
            </w:pPr>
            <w:r>
              <w:rPr>
                <w:rFonts w:ascii="Arial" w:cs="Arial" w:eastAsia="Arial" w:hAnsi="Arial"/>
                <w:sz w:val="18"/>
                <w:szCs w:val="18"/>
                <w:color w:val="auto"/>
              </w:rPr>
              <w:t>Regulatory stock</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5,121</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5,121</w:t>
            </w:r>
          </w:p>
        </w:tc>
        <w:tc>
          <w:tcPr>
            <w:tcW w:w="460" w:type="dxa"/>
            <w:vAlign w:val="bottom"/>
          </w:tcPr>
          <w:p>
            <w:pPr>
              <w:spacing w:after="0"/>
              <w:rPr>
                <w:sz w:val="18"/>
                <w:szCs w:val="18"/>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0</w:t>
            </w:r>
          </w:p>
        </w:tc>
        <w:tc>
          <w:tcPr>
            <w:tcW w:w="320" w:type="dxa"/>
            <w:vAlign w:val="bottom"/>
          </w:tcPr>
          <w:p>
            <w:pPr>
              <w:spacing w:after="0"/>
              <w:rPr>
                <w:sz w:val="18"/>
                <w:szCs w:val="18"/>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5,121</w:t>
            </w: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Loans held for sale</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7,768</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7,775</w:t>
            </w: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0</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7,775</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260" w:type="dxa"/>
            <w:vAlign w:val="bottom"/>
            <w:gridSpan w:val="3"/>
          </w:tcPr>
          <w:p>
            <w:pPr>
              <w:spacing w:after="0"/>
              <w:rPr>
                <w:sz w:val="20"/>
                <w:szCs w:val="20"/>
                <w:color w:val="auto"/>
              </w:rPr>
            </w:pPr>
            <w:r>
              <w:rPr>
                <w:rFonts w:ascii="Arial" w:cs="Arial" w:eastAsia="Arial" w:hAnsi="Arial"/>
                <w:sz w:val="18"/>
                <w:szCs w:val="18"/>
                <w:color w:val="auto"/>
              </w:rPr>
              <w:t>Loans, net</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379,278</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405,431</w:t>
            </w:r>
          </w:p>
        </w:tc>
        <w:tc>
          <w:tcPr>
            <w:tcW w:w="460" w:type="dxa"/>
            <w:vAlign w:val="bottom"/>
          </w:tcPr>
          <w:p>
            <w:pPr>
              <w:spacing w:after="0"/>
              <w:rPr>
                <w:sz w:val="18"/>
                <w:szCs w:val="18"/>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0</w:t>
            </w:r>
          </w:p>
        </w:tc>
        <w:tc>
          <w:tcPr>
            <w:tcW w:w="320" w:type="dxa"/>
            <w:vAlign w:val="bottom"/>
          </w:tcPr>
          <w:p>
            <w:pPr>
              <w:spacing w:after="0"/>
              <w:rPr>
                <w:sz w:val="18"/>
                <w:szCs w:val="18"/>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0</w:t>
            </w: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405,431</w:t>
            </w: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Accrued interest receivable</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1,971</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1,971</w:t>
            </w: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0</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1,971</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260" w:type="dxa"/>
            <w:vAlign w:val="bottom"/>
            <w:gridSpan w:val="3"/>
          </w:tcPr>
          <w:p>
            <w:pPr>
              <w:spacing w:after="0"/>
              <w:rPr>
                <w:sz w:val="20"/>
                <w:szCs w:val="20"/>
                <w:color w:val="auto"/>
              </w:rPr>
            </w:pPr>
            <w:r>
              <w:rPr>
                <w:rFonts w:ascii="Arial" w:cs="Arial" w:eastAsia="Arial" w:hAnsi="Arial"/>
                <w:sz w:val="18"/>
                <w:szCs w:val="18"/>
                <w:color w:val="auto"/>
              </w:rPr>
              <w:t>Interest rate caps</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w:t>
            </w:r>
          </w:p>
        </w:tc>
        <w:tc>
          <w:tcPr>
            <w:tcW w:w="460" w:type="dxa"/>
            <w:vAlign w:val="bottom"/>
          </w:tcPr>
          <w:p>
            <w:pPr>
              <w:spacing w:after="0"/>
              <w:rPr>
                <w:sz w:val="18"/>
                <w:szCs w:val="18"/>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0</w:t>
            </w:r>
          </w:p>
        </w:tc>
        <w:tc>
          <w:tcPr>
            <w:tcW w:w="320" w:type="dxa"/>
            <w:vAlign w:val="bottom"/>
          </w:tcPr>
          <w:p>
            <w:pPr>
              <w:spacing w:after="0"/>
              <w:rPr>
                <w:sz w:val="18"/>
                <w:szCs w:val="18"/>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0</w:t>
            </w: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r>
      <w:tr>
        <w:trPr>
          <w:trHeight w:val="196"/>
        </w:trPr>
        <w:tc>
          <w:tcPr>
            <w:tcW w:w="340" w:type="dxa"/>
            <w:vAlign w:val="bottom"/>
          </w:tcPr>
          <w:p>
            <w:pPr>
              <w:spacing w:after="0"/>
              <w:rPr>
                <w:sz w:val="17"/>
                <w:szCs w:val="17"/>
                <w:color w:val="auto"/>
              </w:rPr>
            </w:pPr>
          </w:p>
        </w:tc>
        <w:tc>
          <w:tcPr>
            <w:tcW w:w="326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Financial liabilities:</w:t>
            </w: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14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Deposits</w:t>
            </w:r>
          </w:p>
        </w:tc>
        <w:tc>
          <w:tcPr>
            <w:tcW w:w="18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505,586</w:t>
            </w:r>
          </w:p>
        </w:tc>
        <w:tc>
          <w:tcPr>
            <w:tcW w:w="2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483,149</w:t>
            </w:r>
          </w:p>
        </w:tc>
        <w:tc>
          <w:tcPr>
            <w:tcW w:w="46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jc w:val="right"/>
              <w:ind w:right="91"/>
              <w:spacing w:after="0"/>
              <w:rPr>
                <w:sz w:val="20"/>
                <w:szCs w:val="20"/>
                <w:color w:val="auto"/>
              </w:rPr>
            </w:pPr>
            <w:r>
              <w:rPr>
                <w:rFonts w:ascii="Arial" w:cs="Arial" w:eastAsia="Arial" w:hAnsi="Arial"/>
                <w:sz w:val="18"/>
                <w:szCs w:val="18"/>
                <w:color w:val="auto"/>
              </w:rPr>
              <w:t>0</w:t>
            </w:r>
          </w:p>
        </w:tc>
        <w:tc>
          <w:tcPr>
            <w:tcW w:w="32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jc w:val="right"/>
              <w:ind w:right="51"/>
              <w:spacing w:after="0"/>
              <w:rPr>
                <w:sz w:val="20"/>
                <w:szCs w:val="20"/>
                <w:color w:val="auto"/>
              </w:rPr>
            </w:pPr>
            <w:r>
              <w:rPr>
                <w:rFonts w:ascii="Arial" w:cs="Arial" w:eastAsia="Arial" w:hAnsi="Arial"/>
                <w:sz w:val="18"/>
                <w:szCs w:val="18"/>
                <w:color w:val="auto"/>
              </w:rPr>
              <w:t>483,149</w:t>
            </w:r>
          </w:p>
        </w:tc>
        <w:tc>
          <w:tcPr>
            <w:tcW w:w="3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FHLB advances</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33,117</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34,830</w:t>
            </w: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0</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34,830</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260" w:type="dxa"/>
            <w:vAlign w:val="bottom"/>
            <w:gridSpan w:val="3"/>
          </w:tcPr>
          <w:p>
            <w:pPr>
              <w:spacing w:after="0"/>
              <w:rPr>
                <w:sz w:val="20"/>
                <w:szCs w:val="20"/>
                <w:color w:val="auto"/>
              </w:rPr>
            </w:pPr>
            <w:r>
              <w:rPr>
                <w:rFonts w:ascii="Arial" w:cs="Arial" w:eastAsia="Arial" w:hAnsi="Arial"/>
                <w:sz w:val="18"/>
                <w:szCs w:val="18"/>
                <w:color w:val="auto"/>
              </w:rPr>
              <w:t>Structured repurchase agreements</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25,518</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26,373</w:t>
            </w:r>
          </w:p>
        </w:tc>
        <w:tc>
          <w:tcPr>
            <w:tcW w:w="460" w:type="dxa"/>
            <w:vAlign w:val="bottom"/>
          </w:tcPr>
          <w:p>
            <w:pPr>
              <w:spacing w:after="0"/>
              <w:rPr>
                <w:sz w:val="18"/>
                <w:szCs w:val="18"/>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0</w:t>
            </w:r>
          </w:p>
        </w:tc>
        <w:tc>
          <w:tcPr>
            <w:tcW w:w="320" w:type="dxa"/>
            <w:vAlign w:val="bottom"/>
          </w:tcPr>
          <w:p>
            <w:pPr>
              <w:spacing w:after="0"/>
              <w:rPr>
                <w:sz w:val="18"/>
                <w:szCs w:val="18"/>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26,373</w:t>
            </w: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Short-term borrowings</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2,360</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2,360</w:t>
            </w: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0</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2,360</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260" w:type="dxa"/>
            <w:vAlign w:val="bottom"/>
            <w:gridSpan w:val="3"/>
          </w:tcPr>
          <w:p>
            <w:pPr>
              <w:spacing w:after="0"/>
              <w:rPr>
                <w:sz w:val="20"/>
                <w:szCs w:val="20"/>
                <w:color w:val="auto"/>
              </w:rPr>
            </w:pPr>
            <w:r>
              <w:rPr>
                <w:rFonts w:ascii="Arial" w:cs="Arial" w:eastAsia="Arial" w:hAnsi="Arial"/>
                <w:sz w:val="18"/>
                <w:szCs w:val="18"/>
                <w:color w:val="auto"/>
              </w:rPr>
              <w:t>Capital lease obligation</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1,783</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2,032</w:t>
            </w:r>
          </w:p>
        </w:tc>
        <w:tc>
          <w:tcPr>
            <w:tcW w:w="460" w:type="dxa"/>
            <w:vAlign w:val="bottom"/>
          </w:tcPr>
          <w:p>
            <w:pPr>
              <w:spacing w:after="0"/>
              <w:rPr>
                <w:sz w:val="18"/>
                <w:szCs w:val="18"/>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0</w:t>
            </w:r>
          </w:p>
        </w:tc>
        <w:tc>
          <w:tcPr>
            <w:tcW w:w="320" w:type="dxa"/>
            <w:vAlign w:val="bottom"/>
          </w:tcPr>
          <w:p>
            <w:pPr>
              <w:spacing w:after="0"/>
              <w:rPr>
                <w:sz w:val="18"/>
                <w:szCs w:val="18"/>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2,032</w:t>
            </w: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Subordinated debentures</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8,227</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8,206</w:t>
            </w: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0</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0</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8,206</w:t>
            </w:r>
          </w:p>
        </w:tc>
        <w:tc>
          <w:tcPr>
            <w:tcW w:w="10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3260" w:type="dxa"/>
            <w:vAlign w:val="bottom"/>
            <w:gridSpan w:val="3"/>
          </w:tcPr>
          <w:p>
            <w:pPr>
              <w:spacing w:after="0"/>
              <w:rPr>
                <w:sz w:val="20"/>
                <w:szCs w:val="20"/>
                <w:color w:val="auto"/>
              </w:rPr>
            </w:pPr>
            <w:r>
              <w:rPr>
                <w:rFonts w:ascii="Arial" w:cs="Arial" w:eastAsia="Arial" w:hAnsi="Arial"/>
                <w:sz w:val="18"/>
                <w:szCs w:val="18"/>
                <w:color w:val="auto"/>
              </w:rPr>
              <w:t>Interest rate swaps</w:t>
            </w: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452</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452</w:t>
            </w:r>
          </w:p>
        </w:tc>
        <w:tc>
          <w:tcPr>
            <w:tcW w:w="460" w:type="dxa"/>
            <w:vAlign w:val="bottom"/>
          </w:tcPr>
          <w:p>
            <w:pPr>
              <w:spacing w:after="0"/>
              <w:rPr>
                <w:sz w:val="20"/>
                <w:szCs w:val="20"/>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0</w:t>
            </w:r>
          </w:p>
        </w:tc>
        <w:tc>
          <w:tcPr>
            <w:tcW w:w="320" w:type="dxa"/>
            <w:vAlign w:val="bottom"/>
          </w:tcPr>
          <w:p>
            <w:pPr>
              <w:spacing w:after="0"/>
              <w:rPr>
                <w:sz w:val="20"/>
                <w:szCs w:val="20"/>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452</w:t>
            </w:r>
          </w:p>
        </w:tc>
        <w:tc>
          <w:tcPr>
            <w:tcW w:w="36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0"/>
                <w:szCs w:val="20"/>
                <w:color w:val="auto"/>
              </w:rPr>
            </w:pPr>
          </w:p>
        </w:tc>
      </w:tr>
      <w:tr>
        <w:trPr>
          <w:trHeight w:val="350"/>
        </w:trPr>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jc w:val="right"/>
              <w:ind w:right="231"/>
              <w:spacing w:after="0"/>
              <w:rPr>
                <w:sz w:val="20"/>
                <w:szCs w:val="20"/>
                <w:color w:val="auto"/>
              </w:rPr>
            </w:pPr>
            <w:r>
              <w:rPr>
                <w:rFonts w:ascii="Arial" w:cs="Arial" w:eastAsia="Arial" w:hAnsi="Arial"/>
                <w:sz w:val="14"/>
                <w:szCs w:val="14"/>
                <w:b w:val="1"/>
                <w:bCs w:val="1"/>
                <w:color w:val="auto"/>
              </w:rPr>
              <w:t>Carrying</w:t>
            </w:r>
          </w:p>
        </w:tc>
        <w:tc>
          <w:tcPr>
            <w:tcW w:w="2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4"/>
          </w:tcPr>
          <w:p>
            <w:pPr>
              <w:jc w:val="right"/>
              <w:ind w:right="51"/>
              <w:spacing w:after="0"/>
              <w:rPr>
                <w:sz w:val="20"/>
                <w:szCs w:val="20"/>
                <w:color w:val="auto"/>
              </w:rPr>
            </w:pPr>
            <w:r>
              <w:rPr>
                <w:rFonts w:ascii="Arial" w:cs="Arial" w:eastAsia="Arial" w:hAnsi="Arial"/>
                <w:sz w:val="14"/>
                <w:szCs w:val="14"/>
                <w:b w:val="1"/>
                <w:bCs w:val="1"/>
                <w:color w:val="auto"/>
                <w:w w:val="98"/>
              </w:rPr>
              <w:t>Fair Value Measurements at June 30, 2012</w:t>
            </w: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3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Amount</w:t>
            </w:r>
          </w:p>
        </w:tc>
        <w:tc>
          <w:tcPr>
            <w:tcW w:w="2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91"/>
              <w:spacing w:after="0" w:line="142" w:lineRule="exact"/>
              <w:rPr>
                <w:sz w:val="20"/>
                <w:szCs w:val="20"/>
                <w:color w:val="auto"/>
              </w:rPr>
            </w:pPr>
            <w:r>
              <w:rPr>
                <w:rFonts w:ascii="Arial" w:cs="Arial" w:eastAsia="Arial" w:hAnsi="Arial"/>
                <w:sz w:val="14"/>
                <w:szCs w:val="14"/>
                <w:b w:val="1"/>
                <w:bCs w:val="1"/>
                <w:color w:val="auto"/>
              </w:rPr>
              <w:t>Total</w:t>
            </w:r>
          </w:p>
        </w:tc>
        <w:tc>
          <w:tcPr>
            <w:tcW w:w="4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31"/>
              <w:spacing w:after="0" w:line="142" w:lineRule="exact"/>
              <w:rPr>
                <w:sz w:val="20"/>
                <w:szCs w:val="20"/>
                <w:color w:val="auto"/>
              </w:rPr>
            </w:pPr>
            <w:r>
              <w:rPr>
                <w:rFonts w:ascii="Arial" w:cs="Arial" w:eastAsia="Arial" w:hAnsi="Arial"/>
                <w:sz w:val="14"/>
                <w:szCs w:val="14"/>
                <w:b w:val="1"/>
                <w:bCs w:val="1"/>
                <w:color w:val="auto"/>
              </w:rPr>
              <w:t>Level 1</w:t>
            </w: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391"/>
              <w:spacing w:after="0" w:line="142" w:lineRule="exact"/>
              <w:rPr>
                <w:sz w:val="20"/>
                <w:szCs w:val="20"/>
                <w:color w:val="auto"/>
              </w:rPr>
            </w:pPr>
            <w:r>
              <w:rPr>
                <w:rFonts w:ascii="Arial" w:cs="Arial" w:eastAsia="Arial" w:hAnsi="Arial"/>
                <w:sz w:val="14"/>
                <w:szCs w:val="14"/>
                <w:b w:val="1"/>
                <w:bCs w:val="1"/>
                <w:color w:val="auto"/>
              </w:rPr>
              <w:t>Level 2</w:t>
            </w:r>
          </w:p>
        </w:tc>
        <w:tc>
          <w:tcPr>
            <w:tcW w:w="3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3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540" w:type="dxa"/>
            <w:vAlign w:val="bottom"/>
            <w:gridSpan w:val="2"/>
          </w:tcPr>
          <w:p>
            <w:pPr>
              <w:jc w:val="right"/>
              <w:ind w:right="11"/>
              <w:spacing w:after="0" w:line="142" w:lineRule="exact"/>
              <w:rPr>
                <w:sz w:val="20"/>
                <w:szCs w:val="20"/>
                <w:color w:val="auto"/>
              </w:rPr>
            </w:pPr>
            <w:r>
              <w:rPr>
                <w:rFonts w:ascii="Arial" w:cs="Arial" w:eastAsia="Arial" w:hAnsi="Arial"/>
                <w:sz w:val="14"/>
                <w:szCs w:val="14"/>
                <w:b w:val="1"/>
                <w:bCs w:val="1"/>
                <w:color w:val="auto"/>
                <w:w w:val="96"/>
              </w:rPr>
              <w:t>(Dollars in thousands)</w:t>
            </w: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96"/>
        </w:trPr>
        <w:tc>
          <w:tcPr>
            <w:tcW w:w="340" w:type="dxa"/>
            <w:vAlign w:val="bottom"/>
          </w:tcPr>
          <w:p>
            <w:pPr>
              <w:spacing w:after="0"/>
              <w:rPr>
                <w:sz w:val="17"/>
                <w:szCs w:val="17"/>
                <w:color w:val="auto"/>
              </w:rPr>
            </w:pPr>
          </w:p>
        </w:tc>
        <w:tc>
          <w:tcPr>
            <w:tcW w:w="118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6"/>
              </w:rPr>
              <w:t>Financial assets:</w:t>
            </w:r>
          </w:p>
        </w:tc>
        <w:tc>
          <w:tcPr>
            <w:tcW w:w="2080" w:type="dxa"/>
            <w:vAlign w:val="bottom"/>
            <w:tcBorders>
              <w:bottom w:val="single" w:sz="8" w:color="CCEEFF"/>
            </w:tcBorders>
            <w:gridSpan w:val="2"/>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3260" w:type="dxa"/>
            <w:vAlign w:val="bottom"/>
            <w:gridSpan w:val="3"/>
          </w:tcPr>
          <w:p>
            <w:pPr>
              <w:spacing w:after="0"/>
              <w:rPr>
                <w:sz w:val="20"/>
                <w:szCs w:val="20"/>
                <w:color w:val="auto"/>
              </w:rPr>
            </w:pPr>
            <w:r>
              <w:rPr>
                <w:rFonts w:ascii="Arial" w:cs="Arial" w:eastAsia="Arial" w:hAnsi="Arial"/>
                <w:sz w:val="18"/>
                <w:szCs w:val="18"/>
                <w:color w:val="auto"/>
              </w:rPr>
              <w:t>Cash and cash equivalents</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128,274</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128,274</w:t>
            </w:r>
          </w:p>
        </w:tc>
        <w:tc>
          <w:tcPr>
            <w:tcW w:w="460" w:type="dxa"/>
            <w:vAlign w:val="bottom"/>
          </w:tcPr>
          <w:p>
            <w:pPr>
              <w:jc w:val="right"/>
              <w:ind w:right="61"/>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128,274</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0</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Available-for-sale securities</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133,264</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133,264</w:t>
            </w: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0</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133,264</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260" w:type="dxa"/>
            <w:vAlign w:val="bottom"/>
            <w:gridSpan w:val="3"/>
          </w:tcPr>
          <w:p>
            <w:pPr>
              <w:spacing w:after="0"/>
              <w:rPr>
                <w:sz w:val="20"/>
                <w:szCs w:val="20"/>
                <w:color w:val="auto"/>
              </w:rPr>
            </w:pPr>
            <w:r>
              <w:rPr>
                <w:rFonts w:ascii="Arial" w:cs="Arial" w:eastAsia="Arial" w:hAnsi="Arial"/>
                <w:sz w:val="18"/>
                <w:szCs w:val="18"/>
                <w:color w:val="auto"/>
              </w:rPr>
              <w:t>Regulatory stock</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5,473</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5,473</w:t>
            </w:r>
          </w:p>
        </w:tc>
        <w:tc>
          <w:tcPr>
            <w:tcW w:w="460" w:type="dxa"/>
            <w:vAlign w:val="bottom"/>
          </w:tcPr>
          <w:p>
            <w:pPr>
              <w:spacing w:after="0"/>
              <w:rPr>
                <w:sz w:val="18"/>
                <w:szCs w:val="18"/>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0</w:t>
            </w:r>
          </w:p>
        </w:tc>
        <w:tc>
          <w:tcPr>
            <w:tcW w:w="320" w:type="dxa"/>
            <w:vAlign w:val="bottom"/>
          </w:tcPr>
          <w:p>
            <w:pPr>
              <w:spacing w:after="0"/>
              <w:rPr>
                <w:sz w:val="18"/>
                <w:szCs w:val="18"/>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5,473</w:t>
            </w: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Loans held for sale</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9,882</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9,896</w:t>
            </w: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0</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9,896</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260" w:type="dxa"/>
            <w:vAlign w:val="bottom"/>
            <w:gridSpan w:val="3"/>
          </w:tcPr>
          <w:p>
            <w:pPr>
              <w:spacing w:after="0"/>
              <w:rPr>
                <w:sz w:val="20"/>
                <w:szCs w:val="20"/>
                <w:color w:val="auto"/>
              </w:rPr>
            </w:pPr>
            <w:r>
              <w:rPr>
                <w:rFonts w:ascii="Arial" w:cs="Arial" w:eastAsia="Arial" w:hAnsi="Arial"/>
                <w:sz w:val="18"/>
                <w:szCs w:val="18"/>
                <w:color w:val="auto"/>
              </w:rPr>
              <w:t>Loans, net</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355,430</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374,062</w:t>
            </w:r>
          </w:p>
        </w:tc>
        <w:tc>
          <w:tcPr>
            <w:tcW w:w="460" w:type="dxa"/>
            <w:vAlign w:val="bottom"/>
          </w:tcPr>
          <w:p>
            <w:pPr>
              <w:spacing w:after="0"/>
              <w:rPr>
                <w:sz w:val="18"/>
                <w:szCs w:val="18"/>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0</w:t>
            </w:r>
          </w:p>
        </w:tc>
        <w:tc>
          <w:tcPr>
            <w:tcW w:w="320" w:type="dxa"/>
            <w:vAlign w:val="bottom"/>
          </w:tcPr>
          <w:p>
            <w:pPr>
              <w:spacing w:after="0"/>
              <w:rPr>
                <w:sz w:val="18"/>
                <w:szCs w:val="18"/>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0</w:t>
            </w: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374,062</w:t>
            </w: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Accrued interest receivable</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1,840</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1,840</w:t>
            </w: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0</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1,840</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260" w:type="dxa"/>
            <w:vAlign w:val="bottom"/>
            <w:gridSpan w:val="3"/>
          </w:tcPr>
          <w:p>
            <w:pPr>
              <w:spacing w:after="0"/>
              <w:rPr>
                <w:sz w:val="20"/>
                <w:szCs w:val="20"/>
                <w:color w:val="auto"/>
              </w:rPr>
            </w:pPr>
            <w:r>
              <w:rPr>
                <w:rFonts w:ascii="Arial" w:cs="Arial" w:eastAsia="Arial" w:hAnsi="Arial"/>
                <w:sz w:val="18"/>
                <w:szCs w:val="18"/>
                <w:color w:val="auto"/>
              </w:rPr>
              <w:t>Interest rate caps</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460" w:type="dxa"/>
            <w:vAlign w:val="bottom"/>
          </w:tcPr>
          <w:p>
            <w:pPr>
              <w:spacing w:after="0"/>
              <w:rPr>
                <w:sz w:val="18"/>
                <w:szCs w:val="18"/>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0</w:t>
            </w:r>
          </w:p>
        </w:tc>
        <w:tc>
          <w:tcPr>
            <w:tcW w:w="320" w:type="dxa"/>
            <w:vAlign w:val="bottom"/>
          </w:tcPr>
          <w:p>
            <w:pPr>
              <w:spacing w:after="0"/>
              <w:rPr>
                <w:sz w:val="18"/>
                <w:szCs w:val="18"/>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r>
      <w:tr>
        <w:trPr>
          <w:trHeight w:val="196"/>
        </w:trPr>
        <w:tc>
          <w:tcPr>
            <w:tcW w:w="340" w:type="dxa"/>
            <w:vAlign w:val="bottom"/>
          </w:tcPr>
          <w:p>
            <w:pPr>
              <w:spacing w:after="0"/>
              <w:rPr>
                <w:sz w:val="17"/>
                <w:szCs w:val="17"/>
                <w:color w:val="auto"/>
              </w:rPr>
            </w:pPr>
          </w:p>
        </w:tc>
        <w:tc>
          <w:tcPr>
            <w:tcW w:w="326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Financial liabilities:</w:t>
            </w: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14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Deposits</w:t>
            </w:r>
          </w:p>
        </w:tc>
        <w:tc>
          <w:tcPr>
            <w:tcW w:w="18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422,188</w:t>
            </w:r>
          </w:p>
        </w:tc>
        <w:tc>
          <w:tcPr>
            <w:tcW w:w="2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425,782</w:t>
            </w:r>
          </w:p>
        </w:tc>
        <w:tc>
          <w:tcPr>
            <w:tcW w:w="46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jc w:val="right"/>
              <w:ind w:right="91"/>
              <w:spacing w:after="0"/>
              <w:rPr>
                <w:sz w:val="20"/>
                <w:szCs w:val="20"/>
                <w:color w:val="auto"/>
              </w:rPr>
            </w:pPr>
            <w:r>
              <w:rPr>
                <w:rFonts w:ascii="Arial" w:cs="Arial" w:eastAsia="Arial" w:hAnsi="Arial"/>
                <w:sz w:val="18"/>
                <w:szCs w:val="18"/>
                <w:color w:val="auto"/>
              </w:rPr>
              <w:t>0</w:t>
            </w:r>
          </w:p>
        </w:tc>
        <w:tc>
          <w:tcPr>
            <w:tcW w:w="32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jc w:val="right"/>
              <w:ind w:right="51"/>
              <w:spacing w:after="0"/>
              <w:rPr>
                <w:sz w:val="20"/>
                <w:szCs w:val="20"/>
                <w:color w:val="auto"/>
              </w:rPr>
            </w:pPr>
            <w:r>
              <w:rPr>
                <w:rFonts w:ascii="Arial" w:cs="Arial" w:eastAsia="Arial" w:hAnsi="Arial"/>
                <w:sz w:val="18"/>
                <w:szCs w:val="18"/>
                <w:color w:val="auto"/>
              </w:rPr>
              <w:t>425,782</w:t>
            </w:r>
          </w:p>
        </w:tc>
        <w:tc>
          <w:tcPr>
            <w:tcW w:w="3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FHLB advances</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43,450</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45,747</w:t>
            </w: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0</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45,747</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260" w:type="dxa"/>
            <w:vAlign w:val="bottom"/>
            <w:gridSpan w:val="3"/>
          </w:tcPr>
          <w:p>
            <w:pPr>
              <w:spacing w:after="0"/>
              <w:rPr>
                <w:sz w:val="20"/>
                <w:szCs w:val="20"/>
                <w:color w:val="auto"/>
              </w:rPr>
            </w:pPr>
            <w:r>
              <w:rPr>
                <w:rFonts w:ascii="Arial" w:cs="Arial" w:eastAsia="Arial" w:hAnsi="Arial"/>
                <w:sz w:val="18"/>
                <w:szCs w:val="18"/>
                <w:color w:val="auto"/>
              </w:rPr>
              <w:t>Structured repurchase agreements</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66,183</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67,314</w:t>
            </w:r>
          </w:p>
        </w:tc>
        <w:tc>
          <w:tcPr>
            <w:tcW w:w="460" w:type="dxa"/>
            <w:vAlign w:val="bottom"/>
          </w:tcPr>
          <w:p>
            <w:pPr>
              <w:spacing w:after="0"/>
              <w:rPr>
                <w:sz w:val="18"/>
                <w:szCs w:val="18"/>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0</w:t>
            </w:r>
          </w:p>
        </w:tc>
        <w:tc>
          <w:tcPr>
            <w:tcW w:w="320" w:type="dxa"/>
            <w:vAlign w:val="bottom"/>
          </w:tcPr>
          <w:p>
            <w:pPr>
              <w:spacing w:after="0"/>
              <w:rPr>
                <w:sz w:val="18"/>
                <w:szCs w:val="18"/>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67,314</w:t>
            </w: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Short-term borrowings</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w:t>
            </w: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0</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1,209</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260" w:type="dxa"/>
            <w:vAlign w:val="bottom"/>
            <w:gridSpan w:val="3"/>
          </w:tcPr>
          <w:p>
            <w:pPr>
              <w:spacing w:after="0"/>
              <w:rPr>
                <w:sz w:val="20"/>
                <w:szCs w:val="20"/>
                <w:color w:val="auto"/>
              </w:rPr>
            </w:pPr>
            <w:r>
              <w:rPr>
                <w:rFonts w:ascii="Arial" w:cs="Arial" w:eastAsia="Arial" w:hAnsi="Arial"/>
                <w:sz w:val="18"/>
                <w:szCs w:val="18"/>
                <w:color w:val="auto"/>
              </w:rPr>
              <w:t>Capital lease obligation</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1,911</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2,202</w:t>
            </w:r>
          </w:p>
        </w:tc>
        <w:tc>
          <w:tcPr>
            <w:tcW w:w="460" w:type="dxa"/>
            <w:vAlign w:val="bottom"/>
          </w:tcPr>
          <w:p>
            <w:pPr>
              <w:spacing w:after="0"/>
              <w:rPr>
                <w:sz w:val="18"/>
                <w:szCs w:val="18"/>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0</w:t>
            </w:r>
          </w:p>
        </w:tc>
        <w:tc>
          <w:tcPr>
            <w:tcW w:w="320" w:type="dxa"/>
            <w:vAlign w:val="bottom"/>
          </w:tcPr>
          <w:p>
            <w:pPr>
              <w:spacing w:after="0"/>
              <w:rPr>
                <w:sz w:val="18"/>
                <w:szCs w:val="18"/>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2,202</w:t>
            </w: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Subordinated debentures</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8,106</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8,597</w:t>
            </w: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0</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0</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8,597</w:t>
            </w:r>
          </w:p>
        </w:tc>
        <w:tc>
          <w:tcPr>
            <w:tcW w:w="10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3260" w:type="dxa"/>
            <w:vAlign w:val="bottom"/>
            <w:gridSpan w:val="3"/>
          </w:tcPr>
          <w:p>
            <w:pPr>
              <w:spacing w:after="0"/>
              <w:rPr>
                <w:sz w:val="20"/>
                <w:szCs w:val="20"/>
                <w:color w:val="auto"/>
              </w:rPr>
            </w:pPr>
            <w:r>
              <w:rPr>
                <w:rFonts w:ascii="Arial" w:cs="Arial" w:eastAsia="Arial" w:hAnsi="Arial"/>
                <w:sz w:val="18"/>
                <w:szCs w:val="18"/>
                <w:color w:val="auto"/>
              </w:rPr>
              <w:t>Interest rate swaps</w:t>
            </w: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580</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580</w:t>
            </w:r>
          </w:p>
        </w:tc>
        <w:tc>
          <w:tcPr>
            <w:tcW w:w="460" w:type="dxa"/>
            <w:vAlign w:val="bottom"/>
          </w:tcPr>
          <w:p>
            <w:pPr>
              <w:spacing w:after="0"/>
              <w:rPr>
                <w:sz w:val="20"/>
                <w:szCs w:val="20"/>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0</w:t>
            </w:r>
          </w:p>
        </w:tc>
        <w:tc>
          <w:tcPr>
            <w:tcW w:w="320" w:type="dxa"/>
            <w:vAlign w:val="bottom"/>
          </w:tcPr>
          <w:p>
            <w:pPr>
              <w:spacing w:after="0"/>
              <w:rPr>
                <w:sz w:val="20"/>
                <w:szCs w:val="20"/>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580</w:t>
            </w:r>
          </w:p>
        </w:tc>
        <w:tc>
          <w:tcPr>
            <w:tcW w:w="36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0"/>
                <w:szCs w:val="20"/>
                <w:color w:val="auto"/>
              </w:rPr>
            </w:pPr>
          </w:p>
        </w:tc>
      </w:tr>
      <w:tr>
        <w:trPr>
          <w:trHeight w:val="418"/>
        </w:trPr>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89"/>
              </w:rPr>
              <w:t>28</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32"/>
        </w:trPr>
        <w:tc>
          <w:tcPr>
            <w:tcW w:w="34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840" w:type="dxa"/>
            <w:vAlign w:val="bottom"/>
            <w:tcBorders>
              <w:bottom w:val="single" w:sz="8" w:color="010101"/>
            </w:tcBorders>
          </w:tcPr>
          <w:p>
            <w:pPr>
              <w:spacing w:after="0"/>
              <w:rPr>
                <w:sz w:val="11"/>
                <w:szCs w:val="11"/>
                <w:color w:val="auto"/>
              </w:rPr>
            </w:pPr>
          </w:p>
        </w:tc>
        <w:tc>
          <w:tcPr>
            <w:tcW w:w="82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98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960" w:type="dxa"/>
            <w:vAlign w:val="bottom"/>
            <w:tcBorders>
              <w:bottom w:val="single" w:sz="8" w:color="010101"/>
            </w:tcBorders>
          </w:tcPr>
          <w:p>
            <w:pPr>
              <w:spacing w:after="0"/>
              <w:rPr>
                <w:sz w:val="11"/>
                <w:szCs w:val="11"/>
                <w:color w:val="auto"/>
              </w:rPr>
            </w:pPr>
          </w:p>
        </w:tc>
        <w:tc>
          <w:tcPr>
            <w:tcW w:w="460" w:type="dxa"/>
            <w:vAlign w:val="bottom"/>
            <w:tcBorders>
              <w:bottom w:val="single" w:sz="8" w:color="010101"/>
            </w:tcBorders>
          </w:tcPr>
          <w:p>
            <w:pPr>
              <w:spacing w:after="0"/>
              <w:rPr>
                <w:sz w:val="11"/>
                <w:szCs w:val="11"/>
                <w:color w:val="auto"/>
              </w:rPr>
            </w:pPr>
          </w:p>
        </w:tc>
        <w:tc>
          <w:tcPr>
            <w:tcW w:w="108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9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240" w:hanging="232"/>
        <w:spacing w:after="0"/>
        <w:tabs>
          <w:tab w:leader="none" w:pos="2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Derivatives and Hedging Activities</w:t>
      </w:r>
    </w:p>
    <w:p>
      <w:pPr>
        <w:spacing w:after="0" w:line="229" w:lineRule="exact"/>
        <w:rPr>
          <w:sz w:val="20"/>
          <w:szCs w:val="20"/>
          <w:color w:val="auto"/>
        </w:rPr>
      </w:pPr>
    </w:p>
    <w:p>
      <w:pPr>
        <w:jc w:val="both"/>
        <w:ind w:right="40"/>
        <w:spacing w:after="0" w:line="297" w:lineRule="auto"/>
        <w:rPr>
          <w:sz w:val="20"/>
          <w:szCs w:val="20"/>
          <w:color w:val="auto"/>
        </w:rPr>
      </w:pPr>
      <w:r>
        <w:rPr>
          <w:rFonts w:ascii="Arial" w:cs="Arial" w:eastAsia="Arial" w:hAnsi="Arial"/>
          <w:sz w:val="16"/>
          <w:szCs w:val="16"/>
          <w:color w:val="auto"/>
        </w:rPr>
        <w:t>The Company has stand alone derivative financial instruments in the form of interest rate caps that derive their value from a fee paid and are adjusted to fair value based on index and strike rate, and a swap agreement that derives its value from the underlying interest rate. These transactions involve both credit and market risk. The notional amounts are amounts on which calculations, payments and the value of the derivative are based. Notional amounts do not represent direct credit exposures. Direct credit exposure is limited to the net difference between the calculated amounts to be received and paid, if any. Such differences, which represent the fair value of the derivative instruments, are recognized as derivative assets and derivative liabilities.</w:t>
      </w:r>
    </w:p>
    <w:p>
      <w:pPr>
        <w:spacing w:after="0" w:line="158"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The Company is exposed to credit-related losses in the event of nonperformance by the counterparties to these agreements. The Company controls the credit risk of its financial contracts through credit approvals, limits and monitoring procedures, and does not expect any counterparties to fail their obligations. Institutional counterparties must have an investment grade credit rating and be approved by the Company’s Board of Directors. The Company deals only with primary dealers. The Company’s credit exposure on interest rate swaps is limited to the net positive fair value and accrued interest of all swaps with each counterparty.</w:t>
      </w:r>
    </w:p>
    <w:p>
      <w:pPr>
        <w:spacing w:after="0" w:line="188" w:lineRule="exact"/>
        <w:rPr>
          <w:sz w:val="20"/>
          <w:szCs w:val="20"/>
          <w:color w:val="auto"/>
        </w:rPr>
      </w:pPr>
    </w:p>
    <w:p>
      <w:pPr>
        <w:ind w:right="400"/>
        <w:spacing w:after="0" w:line="312" w:lineRule="auto"/>
        <w:rPr>
          <w:sz w:val="20"/>
          <w:szCs w:val="20"/>
          <w:color w:val="auto"/>
        </w:rPr>
      </w:pPr>
      <w:r>
        <w:rPr>
          <w:rFonts w:ascii="Arial" w:cs="Arial" w:eastAsia="Arial" w:hAnsi="Arial"/>
          <w:sz w:val="16"/>
          <w:szCs w:val="16"/>
          <w:color w:val="auto"/>
        </w:rPr>
        <w:t>The Company currently holds derivative instruments that contain credit-risk related features that are in a net liability position, which may require that collateral be assigned to dealer banks. At March 31, 2013 and June 30, 2012, the Company had cash totaling $800 thousand in a margin account with the dealer bank associated with its interest rate swap; no additional collateral was necessary at these dates to immediately settle the interest rate swap.</w:t>
      </w:r>
    </w:p>
    <w:p>
      <w:pPr>
        <w:spacing w:after="0" w:line="14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Company does not offset fair value amounts recognized for derivative instruments. The Company does not net the amount recognized for the right to reclaim cash collateral against the obligation to return cash collateral arising from derivative instruments executed with the same counterparty under a master netting arrangement.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 Management Policies — Hedging Instruments</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Company evaluates the effectiveness of entering into any derivative instrument agreement by measuring the cost of such an agreement in relation to the reduction in net income volatility within an assumed range of interest rates.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 Management — Cash Flow Hedging Instruments</w:t>
      </w:r>
    </w:p>
    <w:p>
      <w:pPr>
        <w:spacing w:after="0" w:line="225"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The Company uses long-term variable rate debt as a source of funds for use in the Company’s lending and investment activities and other general business purposes. These debt obligations expose the Company to variability in interest payments due to changes in interest rates. If interest rates increase, interest expense increases. Conversely, if interest rates decrease, interest expense decreases. Management believes it is prudent to limit the variability of a portion of its interest payments and, therefore, generally hedges a portion of its variable-rate interest payments. To meet this objective, management entered into interest</w:t>
      </w:r>
    </w:p>
    <w:p>
      <w:pPr>
        <w:sectPr>
          <w:pgSz w:w="11900" w:h="16838" w:orient="portrait"/>
          <w:cols w:equalWidth="0" w:num="1">
            <w:col w:w="11460"/>
          </w:cols>
          <w:pgMar w:left="240" w:top="118" w:right="199" w:bottom="0" w:gutter="0" w:footer="0" w:header="0"/>
        </w:sectPr>
      </w:pPr>
    </w:p>
    <w:bookmarkStart w:id="20" w:name="page21"/>
    <w:bookmarkEnd w:id="20"/>
    <w:p>
      <w:pPr>
        <w:spacing w:after="0" w:line="33"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rate caps whereby the Company receives variable interest payments above a specified interest rate and swap agreements whereby the Company receives variable interest rate payments and makes fixed interest rate payments during the contract period.</w:t>
      </w:r>
    </w:p>
    <w:p>
      <w:pPr>
        <w:spacing w:after="0" w:line="170" w:lineRule="exact"/>
        <w:rPr>
          <w:sz w:val="20"/>
          <w:szCs w:val="20"/>
          <w:color w:val="auto"/>
        </w:rPr>
      </w:pPr>
    </w:p>
    <w:p>
      <w:pPr>
        <w:ind w:right="600"/>
        <w:spacing w:after="0" w:line="308" w:lineRule="auto"/>
        <w:rPr>
          <w:sz w:val="20"/>
          <w:szCs w:val="20"/>
          <w:color w:val="auto"/>
        </w:rPr>
      </w:pPr>
      <w:r>
        <w:rPr>
          <w:rFonts w:ascii="Arial" w:cs="Arial" w:eastAsia="Arial" w:hAnsi="Arial"/>
          <w:sz w:val="17"/>
          <w:szCs w:val="17"/>
          <w:color w:val="auto"/>
        </w:rPr>
        <w:t>The Company holds two interest rate caps that expire on September 30, 2014. The swap agreement provides for the Company to receive payments at a variable rate determined by a specified index (three month LIBOR) in exchange for making payments at a fixed rate.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Information pertaining to outstanding interest rate caps and swap agreements used to hedge variable rate debt is as follows.</w:t>
      </w:r>
    </w:p>
    <w:p>
      <w:pPr>
        <w:spacing w:after="0" w:line="225"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During the three and nine months ended March 31, 2013 and 2012, no interest rate cap or swap agreements were terminated prior to maturity. Changes in the fair value of interest rate caps and swaps designated as hedging instruments of the variability of cash flows associated with long-term debt are reported in other comprehensive income. These amounts subsequently are reclassified into interest expense as a yield adjustment in the same period in which the related interest on the long-term debt affects earnings. Risk management results for the three and nine months ended March 31, 2013 and 2012 related to the balance sheet hedging of long-term debt indicates that the hedges were effective.</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presents amounts recognized in income related to both hedge ineffectiveness and amounts excluded from effectiveness testing.</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220" w:type="dxa"/>
            <w:vAlign w:val="bottom"/>
            <w:gridSpan w:val="7"/>
          </w:tcPr>
          <w:p>
            <w:pPr>
              <w:jc w:val="right"/>
              <w:ind w:right="700"/>
              <w:spacing w:after="0"/>
              <w:rPr>
                <w:sz w:val="20"/>
                <w:szCs w:val="20"/>
                <w:color w:val="auto"/>
              </w:rPr>
            </w:pPr>
            <w:r>
              <w:rPr>
                <w:rFonts w:ascii="Arial" w:cs="Arial" w:eastAsia="Arial" w:hAnsi="Arial"/>
                <w:sz w:val="14"/>
                <w:szCs w:val="14"/>
                <w:b w:val="1"/>
                <w:bCs w:val="1"/>
                <w:color w:val="auto"/>
              </w:rPr>
              <w:t>Three Months Ended March 31,</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56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w w:val="95"/>
              </w:rPr>
              <w:t>Nine Months Ended March 31,</w:t>
            </w:r>
          </w:p>
        </w:tc>
      </w:tr>
      <w:tr>
        <w:trPr>
          <w:trHeight w:val="142"/>
        </w:trPr>
        <w:tc>
          <w:tcPr>
            <w:tcW w:w="32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20" w:type="dxa"/>
            <w:vAlign w:val="bottom"/>
            <w:tcBorders>
              <w:top w:val="single" w:sz="8" w:color="auto"/>
              <w:bottom w:val="single" w:sz="8" w:color="auto"/>
            </w:tcBorders>
          </w:tcPr>
          <w:p>
            <w:pPr>
              <w:jc w:val="right"/>
              <w:ind w:right="107"/>
              <w:spacing w:after="0" w:line="142" w:lineRule="exact"/>
              <w:rPr>
                <w:sz w:val="20"/>
                <w:szCs w:val="20"/>
                <w:color w:val="auto"/>
              </w:rPr>
            </w:pPr>
            <w:r>
              <w:rPr>
                <w:rFonts w:ascii="Arial" w:cs="Arial" w:eastAsia="Arial" w:hAnsi="Arial"/>
                <w:sz w:val="14"/>
                <w:szCs w:val="14"/>
                <w:b w:val="1"/>
                <w:bCs w:val="1"/>
                <w:color w:val="auto"/>
              </w:rPr>
              <w:t>2013</w:t>
            </w:r>
          </w:p>
        </w:tc>
        <w:tc>
          <w:tcPr>
            <w:tcW w:w="36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77"/>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437"/>
              <w:spacing w:after="0" w:line="142" w:lineRule="exact"/>
              <w:rPr>
                <w:sz w:val="20"/>
                <w:szCs w:val="20"/>
                <w:color w:val="auto"/>
              </w:rPr>
            </w:pPr>
            <w:r>
              <w:rPr>
                <w:rFonts w:ascii="Arial" w:cs="Arial" w:eastAsia="Arial" w:hAnsi="Arial"/>
                <w:sz w:val="14"/>
                <w:szCs w:val="14"/>
                <w:b w:val="1"/>
                <w:bCs w:val="1"/>
                <w:color w:val="auto"/>
                <w:w w:val="89"/>
              </w:rPr>
              <w:t>2013</w:t>
            </w:r>
          </w:p>
        </w:tc>
        <w:tc>
          <w:tcPr>
            <w:tcW w:w="28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r>
      <w:tr>
        <w:trPr>
          <w:trHeight w:val="142"/>
        </w:trPr>
        <w:tc>
          <w:tcPr>
            <w:tcW w:w="32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6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rPr>
              <w:t>(Dollars in thousands)</w:t>
            </w: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(expense):</w:t>
            </w:r>
          </w:p>
        </w:tc>
        <w:tc>
          <w:tcPr>
            <w:tcW w:w="1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60" w:type="dxa"/>
            <w:vAlign w:val="bottom"/>
          </w:tcPr>
          <w:p>
            <w:pPr>
              <w:ind w:left="180"/>
              <w:spacing w:after="0"/>
              <w:rPr>
                <w:sz w:val="20"/>
                <w:szCs w:val="20"/>
                <w:color w:val="auto"/>
              </w:rPr>
            </w:pPr>
            <w:r>
              <w:rPr>
                <w:rFonts w:ascii="Arial" w:cs="Arial" w:eastAsia="Arial" w:hAnsi="Arial"/>
                <w:sz w:val="18"/>
                <w:szCs w:val="18"/>
                <w:color w:val="auto"/>
              </w:rPr>
              <w:t>Interest rate caps</w:t>
            </w:r>
          </w:p>
        </w:tc>
        <w:tc>
          <w:tcPr>
            <w:tcW w:w="2360" w:type="dxa"/>
            <w:vAlign w:val="bottom"/>
            <w:gridSpan w:val="2"/>
          </w:tcPr>
          <w:p>
            <w:pPr>
              <w:jc w:val="right"/>
              <w:ind w:right="867"/>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(8)</w:t>
            </w:r>
          </w:p>
        </w:tc>
        <w:tc>
          <w:tcPr>
            <w:tcW w:w="44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640" w:type="dxa"/>
            <w:vAlign w:val="bottom"/>
            <w:gridSpan w:val="2"/>
          </w:tcPr>
          <w:p>
            <w:pPr>
              <w:jc w:val="right"/>
              <w:ind w:right="36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(22)</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r>
      <w:tr>
        <w:trPr>
          <w:trHeight w:val="216"/>
        </w:trPr>
        <w:tc>
          <w:tcPr>
            <w:tcW w:w="3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rate swap</w:t>
            </w:r>
          </w:p>
        </w:tc>
        <w:tc>
          <w:tcPr>
            <w:tcW w:w="1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76</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8"/>
                <w:szCs w:val="18"/>
                <w:color w:val="auto"/>
              </w:rPr>
            </w:pPr>
          </w:p>
        </w:tc>
      </w:tr>
      <w:tr>
        <w:trPr>
          <w:trHeight w:val="210"/>
        </w:trPr>
        <w:tc>
          <w:tcPr>
            <w:tcW w:w="3260" w:type="dxa"/>
            <w:vAlign w:val="bottom"/>
          </w:tcPr>
          <w:p>
            <w:pPr>
              <w:ind w:left="360"/>
              <w:spacing w:after="0"/>
              <w:rPr>
                <w:sz w:val="20"/>
                <w:szCs w:val="20"/>
                <w:color w:val="auto"/>
              </w:rPr>
            </w:pPr>
            <w:r>
              <w:rPr>
                <w:rFonts w:ascii="Arial" w:cs="Arial" w:eastAsia="Arial" w:hAnsi="Arial"/>
                <w:sz w:val="18"/>
                <w:szCs w:val="18"/>
                <w:color w:val="auto"/>
              </w:rPr>
              <w:t>Total</w:t>
            </w:r>
          </w:p>
        </w:tc>
        <w:tc>
          <w:tcPr>
            <w:tcW w:w="134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ind w:right="867"/>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ind w:right="3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2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8"/>
                <w:szCs w:val="18"/>
                <w:color w:val="auto"/>
              </w:rPr>
            </w:pPr>
          </w:p>
        </w:tc>
      </w:tr>
      <w:tr>
        <w:trPr>
          <w:trHeight w:val="20"/>
        </w:trPr>
        <w:tc>
          <w:tcPr>
            <w:tcW w:w="3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500"/>
        <w:spacing w:after="0" w:line="277" w:lineRule="auto"/>
        <w:rPr>
          <w:sz w:val="20"/>
          <w:szCs w:val="20"/>
          <w:color w:val="auto"/>
        </w:rPr>
      </w:pPr>
      <w:r>
        <w:rPr>
          <w:rFonts w:ascii="Arial" w:cs="Arial" w:eastAsia="Arial" w:hAnsi="Arial"/>
          <w:sz w:val="18"/>
          <w:szCs w:val="18"/>
          <w:color w:val="auto"/>
        </w:rPr>
        <w:t>The Company expects to record interest income of $100 thousand related to interest rate swap ineffectiveness in the next twelve months. The Company expects to record interest expense of $37 thousand related to its purchased interest rate caps in the next twelve months.</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Information pertaining to outstanding interest rate caps and swap agreements used to hedge variable rate debt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0" w:type="dxa"/>
            <w:vAlign w:val="bottom"/>
            <w:gridSpan w:val="4"/>
          </w:tcPr>
          <w:p>
            <w:pPr>
              <w:jc w:val="right"/>
              <w:ind w:right="1020"/>
              <w:spacing w:after="0"/>
              <w:rPr>
                <w:sz w:val="20"/>
                <w:szCs w:val="20"/>
                <w:color w:val="auto"/>
              </w:rPr>
            </w:pPr>
            <w:r>
              <w:rPr>
                <w:rFonts w:ascii="Arial" w:cs="Arial" w:eastAsia="Arial" w:hAnsi="Arial"/>
                <w:sz w:val="14"/>
                <w:szCs w:val="14"/>
                <w:b w:val="1"/>
                <w:bCs w:val="1"/>
                <w:color w:val="auto"/>
              </w:rPr>
              <w:t>March 31, 2013</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40" w:type="dxa"/>
            <w:vAlign w:val="bottom"/>
            <w:gridSpan w:val="4"/>
          </w:tcPr>
          <w:p>
            <w:pPr>
              <w:jc w:val="right"/>
              <w:ind w:right="1020"/>
              <w:spacing w:after="0"/>
              <w:rPr>
                <w:sz w:val="20"/>
                <w:szCs w:val="20"/>
                <w:color w:val="auto"/>
              </w:rPr>
            </w:pPr>
            <w:r>
              <w:rPr>
                <w:rFonts w:ascii="Arial" w:cs="Arial" w:eastAsia="Arial" w:hAnsi="Arial"/>
                <w:sz w:val="14"/>
                <w:szCs w:val="14"/>
                <w:b w:val="1"/>
                <w:bCs w:val="1"/>
                <w:color w:val="auto"/>
              </w:rPr>
              <w:t>June 30, 2012</w:t>
            </w:r>
          </w:p>
        </w:tc>
      </w:tr>
      <w:tr>
        <w:trPr>
          <w:trHeight w:val="119"/>
        </w:trPr>
        <w:tc>
          <w:tcPr>
            <w:tcW w:w="416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jc w:val="right"/>
              <w:ind w:right="458"/>
              <w:spacing w:after="0" w:line="119" w:lineRule="exact"/>
              <w:rPr>
                <w:sz w:val="20"/>
                <w:szCs w:val="20"/>
                <w:color w:val="auto"/>
              </w:rPr>
            </w:pPr>
            <w:r>
              <w:rPr>
                <w:rFonts w:ascii="Arial" w:cs="Arial" w:eastAsia="Arial" w:hAnsi="Arial"/>
                <w:sz w:val="13"/>
                <w:szCs w:val="13"/>
                <w:b w:val="1"/>
                <w:bCs w:val="1"/>
                <w:color w:val="auto"/>
              </w:rPr>
              <w:t>Interest</w:t>
            </w:r>
          </w:p>
        </w:tc>
        <w:tc>
          <w:tcPr>
            <w:tcW w:w="24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right"/>
              <w:ind w:right="237"/>
              <w:spacing w:after="0" w:line="119" w:lineRule="exact"/>
              <w:rPr>
                <w:sz w:val="20"/>
                <w:szCs w:val="20"/>
                <w:color w:val="auto"/>
              </w:rPr>
            </w:pPr>
            <w:r>
              <w:rPr>
                <w:rFonts w:ascii="Arial" w:cs="Arial" w:eastAsia="Arial" w:hAnsi="Arial"/>
                <w:sz w:val="13"/>
                <w:szCs w:val="13"/>
                <w:b w:val="1"/>
                <w:bCs w:val="1"/>
                <w:color w:val="auto"/>
              </w:rPr>
              <w:t>Interest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jc w:val="right"/>
              <w:ind w:right="458"/>
              <w:spacing w:after="0" w:line="119" w:lineRule="exact"/>
              <w:rPr>
                <w:sz w:val="20"/>
                <w:szCs w:val="20"/>
                <w:color w:val="auto"/>
              </w:rPr>
            </w:pPr>
            <w:r>
              <w:rPr>
                <w:rFonts w:ascii="Arial" w:cs="Arial" w:eastAsia="Arial" w:hAnsi="Arial"/>
                <w:sz w:val="13"/>
                <w:szCs w:val="13"/>
                <w:b w:val="1"/>
                <w:bCs w:val="1"/>
                <w:color w:val="auto"/>
              </w:rPr>
              <w:t>Interest</w:t>
            </w:r>
          </w:p>
        </w:tc>
        <w:tc>
          <w:tcPr>
            <w:tcW w:w="24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right"/>
              <w:ind w:right="236"/>
              <w:spacing w:after="0" w:line="119" w:lineRule="exact"/>
              <w:rPr>
                <w:sz w:val="20"/>
                <w:szCs w:val="20"/>
                <w:color w:val="auto"/>
              </w:rPr>
            </w:pPr>
            <w:r>
              <w:rPr>
                <w:rFonts w:ascii="Arial" w:cs="Arial" w:eastAsia="Arial" w:hAnsi="Arial"/>
                <w:sz w:val="13"/>
                <w:szCs w:val="13"/>
                <w:b w:val="1"/>
                <w:bCs w:val="1"/>
                <w:color w:val="auto"/>
              </w:rPr>
              <w:t>Interest</w:t>
            </w:r>
          </w:p>
        </w:tc>
        <w:tc>
          <w:tcPr>
            <w:tcW w:w="160" w:type="dxa"/>
            <w:vAlign w:val="bottom"/>
          </w:tcPr>
          <w:p>
            <w:pPr>
              <w:spacing w:after="0"/>
              <w:rPr>
                <w:sz w:val="10"/>
                <w:szCs w:val="10"/>
                <w:color w:val="auto"/>
              </w:rPr>
            </w:pPr>
          </w:p>
        </w:tc>
      </w:tr>
      <w:tr>
        <w:trPr>
          <w:trHeight w:val="171"/>
        </w:trPr>
        <w:tc>
          <w:tcPr>
            <w:tcW w:w="4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right"/>
              <w:ind w:right="378"/>
              <w:spacing w:after="0"/>
              <w:rPr>
                <w:sz w:val="20"/>
                <w:szCs w:val="20"/>
                <w:color w:val="auto"/>
              </w:rPr>
            </w:pPr>
            <w:r>
              <w:rPr>
                <w:rFonts w:ascii="Arial" w:cs="Arial" w:eastAsia="Arial" w:hAnsi="Arial"/>
                <w:sz w:val="14"/>
                <w:szCs w:val="14"/>
                <w:b w:val="1"/>
                <w:bCs w:val="1"/>
                <w:color w:val="auto"/>
              </w:rPr>
              <w:t>Rate Caps</w:t>
            </w:r>
          </w:p>
        </w:tc>
        <w:tc>
          <w:tcPr>
            <w:tcW w:w="240" w:type="dxa"/>
            <w:vAlign w:val="bottom"/>
          </w:tcPr>
          <w:p>
            <w:pPr>
              <w:spacing w:after="0"/>
              <w:rPr>
                <w:sz w:val="14"/>
                <w:szCs w:val="14"/>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8"/>
              </w:rPr>
              <w:t>Rate Swap</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right"/>
              <w:ind w:right="378"/>
              <w:spacing w:after="0"/>
              <w:rPr>
                <w:sz w:val="20"/>
                <w:szCs w:val="20"/>
                <w:color w:val="auto"/>
              </w:rPr>
            </w:pPr>
            <w:r>
              <w:rPr>
                <w:rFonts w:ascii="Arial" w:cs="Arial" w:eastAsia="Arial" w:hAnsi="Arial"/>
                <w:sz w:val="14"/>
                <w:szCs w:val="14"/>
                <w:b w:val="1"/>
                <w:bCs w:val="1"/>
                <w:color w:val="auto"/>
              </w:rPr>
              <w:t>Rate Caps</w:t>
            </w:r>
          </w:p>
        </w:tc>
        <w:tc>
          <w:tcPr>
            <w:tcW w:w="240" w:type="dxa"/>
            <w:vAlign w:val="bottom"/>
          </w:tcPr>
          <w:p>
            <w:pPr>
              <w:spacing w:after="0"/>
              <w:rPr>
                <w:sz w:val="14"/>
                <w:szCs w:val="14"/>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8"/>
              </w:rPr>
              <w:t>Rate Swap</w:t>
            </w:r>
          </w:p>
        </w:tc>
      </w:tr>
      <w:tr>
        <w:trPr>
          <w:trHeight w:val="142"/>
        </w:trPr>
        <w:tc>
          <w:tcPr>
            <w:tcW w:w="41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600" w:type="dxa"/>
            <w:vAlign w:val="bottom"/>
            <w:tcBorders>
              <w:top w:val="single" w:sz="8" w:color="auto"/>
            </w:tcBorders>
            <w:gridSpan w:val="5"/>
          </w:tcPr>
          <w:p>
            <w:pPr>
              <w:jc w:val="right"/>
              <w:ind w:right="738"/>
              <w:spacing w:after="0" w:line="142" w:lineRule="exact"/>
              <w:rPr>
                <w:sz w:val="20"/>
                <w:szCs w:val="20"/>
                <w:color w:val="auto"/>
              </w:rPr>
            </w:pPr>
            <w:r>
              <w:rPr>
                <w:rFonts w:ascii="Arial" w:cs="Arial" w:eastAsia="Arial" w:hAnsi="Arial"/>
                <w:sz w:val="14"/>
                <w:szCs w:val="14"/>
                <w:b w:val="1"/>
                <w:bCs w:val="1"/>
                <w:color w:val="auto"/>
              </w:rPr>
              <w:t>(Dollars in thousands)</w:t>
            </w:r>
          </w:p>
        </w:tc>
        <w:tc>
          <w:tcPr>
            <w:tcW w:w="2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Notional amount</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rPr>
              <w:t>6,000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10,000</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rPr>
              <w:t>6,000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10,000</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Weighted average pay rate</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4.69%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4.69%</w:t>
            </w: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receive rate</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2.36%</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Strike rate based on three month LIBOR</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2.51%</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2.51%</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maturity in years</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rPr>
              <w:t>1.50</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rPr>
              <w:t>2.25</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2.67</w:t>
            </w:r>
          </w:p>
        </w:tc>
      </w:t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Unrealized loss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ind w:right="138"/>
              <w:spacing w:after="0"/>
              <w:rPr>
                <w:sz w:val="20"/>
                <w:szCs w:val="20"/>
                <w:color w:val="auto"/>
              </w:rPr>
            </w:pPr>
            <w:r>
              <w:rPr>
                <w:rFonts w:ascii="Arial" w:cs="Arial" w:eastAsia="Arial" w:hAnsi="Arial"/>
                <w:sz w:val="18"/>
                <w:szCs w:val="18"/>
                <w:color w:val="auto"/>
              </w:rPr>
              <w:t>49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262</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38"/>
              <w:spacing w:after="0"/>
              <w:rPr>
                <w:sz w:val="20"/>
                <w:szCs w:val="20"/>
                <w:color w:val="auto"/>
              </w:rPr>
            </w:pPr>
            <w:r>
              <w:rPr>
                <w:rFonts w:ascii="Arial" w:cs="Arial" w:eastAsia="Arial" w:hAnsi="Arial"/>
                <w:sz w:val="18"/>
                <w:szCs w:val="18"/>
                <w:color w:val="auto"/>
              </w:rPr>
              <w:t>69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315</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sets forth the fair values and location of derivatives designated as hedging instruments.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3"/>
          </w:tcPr>
          <w:p>
            <w:pPr>
              <w:jc w:val="center"/>
              <w:ind w:right="540"/>
              <w:spacing w:after="0"/>
              <w:rPr>
                <w:sz w:val="20"/>
                <w:szCs w:val="20"/>
                <w:color w:val="auto"/>
              </w:rPr>
            </w:pPr>
            <w:r>
              <w:rPr>
                <w:rFonts w:ascii="Arial" w:cs="Arial" w:eastAsia="Arial" w:hAnsi="Arial"/>
                <w:sz w:val="14"/>
                <w:szCs w:val="14"/>
                <w:b w:val="1"/>
                <w:bCs w:val="1"/>
                <w:color w:val="auto"/>
                <w:w w:val="96"/>
              </w:rPr>
              <w:t>March 31, 2013</w:t>
            </w:r>
          </w:p>
        </w:tc>
        <w:tc>
          <w:tcPr>
            <w:tcW w:w="2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46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Asset Derivatives</w:t>
            </w:r>
          </w:p>
        </w:tc>
        <w:tc>
          <w:tcPr>
            <w:tcW w:w="2380" w:type="dxa"/>
            <w:vAlign w:val="bottom"/>
            <w:gridSpan w:val="3"/>
          </w:tcPr>
          <w:p>
            <w:pPr>
              <w:jc w:val="center"/>
              <w:ind w:right="540"/>
              <w:spacing w:after="0" w:line="119" w:lineRule="exact"/>
              <w:rPr>
                <w:sz w:val="20"/>
                <w:szCs w:val="20"/>
                <w:color w:val="auto"/>
              </w:rPr>
            </w:pPr>
            <w:r>
              <w:rPr>
                <w:rFonts w:ascii="Arial" w:cs="Arial" w:eastAsia="Arial" w:hAnsi="Arial"/>
                <w:sz w:val="13"/>
                <w:szCs w:val="13"/>
                <w:b w:val="1"/>
                <w:bCs w:val="1"/>
                <w:color w:val="auto"/>
                <w:w w:val="99"/>
              </w:rPr>
              <w:t>(Dollars in thousands)</w:t>
            </w: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0" w:type="dxa"/>
            <w:vAlign w:val="bottom"/>
            <w:gridSpan w:val="2"/>
            <w:vMerge w:val="restart"/>
          </w:tcPr>
          <w:p>
            <w:pPr>
              <w:jc w:val="center"/>
              <w:ind w:right="65"/>
              <w:spacing w:after="0"/>
              <w:rPr>
                <w:sz w:val="20"/>
                <w:szCs w:val="20"/>
                <w:color w:val="auto"/>
              </w:rPr>
            </w:pPr>
            <w:r>
              <w:rPr>
                <w:rFonts w:ascii="Arial" w:cs="Arial" w:eastAsia="Arial" w:hAnsi="Arial"/>
                <w:sz w:val="14"/>
                <w:szCs w:val="14"/>
                <w:b w:val="1"/>
                <w:bCs w:val="1"/>
                <w:color w:val="auto"/>
                <w:w w:val="98"/>
              </w:rPr>
              <w:t>Fair Value</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460" w:type="dxa"/>
            <w:vAlign w:val="bottom"/>
            <w:gridSpan w:val="5"/>
            <w:vMerge w:val="continue"/>
          </w:tcPr>
          <w:p>
            <w:pPr>
              <w:spacing w:after="0"/>
              <w:rPr>
                <w:sz w:val="14"/>
                <w:szCs w:val="14"/>
                <w:color w:val="auto"/>
              </w:rPr>
            </w:pPr>
          </w:p>
        </w:tc>
        <w:tc>
          <w:tcPr>
            <w:tcW w:w="23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Balance Sheet Location</w:t>
            </w: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18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Interest rate caps</w:t>
            </w:r>
          </w:p>
        </w:tc>
        <w:tc>
          <w:tcPr>
            <w:tcW w:w="2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28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86"/>
              </w:rPr>
              <w:t>Other assets</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2460" w:type="dxa"/>
            <w:vAlign w:val="bottom"/>
            <w:gridSpan w:val="5"/>
          </w:tcPr>
          <w:p>
            <w:pPr>
              <w:spacing w:after="0"/>
              <w:rPr>
                <w:sz w:val="20"/>
                <w:szCs w:val="20"/>
                <w:color w:val="auto"/>
              </w:rPr>
            </w:pPr>
            <w:r>
              <w:rPr>
                <w:rFonts w:ascii="Arial" w:cs="Arial" w:eastAsia="Arial" w:hAnsi="Arial"/>
                <w:sz w:val="14"/>
                <w:szCs w:val="14"/>
                <w:b w:val="1"/>
                <w:bCs w:val="1"/>
                <w:color w:val="auto"/>
              </w:rPr>
              <w:t>Liability Derivatives</w:t>
            </w:r>
          </w:p>
        </w:tc>
        <w:tc>
          <w:tcPr>
            <w:tcW w:w="23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Balance Sheet Location</w:t>
            </w: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gridSpan w:val="2"/>
          </w:tcPr>
          <w:p>
            <w:pPr>
              <w:jc w:val="center"/>
              <w:ind w:right="65"/>
              <w:spacing w:after="0"/>
              <w:rPr>
                <w:sz w:val="20"/>
                <w:szCs w:val="20"/>
                <w:color w:val="auto"/>
              </w:rPr>
            </w:pPr>
            <w:r>
              <w:rPr>
                <w:rFonts w:ascii="Arial" w:cs="Arial" w:eastAsia="Arial" w:hAnsi="Arial"/>
                <w:sz w:val="14"/>
                <w:szCs w:val="14"/>
                <w:b w:val="1"/>
                <w:bCs w:val="1"/>
                <w:color w:val="auto"/>
                <w:w w:val="98"/>
              </w:rPr>
              <w:t>Fair Value</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18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Interest rate swap</w:t>
            </w:r>
          </w:p>
        </w:tc>
        <w:tc>
          <w:tcPr>
            <w:tcW w:w="2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28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94"/>
              </w:rPr>
              <w:t>Other liabilities</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452</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3"/>
          </w:tcPr>
          <w:p>
            <w:pPr>
              <w:jc w:val="center"/>
              <w:ind w:right="540"/>
              <w:spacing w:after="0"/>
              <w:rPr>
                <w:sz w:val="20"/>
                <w:szCs w:val="20"/>
                <w:color w:val="auto"/>
              </w:rPr>
            </w:pPr>
            <w:r>
              <w:rPr>
                <w:rFonts w:ascii="Arial" w:cs="Arial" w:eastAsia="Arial" w:hAnsi="Arial"/>
                <w:sz w:val="14"/>
                <w:szCs w:val="14"/>
                <w:b w:val="1"/>
                <w:bCs w:val="1"/>
                <w:color w:val="auto"/>
                <w:w w:val="92"/>
              </w:rPr>
              <w:t>June 30, 2012</w:t>
            </w:r>
          </w:p>
        </w:tc>
        <w:tc>
          <w:tcPr>
            <w:tcW w:w="2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46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Asset Derivatives</w:t>
            </w:r>
          </w:p>
        </w:tc>
        <w:tc>
          <w:tcPr>
            <w:tcW w:w="2380" w:type="dxa"/>
            <w:vAlign w:val="bottom"/>
            <w:gridSpan w:val="3"/>
          </w:tcPr>
          <w:p>
            <w:pPr>
              <w:jc w:val="center"/>
              <w:ind w:right="540"/>
              <w:spacing w:after="0" w:line="119" w:lineRule="exact"/>
              <w:rPr>
                <w:sz w:val="20"/>
                <w:szCs w:val="20"/>
                <w:color w:val="auto"/>
              </w:rPr>
            </w:pPr>
            <w:r>
              <w:rPr>
                <w:rFonts w:ascii="Arial" w:cs="Arial" w:eastAsia="Arial" w:hAnsi="Arial"/>
                <w:sz w:val="13"/>
                <w:szCs w:val="13"/>
                <w:b w:val="1"/>
                <w:bCs w:val="1"/>
                <w:color w:val="auto"/>
                <w:w w:val="99"/>
              </w:rPr>
              <w:t>(Dollars in thousands)</w:t>
            </w: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0" w:type="dxa"/>
            <w:vAlign w:val="bottom"/>
            <w:gridSpan w:val="2"/>
            <w:vMerge w:val="restart"/>
          </w:tcPr>
          <w:p>
            <w:pPr>
              <w:jc w:val="center"/>
              <w:ind w:right="65"/>
              <w:spacing w:after="0"/>
              <w:rPr>
                <w:sz w:val="20"/>
                <w:szCs w:val="20"/>
                <w:color w:val="auto"/>
              </w:rPr>
            </w:pPr>
            <w:r>
              <w:rPr>
                <w:rFonts w:ascii="Arial" w:cs="Arial" w:eastAsia="Arial" w:hAnsi="Arial"/>
                <w:sz w:val="14"/>
                <w:szCs w:val="14"/>
                <w:b w:val="1"/>
                <w:bCs w:val="1"/>
                <w:color w:val="auto"/>
                <w:w w:val="98"/>
              </w:rPr>
              <w:t>Fair Value</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460" w:type="dxa"/>
            <w:vAlign w:val="bottom"/>
            <w:gridSpan w:val="5"/>
            <w:vMerge w:val="continue"/>
          </w:tcPr>
          <w:p>
            <w:pPr>
              <w:spacing w:after="0"/>
              <w:rPr>
                <w:sz w:val="14"/>
                <w:szCs w:val="14"/>
                <w:color w:val="auto"/>
              </w:rPr>
            </w:pPr>
          </w:p>
        </w:tc>
        <w:tc>
          <w:tcPr>
            <w:tcW w:w="23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Balance Sheet Location</w:t>
            </w: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18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Interest rate caps</w:t>
            </w:r>
          </w:p>
        </w:tc>
        <w:tc>
          <w:tcPr>
            <w:tcW w:w="2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28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86"/>
              </w:rPr>
              <w:t>Other assets</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2460" w:type="dxa"/>
            <w:vAlign w:val="bottom"/>
            <w:gridSpan w:val="5"/>
          </w:tcPr>
          <w:p>
            <w:pPr>
              <w:spacing w:after="0"/>
              <w:rPr>
                <w:sz w:val="20"/>
                <w:szCs w:val="20"/>
                <w:color w:val="auto"/>
              </w:rPr>
            </w:pPr>
            <w:r>
              <w:rPr>
                <w:rFonts w:ascii="Arial" w:cs="Arial" w:eastAsia="Arial" w:hAnsi="Arial"/>
                <w:sz w:val="14"/>
                <w:szCs w:val="14"/>
                <w:b w:val="1"/>
                <w:bCs w:val="1"/>
                <w:color w:val="auto"/>
              </w:rPr>
              <w:t>Liability Derivatives</w:t>
            </w:r>
          </w:p>
        </w:tc>
        <w:tc>
          <w:tcPr>
            <w:tcW w:w="23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Balance Sheet Location</w:t>
            </w: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gridSpan w:val="2"/>
          </w:tcPr>
          <w:p>
            <w:pPr>
              <w:jc w:val="center"/>
              <w:ind w:right="65"/>
              <w:spacing w:after="0"/>
              <w:rPr>
                <w:sz w:val="20"/>
                <w:szCs w:val="20"/>
                <w:color w:val="auto"/>
              </w:rPr>
            </w:pPr>
            <w:r>
              <w:rPr>
                <w:rFonts w:ascii="Arial" w:cs="Arial" w:eastAsia="Arial" w:hAnsi="Arial"/>
                <w:sz w:val="14"/>
                <w:szCs w:val="14"/>
                <w:b w:val="1"/>
                <w:bCs w:val="1"/>
                <w:color w:val="auto"/>
                <w:w w:val="98"/>
              </w:rPr>
              <w:t>Fair Value</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18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Interest rate swap</w:t>
            </w:r>
          </w:p>
        </w:tc>
        <w:tc>
          <w:tcPr>
            <w:tcW w:w="2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28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94"/>
              </w:rPr>
              <w:t>Other liabilities</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580</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30</w:t>
            </w: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20" w:type="dxa"/>
            <w:vAlign w:val="bottom"/>
            <w:tcBorders>
              <w:bottom w:val="single" w:sz="8" w:color="010101"/>
            </w:tcBorders>
          </w:tcPr>
          <w:p>
            <w:pPr>
              <w:spacing w:after="0"/>
              <w:rPr>
                <w:sz w:val="11"/>
                <w:szCs w:val="11"/>
                <w:color w:val="auto"/>
              </w:rPr>
            </w:pPr>
          </w:p>
        </w:tc>
        <w:tc>
          <w:tcPr>
            <w:tcW w:w="96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gridSpan w:val="2"/>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22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6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78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92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92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7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740"/>
        </w:trPr>
        <w:tc>
          <w:tcPr>
            <w:tcW w:w="2460" w:type="dxa"/>
            <w:vAlign w:val="bottom"/>
            <w:gridSpan w:val="5"/>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2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460" w:type="dxa"/>
            <w:vAlign w:val="bottom"/>
            <w:gridSpan w:val="5"/>
          </w:tcPr>
          <w:p>
            <w:pPr>
              <w:spacing w:after="0"/>
              <w:rPr>
                <w:sz w:val="20"/>
                <w:szCs w:val="20"/>
                <w:color w:val="auto"/>
              </w:rPr>
            </w:pPr>
            <w:r>
              <w:rPr>
                <w:rFonts w:ascii="Arial" w:cs="Arial" w:eastAsia="Arial" w:hAnsi="Arial"/>
                <w:sz w:val="18"/>
                <w:szCs w:val="18"/>
                <w:b w:val="1"/>
                <w:bCs w:val="1"/>
                <w:color w:val="auto"/>
                <w:w w:val="92"/>
              </w:rPr>
              <w:t>10. Other Comprehensive Loss</w:t>
            </w:r>
          </w:p>
        </w:tc>
        <w:tc>
          <w:tcPr>
            <w:tcW w:w="2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2100" w:type="dxa"/>
            <w:vAlign w:val="bottom"/>
            <w:gridSpan w:val="3"/>
            <w:shd w:val="clear" w:color="auto" w:fill="000000"/>
          </w:tcPr>
          <w:p>
            <w:pPr>
              <w:spacing w:after="0" w:line="20" w:lineRule="exact"/>
              <w:rPr>
                <w:sz w:val="1"/>
                <w:szCs w:val="1"/>
                <w:color w:val="auto"/>
              </w:rPr>
            </w:pPr>
          </w:p>
        </w:tc>
        <w:tc>
          <w:tcPr>
            <w:tcW w:w="242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840" w:type="dxa"/>
            <w:vAlign w:val="bottom"/>
            <w:gridSpan w:val="8"/>
          </w:tcPr>
          <w:p>
            <w:pPr>
              <w:spacing w:after="0"/>
              <w:rPr>
                <w:sz w:val="20"/>
                <w:szCs w:val="20"/>
                <w:color w:val="auto"/>
              </w:rPr>
            </w:pPr>
            <w:r>
              <w:rPr>
                <w:rFonts w:ascii="Arial" w:cs="Arial" w:eastAsia="Arial" w:hAnsi="Arial"/>
                <w:sz w:val="18"/>
                <w:szCs w:val="18"/>
                <w:color w:val="auto"/>
              </w:rPr>
              <w:t>The components of other comprehensive loss follow.</w:t>
            </w: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4"/>
                <w:szCs w:val="14"/>
                <w:b w:val="1"/>
                <w:bCs w:val="1"/>
                <w:color w:val="auto"/>
              </w:rPr>
              <w:t>Three Months Ended March 31,</w:t>
            </w: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center"/>
              <w:ind w:left="245"/>
              <w:spacing w:after="0" w:line="142" w:lineRule="exact"/>
              <w:rPr>
                <w:sz w:val="20"/>
                <w:szCs w:val="20"/>
                <w:color w:val="auto"/>
              </w:rPr>
            </w:pPr>
            <w:r>
              <w:rPr>
                <w:rFonts w:ascii="Arial" w:cs="Arial" w:eastAsia="Arial" w:hAnsi="Arial"/>
                <w:sz w:val="14"/>
                <w:szCs w:val="14"/>
                <w:b w:val="1"/>
                <w:bCs w:val="1"/>
                <w:color w:val="auto"/>
                <w:w w:val="89"/>
              </w:rPr>
              <w:t>2013</w:t>
            </w:r>
          </w:p>
        </w:tc>
        <w:tc>
          <w:tcPr>
            <w:tcW w:w="2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center"/>
              <w:ind w:right="239"/>
              <w:spacing w:after="0" w:line="142" w:lineRule="exact"/>
              <w:rPr>
                <w:sz w:val="20"/>
                <w:szCs w:val="20"/>
                <w:color w:val="auto"/>
              </w:rPr>
            </w:pPr>
            <w:r>
              <w:rPr>
                <w:rFonts w:ascii="Arial" w:cs="Arial" w:eastAsia="Arial" w:hAnsi="Arial"/>
                <w:sz w:val="14"/>
                <w:szCs w:val="14"/>
                <w:b w:val="1"/>
                <w:bCs w:val="1"/>
                <w:color w:val="auto"/>
                <w:w w:val="89"/>
              </w:rPr>
              <w:t>2012</w:t>
            </w: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gridSpan w:val="2"/>
          </w:tcPr>
          <w:p>
            <w:pPr>
              <w:jc w:val="right"/>
              <w:ind w:right="5"/>
              <w:spacing w:after="0" w:line="119" w:lineRule="exact"/>
              <w:rPr>
                <w:sz w:val="20"/>
                <w:szCs w:val="20"/>
                <w:color w:val="auto"/>
              </w:rPr>
            </w:pPr>
            <w:r>
              <w:rPr>
                <w:rFonts w:ascii="Arial" w:cs="Arial" w:eastAsia="Arial" w:hAnsi="Arial"/>
                <w:sz w:val="13"/>
                <w:szCs w:val="13"/>
                <w:b w:val="1"/>
                <w:bCs w:val="1"/>
                <w:color w:val="auto"/>
              </w:rPr>
              <w:t>Pre-tax</w:t>
            </w:r>
          </w:p>
        </w:tc>
        <w:tc>
          <w:tcPr>
            <w:tcW w:w="360" w:type="dxa"/>
            <w:vAlign w:val="bottom"/>
          </w:tcPr>
          <w:p>
            <w:pPr>
              <w:spacing w:after="0"/>
              <w:rPr>
                <w:sz w:val="10"/>
                <w:szCs w:val="10"/>
                <w:color w:val="auto"/>
              </w:rPr>
            </w:pPr>
          </w:p>
        </w:tc>
        <w:tc>
          <w:tcPr>
            <w:tcW w:w="1040" w:type="dxa"/>
            <w:vAlign w:val="bottom"/>
            <w:gridSpan w:val="3"/>
          </w:tcPr>
          <w:p>
            <w:pPr>
              <w:jc w:val="center"/>
              <w:ind w:right="80"/>
              <w:spacing w:after="0" w:line="119" w:lineRule="exact"/>
              <w:rPr>
                <w:sz w:val="20"/>
                <w:szCs w:val="20"/>
                <w:color w:val="auto"/>
              </w:rPr>
            </w:pPr>
            <w:r>
              <w:rPr>
                <w:rFonts w:ascii="Arial" w:cs="Arial" w:eastAsia="Arial" w:hAnsi="Arial"/>
                <w:sz w:val="13"/>
                <w:szCs w:val="13"/>
                <w:b w:val="1"/>
                <w:bCs w:val="1"/>
                <w:color w:val="auto"/>
                <w:w w:val="95"/>
              </w:rPr>
              <w:t>Tax Expense</w:t>
            </w:r>
          </w:p>
        </w:tc>
        <w:tc>
          <w:tcPr>
            <w:tcW w:w="260" w:type="dxa"/>
            <w:vAlign w:val="bottom"/>
          </w:tcPr>
          <w:p>
            <w:pPr>
              <w:spacing w:after="0"/>
              <w:rPr>
                <w:sz w:val="10"/>
                <w:szCs w:val="10"/>
                <w:color w:val="auto"/>
              </w:rPr>
            </w:pPr>
          </w:p>
        </w:tc>
        <w:tc>
          <w:tcPr>
            <w:tcW w:w="780" w:type="dxa"/>
            <w:vAlign w:val="bottom"/>
          </w:tcPr>
          <w:p>
            <w:pPr>
              <w:jc w:val="right"/>
              <w:ind w:right="82"/>
              <w:spacing w:after="0" w:line="119" w:lineRule="exact"/>
              <w:rPr>
                <w:sz w:val="20"/>
                <w:szCs w:val="20"/>
                <w:color w:val="auto"/>
              </w:rPr>
            </w:pPr>
            <w:r>
              <w:rPr>
                <w:rFonts w:ascii="Arial" w:cs="Arial" w:eastAsia="Arial" w:hAnsi="Arial"/>
                <w:sz w:val="13"/>
                <w:szCs w:val="13"/>
                <w:b w:val="1"/>
                <w:bCs w:val="1"/>
                <w:color w:val="auto"/>
              </w:rPr>
              <w:t>After-tax</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jc w:val="right"/>
              <w:ind w:right="300"/>
              <w:spacing w:after="0" w:line="119" w:lineRule="exact"/>
              <w:rPr>
                <w:sz w:val="20"/>
                <w:szCs w:val="20"/>
                <w:color w:val="auto"/>
              </w:rPr>
            </w:pPr>
            <w:r>
              <w:rPr>
                <w:rFonts w:ascii="Arial" w:cs="Arial" w:eastAsia="Arial" w:hAnsi="Arial"/>
                <w:sz w:val="13"/>
                <w:szCs w:val="13"/>
                <w:b w:val="1"/>
                <w:bCs w:val="1"/>
                <w:color w:val="auto"/>
              </w:rPr>
              <w:t>Pre-tax</w:t>
            </w:r>
          </w:p>
        </w:tc>
        <w:tc>
          <w:tcPr>
            <w:tcW w:w="114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8"/>
              </w:rPr>
              <w:t>Tax Expense</w:t>
            </w:r>
          </w:p>
        </w:tc>
        <w:tc>
          <w:tcPr>
            <w:tcW w:w="200" w:type="dxa"/>
            <w:vAlign w:val="bottom"/>
          </w:tcPr>
          <w:p>
            <w:pPr>
              <w:spacing w:after="0"/>
              <w:rPr>
                <w:sz w:val="10"/>
                <w:szCs w:val="10"/>
                <w:color w:val="auto"/>
              </w:rPr>
            </w:pPr>
          </w:p>
        </w:tc>
        <w:tc>
          <w:tcPr>
            <w:tcW w:w="780" w:type="dxa"/>
            <w:vAlign w:val="bottom"/>
          </w:tcPr>
          <w:p>
            <w:pPr>
              <w:jc w:val="center"/>
              <w:ind w:right="60"/>
              <w:spacing w:after="0" w:line="119" w:lineRule="exact"/>
              <w:rPr>
                <w:sz w:val="20"/>
                <w:szCs w:val="20"/>
                <w:color w:val="auto"/>
              </w:rPr>
            </w:pPr>
            <w:r>
              <w:rPr>
                <w:rFonts w:ascii="Arial" w:cs="Arial" w:eastAsia="Arial" w:hAnsi="Arial"/>
                <w:sz w:val="13"/>
                <w:szCs w:val="13"/>
                <w:b w:val="1"/>
                <w:bCs w:val="1"/>
                <w:color w:val="auto"/>
              </w:rPr>
              <w:t>After-tax</w:t>
            </w:r>
          </w:p>
        </w:tc>
        <w:tc>
          <w:tcPr>
            <w:tcW w:w="1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rPr>
              <w:t>Amount</w:t>
            </w:r>
          </w:p>
        </w:tc>
        <w:tc>
          <w:tcPr>
            <w:tcW w:w="360" w:type="dxa"/>
            <w:vAlign w:val="bottom"/>
          </w:tcPr>
          <w:p>
            <w:pPr>
              <w:spacing w:after="0"/>
              <w:rPr>
                <w:sz w:val="14"/>
                <w:szCs w:val="14"/>
                <w:color w:val="auto"/>
              </w:rPr>
            </w:pPr>
          </w:p>
        </w:tc>
        <w:tc>
          <w:tcPr>
            <w:tcW w:w="10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1"/>
              </w:rPr>
              <w:t>(Benefit)</w:t>
            </w:r>
          </w:p>
        </w:tc>
        <w:tc>
          <w:tcPr>
            <w:tcW w:w="260" w:type="dxa"/>
            <w:vAlign w:val="bottom"/>
          </w:tcPr>
          <w:p>
            <w:pPr>
              <w:spacing w:after="0"/>
              <w:rPr>
                <w:sz w:val="14"/>
                <w:szCs w:val="14"/>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4"/>
                <w:szCs w:val="14"/>
                <w:color w:val="auto"/>
              </w:rPr>
            </w:pPr>
          </w:p>
        </w:tc>
        <w:tc>
          <w:tcPr>
            <w:tcW w:w="920" w:type="dxa"/>
            <w:vAlign w:val="bottom"/>
          </w:tcPr>
          <w:p>
            <w:pPr>
              <w:jc w:val="right"/>
              <w:ind w:right="280"/>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4"/>
                <w:szCs w:val="14"/>
                <w:color w:val="auto"/>
              </w:rPr>
            </w:pPr>
          </w:p>
        </w:tc>
        <w:tc>
          <w:tcPr>
            <w:tcW w:w="920" w:type="dxa"/>
            <w:vAlign w:val="bottom"/>
          </w:tcPr>
          <w:p>
            <w:pPr>
              <w:jc w:val="center"/>
              <w:ind w:right="179"/>
              <w:spacing w:after="0"/>
              <w:rPr>
                <w:sz w:val="20"/>
                <w:szCs w:val="20"/>
                <w:color w:val="auto"/>
              </w:rPr>
            </w:pPr>
            <w:r>
              <w:rPr>
                <w:rFonts w:ascii="Arial" w:cs="Arial" w:eastAsia="Arial" w:hAnsi="Arial"/>
                <w:sz w:val="14"/>
                <w:szCs w:val="14"/>
                <w:b w:val="1"/>
                <w:bCs w:val="1"/>
                <w:color w:val="auto"/>
                <w:w w:val="95"/>
              </w:rPr>
              <w:t>(Benefit)</w:t>
            </w:r>
          </w:p>
        </w:tc>
        <w:tc>
          <w:tcPr>
            <w:tcW w:w="200" w:type="dxa"/>
            <w:vAlign w:val="bottom"/>
          </w:tcPr>
          <w:p>
            <w:pPr>
              <w:spacing w:after="0"/>
              <w:rPr>
                <w:sz w:val="14"/>
                <w:szCs w:val="14"/>
                <w:color w:val="auto"/>
              </w:rPr>
            </w:pPr>
          </w:p>
        </w:tc>
        <w:tc>
          <w:tcPr>
            <w:tcW w:w="9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42"/>
        </w:trPr>
        <w:tc>
          <w:tcPr>
            <w:tcW w:w="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080" w:type="dxa"/>
            <w:vAlign w:val="bottom"/>
            <w:tcBorders>
              <w:top w:val="single" w:sz="8" w:color="auto"/>
            </w:tcBorders>
            <w:gridSpan w:val="4"/>
          </w:tcPr>
          <w:p>
            <w:pPr>
              <w:jc w:val="right"/>
              <w:ind w:right="440"/>
              <w:spacing w:after="0" w:line="142" w:lineRule="exact"/>
              <w:rPr>
                <w:sz w:val="20"/>
                <w:szCs w:val="20"/>
                <w:color w:val="auto"/>
              </w:rPr>
            </w:pPr>
            <w:r>
              <w:rPr>
                <w:rFonts w:ascii="Arial" w:cs="Arial" w:eastAsia="Arial" w:hAnsi="Arial"/>
                <w:sz w:val="14"/>
                <w:szCs w:val="14"/>
                <w:b w:val="1"/>
                <w:bCs w:val="1"/>
                <w:color w:val="auto"/>
              </w:rPr>
              <w:t>(Dollars in thousands)</w:t>
            </w:r>
          </w:p>
        </w:tc>
        <w:tc>
          <w:tcPr>
            <w:tcW w:w="2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4840" w:type="dxa"/>
            <w:vAlign w:val="bottom"/>
            <w:gridSpan w:val="8"/>
            <w:shd w:val="clear" w:color="auto" w:fill="CCEEFF"/>
          </w:tcPr>
          <w:p>
            <w:pPr>
              <w:spacing w:after="0" w:line="201" w:lineRule="exact"/>
              <w:rPr>
                <w:sz w:val="20"/>
                <w:szCs w:val="20"/>
                <w:color w:val="auto"/>
              </w:rPr>
            </w:pPr>
            <w:r>
              <w:rPr>
                <w:rFonts w:ascii="Arial" w:cs="Arial" w:eastAsia="Arial" w:hAnsi="Arial"/>
                <w:sz w:val="18"/>
                <w:szCs w:val="18"/>
                <w:color w:val="auto"/>
              </w:rPr>
              <w:t>Change in net unrealized gain or loss on available-for-sale</w:t>
            </w: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60" w:type="dxa"/>
            <w:vAlign w:val="bottom"/>
            <w:gridSpan w:val="5"/>
            <w:shd w:val="clear" w:color="auto" w:fill="CCEEFF"/>
          </w:tcPr>
          <w:p>
            <w:pPr>
              <w:ind w:left="180"/>
              <w:spacing w:after="0"/>
              <w:rPr>
                <w:sz w:val="20"/>
                <w:szCs w:val="20"/>
                <w:color w:val="auto"/>
              </w:rPr>
            </w:pPr>
            <w:r>
              <w:rPr>
                <w:rFonts w:ascii="Arial" w:cs="Arial" w:eastAsia="Arial" w:hAnsi="Arial"/>
                <w:sz w:val="18"/>
                <w:szCs w:val="18"/>
                <w:color w:val="auto"/>
              </w:rPr>
              <w:t>securities</w:t>
            </w:r>
          </w:p>
        </w:tc>
        <w:tc>
          <w:tcPr>
            <w:tcW w:w="2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62"/>
              <w:spacing w:after="0"/>
              <w:rPr>
                <w:sz w:val="20"/>
                <w:szCs w:val="20"/>
                <w:color w:val="auto"/>
              </w:rPr>
            </w:pPr>
            <w:r>
              <w:rPr>
                <w:rFonts w:ascii="Arial" w:cs="Arial" w:eastAsia="Arial" w:hAnsi="Arial"/>
                <w:sz w:val="18"/>
                <w:szCs w:val="18"/>
                <w:color w:val="auto"/>
              </w:rPr>
              <w:t>(164)</w:t>
            </w:r>
          </w:p>
        </w:tc>
        <w:tc>
          <w:tcPr>
            <w:tcW w:w="640" w:type="dxa"/>
            <w:vAlign w:val="bottom"/>
            <w:shd w:val="clear" w:color="auto" w:fill="CCEEFF"/>
          </w:tcPr>
          <w:p>
            <w:pPr>
              <w:jc w:val="center"/>
              <w:ind w:right="425"/>
              <w:spacing w:after="0"/>
              <w:rPr>
                <w:sz w:val="20"/>
                <w:szCs w:val="20"/>
                <w:color w:val="auto"/>
              </w:rPr>
            </w:pPr>
            <w:r>
              <w:rPr>
                <w:rFonts w:ascii="Arial" w:cs="Arial" w:eastAsia="Arial" w:hAnsi="Arial"/>
                <w:sz w:val="18"/>
                <w:szCs w:val="18"/>
                <w:color w:val="auto"/>
                <w:w w:val="99"/>
              </w:rPr>
              <w:t>$</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40" w:type="dxa"/>
            <w:vAlign w:val="bottom"/>
            <w:gridSpan w:val="8"/>
          </w:tcPr>
          <w:p>
            <w:pPr>
              <w:ind w:left="180"/>
              <w:spacing w:after="0"/>
              <w:rPr>
                <w:sz w:val="20"/>
                <w:szCs w:val="20"/>
                <w:color w:val="auto"/>
              </w:rPr>
            </w:pPr>
            <w:r>
              <w:rPr>
                <w:rFonts w:ascii="Arial" w:cs="Arial" w:eastAsia="Arial" w:hAnsi="Arial"/>
                <w:sz w:val="18"/>
                <w:szCs w:val="18"/>
                <w:color w:val="auto"/>
              </w:rPr>
              <w:t>Reclassification adjustment for net gains included in net</w:t>
            </w: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jc w:val="right"/>
              <w:ind w:right="122"/>
              <w:spacing w:after="0"/>
              <w:rPr>
                <w:sz w:val="20"/>
                <w:szCs w:val="20"/>
                <w:color w:val="auto"/>
              </w:rPr>
            </w:pPr>
            <w:r>
              <w:rPr>
                <w:rFonts w:ascii="Arial" w:cs="Arial" w:eastAsia="Arial" w:hAnsi="Arial"/>
                <w:sz w:val="18"/>
                <w:szCs w:val="18"/>
                <w:color w:val="auto"/>
              </w:rPr>
              <w:t>0</w:t>
            </w:r>
          </w:p>
        </w:tc>
        <w:tc>
          <w:tcPr>
            <w:tcW w:w="640" w:type="dxa"/>
            <w:vAlign w:val="bottom"/>
          </w:tcPr>
          <w:p>
            <w:pPr>
              <w:spacing w:after="0"/>
              <w:rPr>
                <w:sz w:val="20"/>
                <w:szCs w:val="20"/>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2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(731)</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(249)</w:t>
            </w:r>
          </w:p>
        </w:tc>
        <w:tc>
          <w:tcPr>
            <w:tcW w:w="20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(482)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-2128520</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-2128520</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71" w:orient="portrait"/>
          <w:cols w:equalWidth="0" w:num="1">
            <w:col w:w="11460"/>
          </w:cols>
          <w:pgMar w:left="240" w:top="125" w:right="199" w:bottom="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30"/>
        </w:trPr>
        <w:tc>
          <w:tcPr>
            <w:tcW w:w="47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income</w:t>
            </w: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Total available-for-sale securities</w:t>
            </w: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(1,418)</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tcPr>
          <w:p>
            <w:pPr>
              <w:spacing w:after="0"/>
              <w:rPr>
                <w:sz w:val="20"/>
                <w:szCs w:val="20"/>
                <w:color w:val="auto"/>
              </w:rPr>
            </w:pPr>
            <w:r>
              <w:rPr>
                <w:rFonts w:ascii="Arial" w:cs="Arial" w:eastAsia="Arial" w:hAnsi="Arial"/>
                <w:sz w:val="18"/>
                <w:szCs w:val="18"/>
                <w:color w:val="auto"/>
              </w:rPr>
              <w:t>Change in accumulated loss on effective cash flow hedges</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7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Reclassification adjustment for net gains included in net</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w:t>
            </w:r>
          </w:p>
        </w:tc>
        <w:tc>
          <w:tcPr>
            <w:tcW w:w="1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Arial" w:cs="Arial" w:eastAsia="Arial" w:hAnsi="Arial"/>
                <w:sz w:val="18"/>
                <w:szCs w:val="18"/>
                <w:color w:val="auto"/>
              </w:rPr>
              <w:t>Total derivatives and hedging activities</w:t>
            </w: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45</w:t>
            </w:r>
          </w:p>
        </w:tc>
        <w:tc>
          <w:tcPr>
            <w:tcW w:w="1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w:t>
            </w:r>
          </w:p>
        </w:tc>
        <w:tc>
          <w:tcPr>
            <w:tcW w:w="2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47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comprehensive loss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40" w:type="dxa"/>
            <w:vAlign w:val="bottom"/>
            <w:tcBorders>
              <w:top w:val="single" w:sz="8" w:color="CCEEFF"/>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(1,425</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7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6"/>
          </w:tcPr>
          <w:p>
            <w:pPr>
              <w:jc w:val="right"/>
              <w:ind w:right="240"/>
              <w:spacing w:after="0"/>
              <w:rPr>
                <w:sz w:val="20"/>
                <w:szCs w:val="20"/>
                <w:color w:val="auto"/>
              </w:rPr>
            </w:pPr>
            <w:r>
              <w:rPr>
                <w:rFonts w:ascii="Arial" w:cs="Arial" w:eastAsia="Arial" w:hAnsi="Arial"/>
                <w:sz w:val="14"/>
                <w:szCs w:val="14"/>
                <w:b w:val="1"/>
                <w:bCs w:val="1"/>
                <w:color w:val="auto"/>
                <w:w w:val="97"/>
              </w:rPr>
              <w:t>Nine Months Ended March 31,</w:t>
            </w: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7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center"/>
              <w:ind w:right="53"/>
              <w:spacing w:after="0" w:line="142" w:lineRule="exact"/>
              <w:rPr>
                <w:sz w:val="20"/>
                <w:szCs w:val="20"/>
                <w:color w:val="auto"/>
              </w:rPr>
            </w:pPr>
            <w:r>
              <w:rPr>
                <w:rFonts w:ascii="Arial" w:cs="Arial" w:eastAsia="Arial" w:hAnsi="Arial"/>
                <w:sz w:val="14"/>
                <w:szCs w:val="14"/>
                <w:b w:val="1"/>
                <w:bCs w:val="1"/>
                <w:color w:val="auto"/>
                <w:w w:val="89"/>
              </w:rPr>
              <w:t>2013</w:t>
            </w: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center"/>
              <w:ind w:right="93"/>
              <w:spacing w:after="0" w:line="142" w:lineRule="exact"/>
              <w:rPr>
                <w:sz w:val="20"/>
                <w:szCs w:val="20"/>
                <w:color w:val="auto"/>
              </w:rPr>
            </w:pPr>
            <w:r>
              <w:rPr>
                <w:rFonts w:ascii="Arial" w:cs="Arial" w:eastAsia="Arial" w:hAnsi="Arial"/>
                <w:sz w:val="14"/>
                <w:szCs w:val="14"/>
                <w:b w:val="1"/>
                <w:bCs w:val="1"/>
                <w:color w:val="auto"/>
                <w:w w:val="89"/>
              </w:rPr>
              <w:t>2012</w:t>
            </w:r>
          </w:p>
        </w:tc>
        <w:tc>
          <w:tcPr>
            <w:tcW w:w="2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gridSpan w:val="2"/>
          </w:tcPr>
          <w:p>
            <w:pPr>
              <w:jc w:val="right"/>
              <w:ind w:right="300"/>
              <w:spacing w:after="0" w:line="119" w:lineRule="exact"/>
              <w:rPr>
                <w:sz w:val="20"/>
                <w:szCs w:val="20"/>
                <w:color w:val="auto"/>
              </w:rPr>
            </w:pPr>
            <w:r>
              <w:rPr>
                <w:rFonts w:ascii="Arial" w:cs="Arial" w:eastAsia="Arial" w:hAnsi="Arial"/>
                <w:sz w:val="13"/>
                <w:szCs w:val="13"/>
                <w:b w:val="1"/>
                <w:bCs w:val="1"/>
                <w:color w:val="auto"/>
              </w:rPr>
              <w:t>Pre-tax</w:t>
            </w:r>
          </w:p>
        </w:tc>
        <w:tc>
          <w:tcPr>
            <w:tcW w:w="80" w:type="dxa"/>
            <w:vAlign w:val="bottom"/>
          </w:tcPr>
          <w:p>
            <w:pPr>
              <w:spacing w:after="0"/>
              <w:rPr>
                <w:sz w:val="10"/>
                <w:szCs w:val="10"/>
                <w:color w:val="auto"/>
              </w:rPr>
            </w:pPr>
          </w:p>
        </w:tc>
        <w:tc>
          <w:tcPr>
            <w:tcW w:w="1060" w:type="dxa"/>
            <w:vAlign w:val="bottom"/>
            <w:gridSpan w:val="3"/>
          </w:tcPr>
          <w:p>
            <w:pPr>
              <w:jc w:val="center"/>
              <w:ind w:right="60"/>
              <w:spacing w:after="0" w:line="119" w:lineRule="exact"/>
              <w:rPr>
                <w:sz w:val="20"/>
                <w:szCs w:val="20"/>
                <w:color w:val="auto"/>
              </w:rPr>
            </w:pPr>
            <w:r>
              <w:rPr>
                <w:rFonts w:ascii="Arial" w:cs="Arial" w:eastAsia="Arial" w:hAnsi="Arial"/>
                <w:sz w:val="13"/>
                <w:szCs w:val="13"/>
                <w:b w:val="1"/>
                <w:bCs w:val="1"/>
                <w:color w:val="auto"/>
                <w:w w:val="95"/>
              </w:rPr>
              <w:t>Tax Expense</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jc w:val="right"/>
              <w:ind w:right="74"/>
              <w:spacing w:after="0" w:line="119" w:lineRule="exact"/>
              <w:rPr>
                <w:sz w:val="20"/>
                <w:szCs w:val="20"/>
                <w:color w:val="auto"/>
              </w:rPr>
            </w:pPr>
            <w:r>
              <w:rPr>
                <w:rFonts w:ascii="Arial" w:cs="Arial" w:eastAsia="Arial" w:hAnsi="Arial"/>
                <w:sz w:val="13"/>
                <w:szCs w:val="13"/>
                <w:b w:val="1"/>
                <w:bCs w:val="1"/>
                <w:color w:val="auto"/>
              </w:rPr>
              <w:t>After-tax</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gridSpan w:val="2"/>
          </w:tcPr>
          <w:p>
            <w:pPr>
              <w:jc w:val="right"/>
              <w:ind w:right="380"/>
              <w:spacing w:after="0" w:line="119" w:lineRule="exact"/>
              <w:rPr>
                <w:sz w:val="20"/>
                <w:szCs w:val="20"/>
                <w:color w:val="auto"/>
              </w:rPr>
            </w:pPr>
            <w:r>
              <w:rPr>
                <w:rFonts w:ascii="Arial" w:cs="Arial" w:eastAsia="Arial" w:hAnsi="Arial"/>
                <w:sz w:val="13"/>
                <w:szCs w:val="13"/>
                <w:b w:val="1"/>
                <w:bCs w:val="1"/>
                <w:color w:val="auto"/>
              </w:rPr>
              <w:t>Pre-tax</w:t>
            </w:r>
          </w:p>
        </w:tc>
        <w:tc>
          <w:tcPr>
            <w:tcW w:w="1140" w:type="dxa"/>
            <w:vAlign w:val="bottom"/>
            <w:gridSpan w:val="3"/>
          </w:tcPr>
          <w:p>
            <w:pPr>
              <w:jc w:val="center"/>
              <w:ind w:right="120"/>
              <w:spacing w:after="0" w:line="119" w:lineRule="exact"/>
              <w:rPr>
                <w:sz w:val="20"/>
                <w:szCs w:val="20"/>
                <w:color w:val="auto"/>
              </w:rPr>
            </w:pPr>
            <w:r>
              <w:rPr>
                <w:rFonts w:ascii="Arial" w:cs="Arial" w:eastAsia="Arial" w:hAnsi="Arial"/>
                <w:sz w:val="13"/>
                <w:szCs w:val="13"/>
                <w:b w:val="1"/>
                <w:bCs w:val="1"/>
                <w:color w:val="auto"/>
                <w:w w:val="98"/>
              </w:rPr>
              <w:t>Tax Expense</w:t>
            </w:r>
          </w:p>
        </w:tc>
        <w:tc>
          <w:tcPr>
            <w:tcW w:w="120" w:type="dxa"/>
            <w:vAlign w:val="bottom"/>
          </w:tcPr>
          <w:p>
            <w:pPr>
              <w:spacing w:after="0"/>
              <w:rPr>
                <w:sz w:val="10"/>
                <w:szCs w:val="10"/>
                <w:color w:val="auto"/>
              </w:rPr>
            </w:pPr>
          </w:p>
        </w:tc>
        <w:tc>
          <w:tcPr>
            <w:tcW w:w="780" w:type="dxa"/>
            <w:vAlign w:val="bottom"/>
          </w:tcPr>
          <w:p>
            <w:pPr>
              <w:jc w:val="right"/>
              <w:ind w:right="93"/>
              <w:spacing w:after="0" w:line="119" w:lineRule="exact"/>
              <w:rPr>
                <w:sz w:val="20"/>
                <w:szCs w:val="20"/>
                <w:color w:val="auto"/>
              </w:rPr>
            </w:pPr>
            <w:r>
              <w:rPr>
                <w:rFonts w:ascii="Arial" w:cs="Arial" w:eastAsia="Arial" w:hAnsi="Arial"/>
                <w:sz w:val="13"/>
                <w:szCs w:val="13"/>
                <w:b w:val="1"/>
                <w:bCs w:val="1"/>
                <w:color w:val="auto"/>
              </w:rPr>
              <w:t>After-tax</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(Benefit)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4"/>
                <w:szCs w:val="14"/>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(Benefit)</w:t>
            </w:r>
          </w:p>
        </w:tc>
        <w:tc>
          <w:tcPr>
            <w:tcW w:w="12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47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160" w:type="dxa"/>
            <w:vAlign w:val="bottom"/>
            <w:tcBorders>
              <w:top w:val="single" w:sz="8" w:color="auto"/>
            </w:tcBorders>
            <w:gridSpan w:val="5"/>
          </w:tcPr>
          <w:p>
            <w:pPr>
              <w:jc w:val="right"/>
              <w:ind w:right="520"/>
              <w:spacing w:after="0" w:line="142" w:lineRule="exact"/>
              <w:rPr>
                <w:sz w:val="20"/>
                <w:szCs w:val="20"/>
                <w:color w:val="auto"/>
              </w:rPr>
            </w:pPr>
            <w:r>
              <w:rPr>
                <w:rFonts w:ascii="Arial" w:cs="Arial" w:eastAsia="Arial" w:hAnsi="Arial"/>
                <w:sz w:val="14"/>
                <w:szCs w:val="14"/>
                <w:b w:val="1"/>
                <w:bCs w:val="1"/>
                <w:color w:val="auto"/>
              </w:rPr>
              <w:t>(Dollars in thousands)</w:t>
            </w: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4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Change in net unrealized gain or loss on available-for-sale</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securities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02"/>
        </w:trPr>
        <w:tc>
          <w:tcPr>
            <w:tcW w:w="4700" w:type="dxa"/>
            <w:vAlign w:val="bottom"/>
          </w:tcPr>
          <w:p>
            <w:pPr>
              <w:ind w:left="180"/>
              <w:spacing w:after="0" w:line="201" w:lineRule="exact"/>
              <w:rPr>
                <w:sz w:val="20"/>
                <w:szCs w:val="20"/>
                <w:color w:val="auto"/>
              </w:rPr>
            </w:pPr>
            <w:r>
              <w:rPr>
                <w:rFonts w:ascii="Arial" w:cs="Arial" w:eastAsia="Arial" w:hAnsi="Arial"/>
                <w:sz w:val="18"/>
                <w:szCs w:val="18"/>
                <w:color w:val="auto"/>
              </w:rPr>
              <w:t>Reclassification adjustment for net gains included in net</w:t>
            </w: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360"/>
              <w:spacing w:after="0"/>
              <w:rPr>
                <w:sz w:val="20"/>
                <w:szCs w:val="20"/>
                <w:color w:val="auto"/>
              </w:rPr>
            </w:pPr>
            <w:r>
              <w:rPr>
                <w:rFonts w:ascii="Arial" w:cs="Arial" w:eastAsia="Arial" w:hAnsi="Arial"/>
                <w:sz w:val="18"/>
                <w:szCs w:val="18"/>
                <w:color w:val="auto"/>
              </w:rPr>
              <w:t>income</w:t>
            </w:r>
          </w:p>
        </w:tc>
        <w:tc>
          <w:tcPr>
            <w:tcW w:w="14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(792)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(522)</w:t>
            </w:r>
          </w:p>
        </w:tc>
        <w:tc>
          <w:tcPr>
            <w:tcW w:w="14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(1,111)</w:t>
            </w:r>
          </w:p>
        </w:tc>
        <w:tc>
          <w:tcPr>
            <w:tcW w:w="14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(378)</w:t>
            </w:r>
          </w:p>
        </w:tc>
        <w:tc>
          <w:tcPr>
            <w:tcW w:w="12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210"/>
        </w:trPr>
        <w:tc>
          <w:tcPr>
            <w:tcW w:w="4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available-for-sale securities</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tcPr>
          <w:p>
            <w:pPr>
              <w:spacing w:after="0"/>
              <w:rPr>
                <w:sz w:val="20"/>
                <w:szCs w:val="20"/>
                <w:color w:val="auto"/>
              </w:rPr>
            </w:pPr>
            <w:r>
              <w:rPr>
                <w:rFonts w:ascii="Arial" w:cs="Arial" w:eastAsia="Arial" w:hAnsi="Arial"/>
                <w:sz w:val="18"/>
                <w:szCs w:val="18"/>
                <w:color w:val="auto"/>
              </w:rPr>
              <w:t>Change in accumulated loss on effective cash flow hedges</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84</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7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Reclassification adjustment for net gains included in net</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w:t>
            </w:r>
          </w:p>
        </w:tc>
        <w:tc>
          <w:tcPr>
            <w:tcW w:w="1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w:t>
            </w: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0"/>
        </w:trPr>
        <w:tc>
          <w:tcPr>
            <w:tcW w:w="4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derivatives and hedging activities</w:t>
            </w:r>
          </w:p>
        </w:tc>
        <w:tc>
          <w:tcPr>
            <w:tcW w:w="1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2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2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2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comprehensive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(1,037</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24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2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2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Accumulated other comprehensive (loss) income is comprised of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4"/>
              </w:rPr>
              <w:t>March 31, 2013</w:t>
            </w:r>
          </w:p>
        </w:tc>
        <w:tc>
          <w:tcPr>
            <w:tcW w:w="1240" w:type="dxa"/>
            <w:vAlign w:val="bottom"/>
            <w:gridSpan w:val="3"/>
          </w:tcPr>
          <w:p>
            <w:pPr>
              <w:ind w:left="140"/>
              <w:spacing w:after="0"/>
              <w:rPr>
                <w:sz w:val="20"/>
                <w:szCs w:val="20"/>
                <w:color w:val="auto"/>
              </w:rPr>
            </w:pPr>
            <w:r>
              <w:rPr>
                <w:rFonts w:ascii="Arial" w:cs="Arial" w:eastAsia="Arial" w:hAnsi="Arial"/>
                <w:sz w:val="14"/>
                <w:szCs w:val="14"/>
                <w:b w:val="1"/>
                <w:bCs w:val="1"/>
                <w:color w:val="auto"/>
              </w:rPr>
              <w:t>June 30, 2012</w:t>
            </w:r>
          </w:p>
        </w:tc>
        <w:tc>
          <w:tcPr>
            <w:tcW w:w="4600" w:type="dxa"/>
            <w:vAlign w:val="bottom"/>
          </w:tcPr>
          <w:p>
            <w:pPr>
              <w:spacing w:after="0"/>
              <w:rPr>
                <w:sz w:val="14"/>
                <w:szCs w:val="14"/>
                <w:color w:val="auto"/>
              </w:rPr>
            </w:pPr>
          </w:p>
        </w:tc>
      </w:tr>
      <w:tr>
        <w:trPr>
          <w:trHeight w:val="142"/>
        </w:trPr>
        <w:tc>
          <w:tcPr>
            <w:tcW w:w="4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960" w:type="dxa"/>
            <w:vAlign w:val="bottom"/>
            <w:tcBorders>
              <w:top w:val="single" w:sz="8" w:color="auto"/>
            </w:tcBorders>
            <w:gridSpan w:val="3"/>
          </w:tcPr>
          <w:p>
            <w:pPr>
              <w:ind w:left="480"/>
              <w:spacing w:after="0" w:line="142" w:lineRule="exact"/>
              <w:rPr>
                <w:sz w:val="20"/>
                <w:szCs w:val="20"/>
                <w:color w:val="auto"/>
              </w:rPr>
            </w:pPr>
            <w:r>
              <w:rPr>
                <w:rFonts w:ascii="Arial" w:cs="Arial" w:eastAsia="Arial" w:hAnsi="Arial"/>
                <w:sz w:val="14"/>
                <w:szCs w:val="14"/>
                <w:b w:val="1"/>
                <w:bCs w:val="1"/>
                <w:color w:val="auto"/>
                <w:w w:val="98"/>
              </w:rPr>
              <w:t>(Dollars in thousands)</w:t>
            </w:r>
          </w:p>
        </w:tc>
        <w:tc>
          <w:tcPr>
            <w:tcW w:w="4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600" w:type="dxa"/>
            <w:vAlign w:val="bottom"/>
          </w:tcPr>
          <w:p>
            <w:pPr>
              <w:spacing w:after="0"/>
              <w:rPr>
                <w:sz w:val="12"/>
                <w:szCs w:val="12"/>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w w:val="99"/>
              </w:rPr>
              <w:t>Unrealized (loss) gain on available-for-sale securities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(486)</w:t>
            </w: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624</w:t>
            </w:r>
          </w:p>
        </w:tc>
        <w:tc>
          <w:tcPr>
            <w:tcW w:w="4600" w:type="dxa"/>
            <w:vAlign w:val="bottom"/>
          </w:tcPr>
          <w:p>
            <w:pPr>
              <w:spacing w:after="0"/>
              <w:rPr>
                <w:sz w:val="18"/>
                <w:szCs w:val="18"/>
                <w:color w:val="auto"/>
              </w:rPr>
            </w:pPr>
          </w:p>
        </w:tc>
      </w:tr>
      <w:tr>
        <w:trPr>
          <w:trHeight w:val="216"/>
        </w:trPr>
        <w:tc>
          <w:tcPr>
            <w:tcW w:w="4240" w:type="dxa"/>
            <w:vAlign w:val="bottom"/>
          </w:tcPr>
          <w:p>
            <w:pPr>
              <w:ind w:left="180"/>
              <w:spacing w:after="0"/>
              <w:rPr>
                <w:sz w:val="20"/>
                <w:szCs w:val="20"/>
                <w:color w:val="auto"/>
              </w:rPr>
            </w:pPr>
            <w:r>
              <w:rPr>
                <w:rFonts w:ascii="Arial" w:cs="Arial" w:eastAsia="Arial" w:hAnsi="Arial"/>
                <w:sz w:val="18"/>
                <w:szCs w:val="18"/>
                <w:color w:val="auto"/>
              </w:rPr>
              <w:t>Tax effect</w:t>
            </w: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165</w:t>
            </w:r>
          </w:p>
        </w:tc>
        <w:tc>
          <w:tcPr>
            <w:tcW w:w="6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(212)</w:t>
            </w:r>
          </w:p>
        </w:tc>
        <w:tc>
          <w:tcPr>
            <w:tcW w:w="4600" w:type="dxa"/>
            <w:vAlign w:val="bottom"/>
          </w:tcPr>
          <w:p>
            <w:pPr>
              <w:spacing w:after="0"/>
              <w:rPr>
                <w:sz w:val="18"/>
                <w:szCs w:val="18"/>
                <w:color w:val="auto"/>
              </w:rPr>
            </w:pPr>
          </w:p>
        </w:tc>
      </w:tr>
      <w:tr>
        <w:trPr>
          <w:trHeight w:val="210"/>
        </w:trPr>
        <w:tc>
          <w:tcPr>
            <w:tcW w:w="42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Net-of-tax amount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2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120" w:type="dxa"/>
            <w:vAlign w:val="bottom"/>
            <w:tcBorders>
              <w:top w:val="single" w:sz="8" w:color="CCEEFF"/>
            </w:tcBorders>
            <w:shd w:val="clear" w:color="auto" w:fill="CCEEFF"/>
          </w:tcPr>
          <w:p>
            <w:pPr>
              <w:spacing w:after="0"/>
              <w:rPr>
                <w:sz w:val="18"/>
                <w:szCs w:val="18"/>
                <w:color w:val="auto"/>
              </w:rPr>
            </w:pPr>
          </w:p>
        </w:tc>
        <w:tc>
          <w:tcPr>
            <w:tcW w:w="4600" w:type="dxa"/>
            <w:vAlign w:val="bottom"/>
          </w:tcPr>
          <w:p>
            <w:pPr>
              <w:spacing w:after="0"/>
              <w:rPr>
                <w:sz w:val="18"/>
                <w:szCs w:val="18"/>
                <w:color w:val="auto"/>
              </w:rPr>
            </w:pPr>
          </w:p>
        </w:tc>
      </w:tr>
      <w:tr>
        <w:trPr>
          <w:trHeight w:val="210"/>
        </w:trPr>
        <w:tc>
          <w:tcPr>
            <w:tcW w:w="4240" w:type="dxa"/>
            <w:vAlign w:val="bottom"/>
          </w:tcPr>
          <w:p>
            <w:pPr>
              <w:spacing w:after="0"/>
              <w:rPr>
                <w:sz w:val="20"/>
                <w:szCs w:val="20"/>
                <w:color w:val="auto"/>
              </w:rPr>
            </w:pPr>
            <w:r>
              <w:rPr>
                <w:rFonts w:ascii="Arial" w:cs="Arial" w:eastAsia="Arial" w:hAnsi="Arial"/>
                <w:sz w:val="18"/>
                <w:szCs w:val="18"/>
                <w:color w:val="auto"/>
              </w:rPr>
              <w:t>Unrealized loss on cash flow hedges</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(311)</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9"/>
              </w:rPr>
              <w:t>(384)</w:t>
            </w:r>
          </w:p>
        </w:tc>
        <w:tc>
          <w:tcPr>
            <w:tcW w:w="120" w:type="dxa"/>
            <w:vAlign w:val="bottom"/>
          </w:tcPr>
          <w:p>
            <w:pPr>
              <w:spacing w:after="0"/>
              <w:rPr>
                <w:sz w:val="18"/>
                <w:szCs w:val="18"/>
                <w:color w:val="auto"/>
              </w:rPr>
            </w:pPr>
          </w:p>
        </w:tc>
        <w:tc>
          <w:tcPr>
            <w:tcW w:w="4600" w:type="dxa"/>
            <w:vAlign w:val="bottom"/>
          </w:tcPr>
          <w:p>
            <w:pPr>
              <w:spacing w:after="0"/>
              <w:rPr>
                <w:sz w:val="18"/>
                <w:szCs w:val="18"/>
                <w:color w:val="auto"/>
              </w:rPr>
            </w:pPr>
          </w:p>
        </w:tc>
      </w:tr>
      <w:tr>
        <w:trPr>
          <w:trHeight w:val="216"/>
        </w:trPr>
        <w:tc>
          <w:tcPr>
            <w:tcW w:w="4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 effect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106</w:t>
            </w:r>
          </w:p>
        </w:tc>
        <w:tc>
          <w:tcPr>
            <w:tcW w:w="6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130</w:t>
            </w:r>
          </w:p>
        </w:tc>
        <w:tc>
          <w:tcPr>
            <w:tcW w:w="4600" w:type="dxa"/>
            <w:vAlign w:val="bottom"/>
          </w:tcPr>
          <w:p>
            <w:pPr>
              <w:spacing w:after="0"/>
              <w:rPr>
                <w:sz w:val="18"/>
                <w:szCs w:val="18"/>
                <w:color w:val="auto"/>
              </w:rPr>
            </w:pPr>
          </w:p>
        </w:tc>
      </w:tr>
      <w:tr>
        <w:trPr>
          <w:trHeight w:val="210"/>
        </w:trPr>
        <w:tc>
          <w:tcPr>
            <w:tcW w:w="42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Net-of-tax amount</w:t>
            </w:r>
          </w:p>
        </w:tc>
        <w:tc>
          <w:tcPr>
            <w:tcW w:w="1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w:t>
            </w:r>
          </w:p>
        </w:tc>
        <w:tc>
          <w:tcPr>
            <w:tcW w:w="220" w:type="dxa"/>
            <w:vAlign w:val="bottom"/>
            <w:tcBorders>
              <w:bottom w:val="single" w:sz="8" w:color="CCEEFF"/>
            </w:tcBorders>
          </w:tcPr>
          <w:p>
            <w:pPr>
              <w:spacing w:after="0"/>
              <w:rPr>
                <w:sz w:val="18"/>
                <w:szCs w:val="18"/>
                <w:color w:val="auto"/>
              </w:rPr>
            </w:pPr>
          </w:p>
        </w:tc>
        <w:tc>
          <w:tcPr>
            <w:tcW w:w="68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(254)</w:t>
            </w:r>
          </w:p>
        </w:tc>
        <w:tc>
          <w:tcPr>
            <w:tcW w:w="120" w:type="dxa"/>
            <w:vAlign w:val="bottom"/>
            <w:tcBorders>
              <w:bottom w:val="single" w:sz="8" w:color="CCEEFF"/>
            </w:tcBorders>
          </w:tcPr>
          <w:p>
            <w:pPr>
              <w:spacing w:after="0"/>
              <w:rPr>
                <w:sz w:val="18"/>
                <w:szCs w:val="18"/>
                <w:color w:val="auto"/>
              </w:rPr>
            </w:pPr>
          </w:p>
        </w:tc>
        <w:tc>
          <w:tcPr>
            <w:tcW w:w="4600" w:type="dxa"/>
            <w:vAlign w:val="bottom"/>
          </w:tcPr>
          <w:p>
            <w:pPr>
              <w:spacing w:after="0"/>
              <w:rPr>
                <w:sz w:val="18"/>
                <w:szCs w:val="18"/>
                <w:color w:val="auto"/>
              </w:rPr>
            </w:pPr>
          </w:p>
        </w:tc>
      </w:tr>
      <w:tr>
        <w:trPr>
          <w:trHeight w:val="223"/>
        </w:trPr>
        <w:tc>
          <w:tcPr>
            <w:tcW w:w="4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Accumulated other comprehensive (loss) income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2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6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20" w:type="dxa"/>
            <w:vAlign w:val="bottom"/>
            <w:tcBorders>
              <w:bottom w:val="single" w:sz="8" w:color="CCEEFF"/>
            </w:tcBorders>
            <w:shd w:val="clear" w:color="auto" w:fill="CCEEFF"/>
          </w:tcPr>
          <w:p>
            <w:pPr>
              <w:spacing w:after="0"/>
              <w:rPr>
                <w:sz w:val="19"/>
                <w:szCs w:val="19"/>
                <w:color w:val="auto"/>
              </w:rPr>
            </w:pPr>
          </w:p>
        </w:tc>
        <w:tc>
          <w:tcPr>
            <w:tcW w:w="4600" w:type="dxa"/>
            <w:vAlign w:val="bottom"/>
          </w:tcPr>
          <w:p>
            <w:pPr>
              <w:spacing w:after="0"/>
              <w:rPr>
                <w:sz w:val="19"/>
                <w:szCs w:val="19"/>
                <w:color w:val="auto"/>
              </w:rPr>
            </w:pPr>
          </w:p>
        </w:tc>
      </w:tr>
      <w:tr>
        <w:trPr>
          <w:trHeight w:val="20"/>
        </w:trPr>
        <w:tc>
          <w:tcPr>
            <w:tcW w:w="4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r>
      <w:tr>
        <w:trPr>
          <w:trHeight w:val="413"/>
        </w:trPr>
        <w:tc>
          <w:tcPr>
            <w:tcW w:w="4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31</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0" w:type="dxa"/>
            <w:vAlign w:val="bottom"/>
          </w:tcPr>
          <w:p>
            <w:pPr>
              <w:spacing w:after="0"/>
              <w:rPr>
                <w:sz w:val="24"/>
                <w:szCs w:val="24"/>
                <w:color w:val="auto"/>
              </w:rPr>
            </w:pPr>
          </w:p>
        </w:tc>
      </w:tr>
      <w:tr>
        <w:trPr>
          <w:trHeight w:val="132"/>
        </w:trPr>
        <w:tc>
          <w:tcPr>
            <w:tcW w:w="42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68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460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20" w:hanging="312"/>
        <w:spacing w:after="0"/>
        <w:tabs>
          <w:tab w:leader="none" w:pos="32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Troubled Asset Relief Capital Purchase Program</w:t>
      </w:r>
    </w:p>
    <w:p>
      <w:pPr>
        <w:spacing w:after="0" w:line="225"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During the quarter ended December 31, 2012, the Company paid $4.2 million to redeem, at par value, all shares of preferred stock issued to the U.S. Department of the Treasury (the “UST”) under the Troubled Asset Relief Program (“TARP”). The Company also repurchased the warrant for 67,958 shares of common stock issued to the UST in connection with TARP for $95 thousand during the quarter ended December 31, 2012.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Authorized Shares</w:t>
      </w:r>
    </w:p>
    <w:p>
      <w:pPr>
        <w:spacing w:after="0" w:line="225"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At the 2012 annual meeting of shareholders held on November 28, 2012, the Company’s shareholders approved an amendment (the “Amendment”) to the Company’s Amended and Restated Articles of Incorporation, as amended. The Amendment increased (i) the authorized shares of voting common stock, par value $1.00 per share, from 13,500,000 to 25,000,000 shares, and (ii) the authorized shares of non-voting common stock, par value $1.00 per share, from 1,500,000 to 3,000,000 shares. As a result, the total number of authorized shares of all classes of stock, including 1,000,000 shares of preferred stock, increased from 16,000,000 to 29,000,000 shares.</w:t>
      </w:r>
    </w:p>
    <w:p>
      <w:pPr>
        <w:spacing w:after="0" w:line="1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20" w:hanging="312"/>
        <w:spacing w:after="0"/>
        <w:tabs>
          <w:tab w:leader="none" w:pos="32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Commitments</w:t>
      </w:r>
    </w:p>
    <w:p>
      <w:pPr>
        <w:spacing w:after="0" w:line="225"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The Company is a party to financial instruments with off-balance sheet risk in the normal course of business to meet the financing needs of its customers and to reduce its own exposure to fluctuations in interest rates. These financial instruments include commitments to extend credit and standby letters of credit. Those instruments involve, to varying degrees, elements of credit and interest rate risk in excess of the amount recognized in the consolidated balance sheets. The contract amounts of those instruments reflect the extent of involvement the Company has in particular classes of financial instruments.</w:t>
      </w:r>
    </w:p>
    <w:p>
      <w:pPr>
        <w:spacing w:after="0" w:line="154"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The Company’s exposure to credit loss in the event of nonperformance by the other party to the financial instrument for commitments to extend credit and standby letters of credit is represented by the contractual amount of those instruments. The Company uses the same credit policies in making commitments and conditional obligations as it does for on-balance sheet instruments.</w:t>
      </w:r>
    </w:p>
    <w:p>
      <w:pPr>
        <w:sectPr>
          <w:pgSz w:w="11900" w:h="16838" w:orient="portrait"/>
          <w:cols w:equalWidth="0" w:num="1">
            <w:col w:w="11460"/>
          </w:cols>
          <w:pgMar w:left="240" w:top="125" w:right="199" w:bottom="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Financial instruments with contract amounts which represent credit risk are as follows:</w:t>
      </w:r>
    </w:p>
    <w:p>
      <w:pPr>
        <w:spacing w:after="0" w:line="217" w:lineRule="exact"/>
        <w:rPr>
          <w:sz w:val="20"/>
          <w:szCs w:val="20"/>
          <w:color w:val="auto"/>
        </w:rPr>
      </w:pPr>
    </w:p>
    <w:tbl>
      <w:tblPr>
        <w:tblLayout w:type="fixed"/>
        <w:tblInd w:w="1620" w:type="dxa"/>
        <w:tblCellMar>
          <w:top w:w="0" w:type="dxa"/>
          <w:left w:w="0" w:type="dxa"/>
          <w:bottom w:w="0" w:type="dxa"/>
          <w:right w:w="0" w:type="dxa"/>
        </w:tblCellMar>
      </w:tblPr>
      <w:tr>
        <w:trPr>
          <w:trHeight w:val="171"/>
        </w:trPr>
        <w:tc>
          <w:tcPr>
            <w:tcW w:w="4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March 31, 2013</w:t>
            </w:r>
          </w:p>
        </w:tc>
        <w:tc>
          <w:tcPr>
            <w:tcW w:w="200" w:type="dxa"/>
            <w:vAlign w:val="bottom"/>
          </w:tcPr>
          <w:p>
            <w:pPr>
              <w:spacing w:after="0"/>
              <w:rPr>
                <w:sz w:val="14"/>
                <w:szCs w:val="14"/>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June 30, 2012</w:t>
            </w:r>
          </w:p>
        </w:tc>
        <w:tc>
          <w:tcPr>
            <w:tcW w:w="0" w:type="dxa"/>
            <w:vAlign w:val="bottom"/>
          </w:tcPr>
          <w:p>
            <w:pPr>
              <w:spacing w:after="0"/>
              <w:rPr>
                <w:sz w:val="1"/>
                <w:szCs w:val="1"/>
                <w:color w:val="auto"/>
              </w:rPr>
            </w:pPr>
          </w:p>
        </w:tc>
      </w:tr>
      <w:tr>
        <w:trPr>
          <w:trHeight w:val="142"/>
        </w:trPr>
        <w:tc>
          <w:tcPr>
            <w:tcW w:w="46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3060" w:type="dxa"/>
            <w:vAlign w:val="bottom"/>
            <w:tcBorders>
              <w:top w:val="single" w:sz="8" w:color="auto"/>
            </w:tcBorders>
            <w:gridSpan w:val="4"/>
          </w:tcPr>
          <w:p>
            <w:pPr>
              <w:jc w:val="right"/>
              <w:ind w:right="852"/>
              <w:spacing w:after="0" w:line="142" w:lineRule="exact"/>
              <w:rPr>
                <w:sz w:val="20"/>
                <w:szCs w:val="20"/>
                <w:color w:val="auto"/>
              </w:rPr>
            </w:pPr>
            <w:r>
              <w:rPr>
                <w:rFonts w:ascii="Arial" w:cs="Arial" w:eastAsia="Arial" w:hAnsi="Arial"/>
                <w:sz w:val="14"/>
                <w:szCs w:val="14"/>
                <w:b w:val="1"/>
                <w:bCs w:val="1"/>
                <w:color w:val="auto"/>
              </w:rPr>
              <w:t>(Dollars in thousands)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Commitments to originate loans:</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180"/>
              <w:spacing w:after="0"/>
              <w:rPr>
                <w:sz w:val="20"/>
                <w:szCs w:val="20"/>
                <w:color w:val="auto"/>
              </w:rPr>
            </w:pPr>
            <w:r>
              <w:rPr>
                <w:rFonts w:ascii="Arial" w:cs="Arial" w:eastAsia="Arial" w:hAnsi="Arial"/>
                <w:sz w:val="18"/>
                <w:szCs w:val="18"/>
                <w:color w:val="auto"/>
              </w:rPr>
              <w:t>Residential real estate mortgages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gridSpan w:val="2"/>
          </w:tcPr>
          <w:p>
            <w:pPr>
              <w:jc w:val="right"/>
              <w:ind w:right="300"/>
              <w:spacing w:after="0"/>
              <w:rPr>
                <w:sz w:val="20"/>
                <w:szCs w:val="20"/>
                <w:color w:val="auto"/>
              </w:rPr>
            </w:pPr>
            <w:r>
              <w:rPr>
                <w:rFonts w:ascii="Arial" w:cs="Arial" w:eastAsia="Arial" w:hAnsi="Arial"/>
                <w:sz w:val="18"/>
                <w:szCs w:val="18"/>
                <w:color w:val="auto"/>
              </w:rPr>
              <w:t>17,414</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10,279</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Construction loans</w:t>
            </w:r>
          </w:p>
        </w:tc>
        <w:tc>
          <w:tcPr>
            <w:tcW w:w="1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4640" w:type="dxa"/>
            <w:vAlign w:val="bottom"/>
          </w:tcPr>
          <w:p>
            <w:pPr>
              <w:ind w:left="180"/>
              <w:spacing w:after="0"/>
              <w:rPr>
                <w:sz w:val="20"/>
                <w:szCs w:val="20"/>
                <w:color w:val="auto"/>
              </w:rPr>
            </w:pPr>
            <w:r>
              <w:rPr>
                <w:rFonts w:ascii="Arial" w:cs="Arial" w:eastAsia="Arial" w:hAnsi="Arial"/>
                <w:sz w:val="18"/>
                <w:szCs w:val="18"/>
                <w:color w:val="auto"/>
              </w:rPr>
              <w:t>Consumer</w:t>
            </w:r>
          </w:p>
        </w:tc>
        <w:tc>
          <w:tcPr>
            <w:tcW w:w="180" w:type="dxa"/>
            <w:vAlign w:val="bottom"/>
          </w:tcPr>
          <w:p>
            <w:pPr>
              <w:spacing w:after="0"/>
              <w:rPr>
                <w:sz w:val="18"/>
                <w:szCs w:val="18"/>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real estate mortgages</w:t>
            </w:r>
          </w:p>
        </w:tc>
        <w:tc>
          <w:tcPr>
            <w:tcW w:w="1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16"/>
        </w:trPr>
        <w:tc>
          <w:tcPr>
            <w:tcW w:w="4640" w:type="dxa"/>
            <w:vAlign w:val="bottom"/>
          </w:tcPr>
          <w:p>
            <w:pPr>
              <w:ind w:left="180"/>
              <w:spacing w:after="0"/>
              <w:rPr>
                <w:sz w:val="20"/>
                <w:szCs w:val="20"/>
                <w:color w:val="auto"/>
              </w:rPr>
            </w:pPr>
            <w:r>
              <w:rPr>
                <w:rFonts w:ascii="Arial" w:cs="Arial" w:eastAsia="Arial" w:hAnsi="Arial"/>
                <w:sz w:val="18"/>
                <w:szCs w:val="18"/>
                <w:color w:val="auto"/>
              </w:rPr>
              <w:t>Commercial business loans</w:t>
            </w:r>
          </w:p>
        </w:tc>
        <w:tc>
          <w:tcPr>
            <w:tcW w:w="180" w:type="dxa"/>
            <w:vAlign w:val="bottom"/>
          </w:tcPr>
          <w:p>
            <w:pPr>
              <w:spacing w:after="0"/>
              <w:rPr>
                <w:sz w:val="18"/>
                <w:szCs w:val="18"/>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8"/>
                <w:szCs w:val="18"/>
                <w:color w:val="auto"/>
              </w:rPr>
              <w:t>660</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1,145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18,074</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11,916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40" w:type="dxa"/>
            <w:vAlign w:val="bottom"/>
            <w:vMerge w:val="restart"/>
          </w:tcPr>
          <w:p>
            <w:pPr>
              <w:spacing w:after="0"/>
              <w:rPr>
                <w:sz w:val="20"/>
                <w:szCs w:val="20"/>
                <w:color w:val="auto"/>
              </w:rPr>
            </w:pPr>
            <w:r>
              <w:rPr>
                <w:rFonts w:ascii="Arial" w:cs="Arial" w:eastAsia="Arial" w:hAnsi="Arial"/>
                <w:sz w:val="18"/>
                <w:szCs w:val="18"/>
                <w:color w:val="auto"/>
              </w:rPr>
              <w:t>Unused lines of credit</w:t>
            </w: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40" w:type="dxa"/>
            <w:vAlign w:val="bottom"/>
            <w:vMerge w:val="continue"/>
          </w:tcPr>
          <w:p>
            <w:pPr>
              <w:spacing w:after="0"/>
              <w:rPr>
                <w:sz w:val="17"/>
                <w:szCs w:val="17"/>
                <w:color w:val="auto"/>
              </w:rPr>
            </w:pP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31,915</w:t>
            </w:r>
          </w:p>
        </w:tc>
        <w:tc>
          <w:tcPr>
            <w:tcW w:w="300" w:type="dxa"/>
            <w:vAlign w:val="bottom"/>
            <w:vMerge w:val="continue"/>
          </w:tcPr>
          <w:p>
            <w:pPr>
              <w:spacing w:after="0"/>
              <w:rPr>
                <w:sz w:val="17"/>
                <w:szCs w:val="17"/>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36,276</w:t>
            </w:r>
          </w:p>
        </w:tc>
        <w:tc>
          <w:tcPr>
            <w:tcW w:w="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Standby letters of credit</w:t>
            </w:r>
          </w:p>
        </w:tc>
        <w:tc>
          <w:tcPr>
            <w:tcW w:w="1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417</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30"/>
        </w:trPr>
        <w:tc>
          <w:tcPr>
            <w:tcW w:w="4640" w:type="dxa"/>
            <w:vAlign w:val="bottom"/>
          </w:tcPr>
          <w:p>
            <w:pPr>
              <w:spacing w:after="0"/>
              <w:rPr>
                <w:sz w:val="20"/>
                <w:szCs w:val="20"/>
                <w:color w:val="auto"/>
              </w:rPr>
            </w:pPr>
            <w:r>
              <w:rPr>
                <w:rFonts w:ascii="Arial" w:cs="Arial" w:eastAsia="Arial" w:hAnsi="Arial"/>
                <w:sz w:val="18"/>
                <w:szCs w:val="18"/>
                <w:color w:val="auto"/>
              </w:rPr>
              <w:t>Unadvanced portions of construction loans</w:t>
            </w:r>
          </w:p>
        </w:tc>
        <w:tc>
          <w:tcPr>
            <w:tcW w:w="180" w:type="dxa"/>
            <w:vAlign w:val="bottom"/>
          </w:tcPr>
          <w:p>
            <w:pPr>
              <w:spacing w:after="0"/>
              <w:rPr>
                <w:sz w:val="20"/>
                <w:szCs w:val="20"/>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20"/>
                <w:szCs w:val="20"/>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Commitments to extend credit are agreements to lend to a customer as long as there is no violation of any condition established in the contract. Commitments generally have fixed expiration dates or other termination clauses and may require payment of a fee. Since many of the commitments are expected to expire without being drawn upon, the total commitment amounts do not necessarily represent future cash requirements. The Company evaluates each customer’s credit worthiness on a case-by-case basis. The amount of collateral obtained, if deemed necessary by the Company upon extension of credit, is based on management’s credit evaluation of the counter party. Collateral held varies but may include accounts receivable, inventory, property, plant and equipment, and income-producing commercial properties.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Contingencies</w:t>
      </w:r>
    </w:p>
    <w:p>
      <w:pPr>
        <w:spacing w:after="0" w:line="225"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The Company and its subsidiary are parties to litigation and claims arising in the normal course of business. Management believes that the liabilities, if any, arising from such litigation and claims will not be material to the Company’s consolidated financial position or results of operations.</w:t>
      </w:r>
    </w:p>
    <w:p>
      <w:pPr>
        <w:spacing w:after="0" w:line="14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August 2011, the Bank received a summons and complaint in TSM Properties, LLC v. Northeast Bank and Daniel G. Thompson, Docket No. BCD-CV-12-10, State of Maine Superior Court Business and Consumer Docket sitting in Portland, Cumberland County, Maine, in connection with a dispute regarding transfers of money that involves the Bank. Damages sought include $2.2 million and additional unspecified amounts. The Bank intends to vigorously defend against these claims. While it is not feasible to predict or determine the outcome of these proceedings, the Company believes that a loss resulting from an adverse outcome to this matter is reasonably possible, though the amount of the loss is not determinable at this time. As such, the Company has not established a reserve against potential damages arising from this matter.</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u w:val="single" w:color="auto"/>
          <w:color w:val="auto"/>
        </w:rPr>
        <w:t>Management’s Discussion and Analysis of Financial Condition and Results of Operations</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discussion should be read in conjunction with the consolidated financial statements, notes and tables included in Northeast Bancorp’s Annual Report on Form 10-K for the fiscal year ended June 30, 2012, filed with the Securities and Exchange Commission.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Note about Forward Looking Statements</w:t>
      </w:r>
    </w:p>
    <w:p>
      <w:pPr>
        <w:spacing w:after="0" w:line="229"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This report contains certain “forward-looking statements” within the meaning of Section 27A of the Securities Act of 1933, as amended and Section 21E of the Securities Exchange Act of 1934, as amended, such as statements relating to the Company’s financial condition, prospective results of operations, future performance or expectations, plans, objectives, prospects, loan loss allowance adequacy, simulation of changes in interest rates, capital spending and finance sources and revenue sources. These statements relate to expectations concerning matters that are not historical facts. Accordingly, statements that are based on management’s projections, estimates, assumptions, and judgments constitute forward-looking statements. These forward-looking statements, which are based on various assumptions (some of which are beyond the Company’s control), may be identified by reference to a future period or periods, or by the use of forward-looking terminology such as “believe”, “expect”, “estimate”, “anticipate”, “continue”, “plan”, “approximately”, “intend”, “objective”, “goal”, “project”, or other similar terms or variations on those terms, or the future or conditional verbs such as “will”, “may”, “should”, “could”, and “would”. Although the Company believes that these forward-looking statements are based on reasonable estimates and assumptions, they are not guarantees of future performance and are subject to known and unknown risks, uncertainties, contingencies, and other factors. Accordingly, the Company cannot give you any assurance that its expectations will, in fact, occur or that its estimates or assumptions will be correct. The Company cautions you that actual results could differ materially from those expressed or implied by such forward-looking statements as a result of, among other factors, changes in interest rates and real estate values; competitive pressures from other financial institutions; the effects of a continuing deterioration in general economic conditions on a national basis or in the local markets in which the Company operates, including changes which adversely affect borrowers’ ability to service and repay the Company’s loans; changes in loan defaults and charge-off rates; changes in the value of securities and other assets, adequacy of loan loss reserves, or deposit levels necessitating increased borrowing to fund loans and investments; changes in government regulation; the risk that the Company may not be successful in the implementation of its business strategy; the risk that intangibles recorded in the Company’s financial statements will become impaired; changes in assumptions used in making such forward-looking statements; and the other risks and uncertainties detailed in the Company’s Annual Report on Form 10-K for the fiscal year ended June 30, 2012 as updated in the Company’s Quarterly Reports on Form 10-Q and other filings submitted to the Securities and Exchange Commission. These forward-looking statements speak only as of the date of this report and the Company does not undertake any obligation to update or revise any of these forward-looking statements to reflect events or circumstances occurring after the date of this report or to reflect the occurrence of unanticipated events.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 and Strategy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Business Overview</w:t>
      </w:r>
    </w:p>
    <w:p>
      <w:pPr>
        <w:spacing w:after="0" w:line="225"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Northeast Bancorp (“we,” “our,” “us,” “Northeast” or the “Company”), a Maine corporation chartered in April 1987, is a bank holding company registered with the Board of Governors of the Federal Reserve System (“Federal Reserve”) under the Bank Holding Company Act of 1956, as amended. The Company’s primary subsidiary and principal asset is its wholly-owned banking subsidiary, Northeast Bank (the “Bank” or “Northeast Bank”). The Bank, which was</w:t>
      </w:r>
    </w:p>
    <w:p>
      <w:pPr>
        <w:sectPr>
          <w:pgSz w:w="11900" w:h="16838" w:orient="portrait"/>
          <w:cols w:equalWidth="0" w:num="1">
            <w:col w:w="11420"/>
          </w:cols>
          <w:pgMar w:left="240" w:top="125" w:right="239" w:bottom="0" w:gutter="0" w:footer="0" w:header="0"/>
        </w:sectPr>
      </w:pPr>
    </w:p>
    <w:bookmarkStart w:id="23" w:name="page24"/>
    <w:bookmarkEnd w:id="23"/>
    <w:p>
      <w:pPr>
        <w:spacing w:after="0" w:line="32"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originally organized in 1872 as a Maine-chartered mutual savings bank and was formerly known as Bethel Savings Bank F.S.B., is a Maine state-chartered bank and a member of the Federal Reserve System. As such, the Company and the Bank are currently subject to the regulatory oversight of the Federal Reserve and the State of Maine Bureau of Financial Institutions (the “Bureau”).</w:t>
      </w:r>
    </w:p>
    <w:p>
      <w:pPr>
        <w:spacing w:after="0" w:line="181"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 xml:space="preserve">On December 29, 2010, the merger of the Company and FHB Formation LLC, a Delaware limited liability company (“FHB”), was consummated. As a result of the merger, the surviving company received a capital contribution of $16.2 million (in addition to the approximately $13.1 million in cash consideration paid to former shareholders), and the former members of FHB collectively acquired approximately 60% of the Company’s outstanding common stock. The Company applied the acquisition method of accounting, as described in Accounting Standards Codification (“ASC”)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xml:space="preserve"> (“ASC 805”) to the merger, which represents an acquisition by FHB of Northeast, with Northeast as the surviving company.</w:t>
      </w:r>
    </w:p>
    <w:p>
      <w:pPr>
        <w:spacing w:after="0" w:line="173"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In connection with the transaction, as part of the regulatory approval process, the Company and the Bank made certain commitments to the Federal Reserve and the Bureau, the most significant of which are (i) to maintain a Tier 1 leverage ratio of at least 10%, (ii) to maintain a total risk-based capital ratio of at least 15%, (iii) to limit purchased loans to 40% of total loans, (iv) to fund 100% of the Company’s loans with core deposits (defined as non-maturity deposits and non-brokered insured time deposits), and (v) to hold commercial real estate loans (including owner-occupied commercial real estate) to within 300% of total risk-based capital. The Company and the Bank are currently in compliance with all commitments to the Federal Reserve and the Bureau.</w:t>
      </w:r>
    </w:p>
    <w:p>
      <w:pPr>
        <w:spacing w:after="0" w:line="15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of March 31, 2013, the Company, on a consolidated basis, had total assets of $699.6 million, total deposits of $505.6 million, and stockholders’ equity of $115.7 million. The Company gathers retail deposits through its Community Banking Division’s banking offices in Maine and through its online affinity deposit program, ableBanking; originates loans through its Community Banking Division; and purchases primarily performing commercial real estate loans at a discount and, to a lesser extent, originates commercial loans through the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Bank’s Loan Acquisition and Servicing Group (“LASG”). The Company operates the Community Banking Division from Lewiston, Maine, which operates ten full-service branches, some with investment centers, and five loan production offices that serve individuals and businesses located in western and south-central Maine, southern New Hampshire, and southeastern Massachusetts. The Company operates ableBanking and the LASG from its offices in Boston, Massachusetts.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In August of 2011, the Company sold the customer lists and certain other assets of its insurance agency division, Northeast Bank Insurance Group (“NBIG”).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operations of NBIG have been reported as discontinued operations in the consolidated financial statements and in the discussion herein.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 May of 2012, the Company raised net proceeds of $52.7 million through the sale of shares of its common stock.</w:t>
      </w:r>
    </w:p>
    <w:p>
      <w:pPr>
        <w:spacing w:after="0" w:line="225"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During the quarter ended December 31, 2012, the Company redeemed, at par value, all shares of preferred stock issued to the U.S. Department of the Treasury (the “UST”) under the Troubled Asset Relief Program (“TARP”). The Company also repurchased the warrant for 67,958 shares of common stock issued to the UST in connection with TARP for $95 thousand during the quarter ended December 31, 2012.</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Unless the context otherwise requires, references herein to the Company include the Company and its subsidiary, the Bank, on a consolidated basis.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Strategy</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Company’s goal is to prudently grow its franchise, while maintaining sound operations and risk management, by implementing the following strategies:</w:t>
      </w:r>
    </w:p>
    <w:p>
      <w:pPr>
        <w:spacing w:after="0" w:line="248"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i w:val="1"/>
          <w:iCs w:val="1"/>
          <w:color w:val="auto"/>
        </w:rPr>
        <w:t>Measured growth of the purchased loan portfolio</w:t>
      </w:r>
      <w:r>
        <w:rPr>
          <w:rFonts w:ascii="Arial" w:cs="Arial" w:eastAsia="Arial" w:hAnsi="Arial"/>
          <w:sz w:val="18"/>
          <w:szCs w:val="18"/>
          <w:color w:val="auto"/>
        </w:rPr>
        <w:t>. The LASG purchases primarily performing commercial real estate loans, on a nationwide basis, at a</w:t>
      </w:r>
      <w:r>
        <w:rPr>
          <w:rFonts w:ascii="Arial" w:cs="Arial" w:eastAsia="Arial" w:hAnsi="Arial"/>
          <w:sz w:val="18"/>
          <w:szCs w:val="18"/>
          <w:i w:val="1"/>
          <w:iCs w:val="1"/>
          <w:color w:val="auto"/>
        </w:rPr>
        <w:t xml:space="preserve"> </w:t>
      </w:r>
      <w:r>
        <w:rPr>
          <w:rFonts w:ascii="Arial" w:cs="Arial" w:eastAsia="Arial" w:hAnsi="Arial"/>
          <w:sz w:val="18"/>
          <w:szCs w:val="18"/>
          <w:color w:val="auto"/>
        </w:rPr>
        <w:t>discount from their outstanding principal balances, producing yields higher than those normally achieved on our originated loan portfolio. To a lesser extent, the LASG originates commercial loans opportunistically on a nationwide basis.</w:t>
      </w:r>
    </w:p>
    <w:p>
      <w:pPr>
        <w:spacing w:after="0" w:line="181"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Loans are purchased on a nationwide basis from a variety of sources, including banks, insurance companies, investment funds and government agencies, either directly or indirectly through a broker. We expect that loans purchased by the LASG will, subject to compliance with applicable regulatory commitments, represent an increasing percentage of our total loan portfolio in the future.</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Focus on core deposits</w:t>
      </w:r>
      <w:r>
        <w:rPr>
          <w:rFonts w:ascii="Arial" w:cs="Arial" w:eastAsia="Arial" w:hAnsi="Arial"/>
          <w:sz w:val="18"/>
          <w:szCs w:val="18"/>
          <w:color w:val="auto"/>
        </w:rPr>
        <w:t>. The Bank offers a full line of deposit products to customers in the Community Banking Division’s market area through its ten-branch</w:t>
      </w:r>
      <w:r>
        <w:rPr>
          <w:rFonts w:ascii="Arial" w:cs="Arial" w:eastAsia="Arial" w:hAnsi="Arial"/>
          <w:sz w:val="18"/>
          <w:szCs w:val="18"/>
          <w:i w:val="1"/>
          <w:iCs w:val="1"/>
          <w:color w:val="auto"/>
        </w:rPr>
        <w:t xml:space="preserve"> </w:t>
      </w:r>
      <w:r>
        <w:rPr>
          <w:rFonts w:ascii="Arial" w:cs="Arial" w:eastAsia="Arial" w:hAnsi="Arial"/>
          <w:sz w:val="18"/>
          <w:szCs w:val="18"/>
          <w:color w:val="auto"/>
        </w:rPr>
        <w:t>network. In addition, we launched our online affinity deposit program, ableBanking, a division of Northeast Bank, to the public in the quarter ended June 30, 2012. One of the Company’s strategic goals is for ableBanking to provide an additional channel through which to raise core deposits to fund the acquisition of loans by the LASG.</w:t>
      </w:r>
    </w:p>
    <w:p>
      <w:pPr>
        <w:spacing w:after="0" w:line="187"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i w:val="1"/>
          <w:iCs w:val="1"/>
          <w:color w:val="auto"/>
        </w:rPr>
        <w:t xml:space="preserve">Continuing our community banking tradition. </w:t>
      </w:r>
      <w:r>
        <w:rPr>
          <w:rFonts w:ascii="Arial" w:cs="Arial" w:eastAsia="Arial" w:hAnsi="Arial"/>
          <w:sz w:val="17"/>
          <w:szCs w:val="17"/>
          <w:color w:val="auto"/>
        </w:rPr>
        <w:t>The Community Banking Division retains a high degree of local autonomy and operational flexibility to better</w:t>
      </w:r>
      <w:r>
        <w:rPr>
          <w:rFonts w:ascii="Arial" w:cs="Arial" w:eastAsia="Arial" w:hAnsi="Arial"/>
          <w:sz w:val="17"/>
          <w:szCs w:val="17"/>
          <w:i w:val="1"/>
          <w:iCs w:val="1"/>
          <w:color w:val="auto"/>
        </w:rPr>
        <w:t xml:space="preserve"> </w:t>
      </w:r>
      <w:r>
        <w:rPr>
          <w:rFonts w:ascii="Arial" w:cs="Arial" w:eastAsia="Arial" w:hAnsi="Arial"/>
          <w:sz w:val="17"/>
          <w:szCs w:val="17"/>
          <w:color w:val="auto"/>
        </w:rPr>
        <w:t>serve its customers. The Community Banking Division’s focus on sales and service is expected to allow us to attract and retain core deposits in support of balance sheet growth, and to continue to generate new loans, particularly through the efforts of the residential mortgage origination team.</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Critical accounting policies are those that involve significant judgments and assessments by management, and which could potentially result in materially different results under different assumptions and conditions. The reader is encouraged to review each of the policies included in Form 10-K for the year ended June 30, 2012 to gain a better understanding of how Northeast’s financial performance is measured and reported. There has been no material change in critical accounting policies during the nine months ended March 31, 2013.</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ectPr>
          <w:pgSz w:w="11900" w:h="16870" w:orient="portrait"/>
          <w:cols w:equalWidth="0" w:num="1">
            <w:col w:w="11400"/>
          </w:cols>
          <w:pgMar w:left="240" w:top="125" w:right="259" w:bottom="0" w:gutter="0" w:footer="0" w:header="0"/>
        </w:sectPr>
      </w:pPr>
    </w:p>
    <w:bookmarkStart w:id="24" w:name="page25"/>
    <w:bookmarkEnd w:id="24"/>
    <w:p>
      <w:pPr>
        <w:spacing w:after="0" w:line="62"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Net income was $1.7 million for the quarter ended March 31, 2013, compared to $168 thousand for the quarter ended March 31, 2012. Net income for the nine months ended March 31, 2013 was $4.2 million, compared to $1.1 million for the nine months ended March 31, 2012. Net income for the nine months ended March 31, 2012 included $1.1 million from discontinued operations.</w:t>
      </w:r>
    </w:p>
    <w:p>
      <w:pPr>
        <w:spacing w:after="0" w:line="181"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Net income available to common stockholders was $1.7 million, or $0.16 per diluted common share, for the quarter ended March 31, 2013, compared to $70 thousand, or $0.02 per diluted common share, for the quarter ended March 31, 2012. Net income available to common stockholders for the nine months ended March 31, 2013 was $3.9 million, or $0.37 per diluted common share, compared to $821 thousand, or $0.23 per diluted common share, for the nine months ended March 31, 2012. Weighted average shares outstanding increased to 10.4 million shares in each of the current year periods from 3.5 million shares in the Fiscal 2012 periods principally as a result of the Company’s public offering of common stock in May 2012.</w:t>
      </w:r>
    </w:p>
    <w:p>
      <w:pPr>
        <w:spacing w:after="0" w:line="173"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Net interest and dividend income increased by $3.5 million, or 73.6%, to $8.3 million for the quarter ended March 31, 2013 compared to the quarter ended March 31, 2012, principally due to growth in the purchased loan portfolio. This result is evident in the net interest margin, which increased to 5.07% for the quarter ended March 31, 2013, compared to 3.44% for the quarter ended March 31, 2012.</w:t>
      </w:r>
    </w:p>
    <w:p>
      <w:pPr>
        <w:spacing w:after="0" w:line="181"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Noninterest income increased by $653 thousand, or 23.8%, to 3.4 million for the quarter ended March 31, 2013 compared to the quarter ended March 31, 2012, principally due to gains of $1.2 million from sales of LASG-purchased loans partially offset by lower security gains of $731 thousand.</w:t>
      </w:r>
    </w:p>
    <w:p>
      <w:pPr>
        <w:spacing w:after="0" w:line="124"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Noninterest expense increased by $1.6 million, or 22.1%, to $8.8 million for the quarter ended March 31, 2013 compared to the quarter ended March 31, 2012, principally due to an increase of $1.2 million in employee compensation resulting from higher incentive compensation and staffing levels.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Overview</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Total assets increased by $30.4 million, or 4.5%, to $699.6 million at March 31, 2013, compared to June 30, 2012. The principal components of the change in the balance sheet were as follows:</w:t>
      </w:r>
    </w:p>
    <w:p>
      <w:pPr>
        <w:spacing w:after="0" w:line="170" w:lineRule="exact"/>
        <w:rPr>
          <w:sz w:val="20"/>
          <w:szCs w:val="20"/>
          <w:color w:val="auto"/>
        </w:rPr>
      </w:pPr>
    </w:p>
    <w:p>
      <w:pPr>
        <w:ind w:left="6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loan portfolio grew by $24.1 million, or 6.8%, principally due to net growth of $58.9 million in commercial loans purchased or originated by the LASG, offset by net amortization and payoffs of $34.8 million in the Community Banking Division loan portfolio.</w:t>
      </w:r>
    </w:p>
    <w:p>
      <w:pPr>
        <w:spacing w:after="0" w:line="170" w:lineRule="exact"/>
        <w:rPr>
          <w:rFonts w:ascii="Arial" w:cs="Arial" w:eastAsia="Arial" w:hAnsi="Arial"/>
          <w:sz w:val="18"/>
          <w:szCs w:val="18"/>
          <w:color w:val="auto"/>
        </w:rPr>
      </w:pPr>
    </w:p>
    <w:p>
      <w:pPr>
        <w:ind w:left="660" w:right="420" w:hanging="328"/>
        <w:spacing w:after="0" w:line="342"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Deposits increased by $83.4 million, or 19.8%, due primarily to a $68.0 million increase in deposits raised through ableBanking. At March 31, 2013, ableBanking deposits stood at $70.8 million, consisting of $37.2 million of time deposits and $33.5 million of money market accounts.</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Borrowings decreased by $49.9 million, or 41.2%, as a result of the repayment at maturity of structured repurchase agreements and FHLB advances.</w:t>
      </w:r>
    </w:p>
    <w:p>
      <w:pPr>
        <w:spacing w:after="0" w:line="248"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Stockholders’ equity decreased by $3.4 million, or 2.9%, primarily due to the redemption of TARP preferred stock and warrants totaling $4.3 million in the quarter ended December 31, 2012.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Short-term Investments and Securities</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Cash and short-term investments were $142.6 million as of March 31, 2013, an increase of $14.3 million, or 11.1%, from $128.3 million at June 30, 2012. This increase is principally due to deposit growth of $83.4 million, offset by the result of the following: (i) net loan growth of $24.1 million, (ii) net reduction in borrowed funds of $49.9 million, and (iii) a net reduction in stockholders’ equity of $3.4 million, principally due to the redemption of TARP preferred stock and warrants.</w:t>
      </w:r>
    </w:p>
    <w:p>
      <w:pPr>
        <w:spacing w:after="0" w:line="187"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Available-for-sale securities, consisting of securities issued by government agencies and government-sponsored enterprises, totaled $128.5 million as of March 31, 2013. At March 31, 2013, securities with a fair value of $50.2 million were pledged for outstanding borrowings.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 Portfolio</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Total loans, excluding loans held for sale, amounted to $380.3 million as of March 31, 2013, an increase of $24.1 million, or 6.8%, from $356.3 million as of June 30, 2012. The increase consisted of growth in the purchased loan portfolio of $46.0 million, partially offset by a $21.9 million decrease in originated loans. The net decrease in originated loans consisted of a $34.8 million decrease in loans originated by the Community Banking Division and a net increase of $12.9 million of LASG-originated commercial loans. The decrease in Community Banking Division loans was principally due to net runoff in residential and commercial real estate loan portfolios.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composition of the Company’s loan portfolio follows.</w:t>
      </w:r>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38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2"/>
          </w:tcPr>
          <w:p>
            <w:pPr>
              <w:jc w:val="center"/>
              <w:ind w:left="564"/>
              <w:spacing w:after="0"/>
              <w:rPr>
                <w:sz w:val="20"/>
                <w:szCs w:val="20"/>
                <w:color w:val="auto"/>
              </w:rPr>
            </w:pPr>
            <w:r>
              <w:rPr>
                <w:rFonts w:ascii="Arial" w:cs="Arial" w:eastAsia="Arial" w:hAnsi="Arial"/>
                <w:sz w:val="14"/>
                <w:szCs w:val="14"/>
                <w:b w:val="1"/>
                <w:bCs w:val="1"/>
                <w:color w:val="auto"/>
                <w:w w:val="96"/>
              </w:rPr>
              <w:t>March 31, 2013</w:t>
            </w:r>
          </w:p>
        </w:tc>
        <w:tc>
          <w:tcPr>
            <w:tcW w:w="11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tcPr>
          <w:p>
            <w:pPr>
              <w:jc w:val="center"/>
              <w:ind w:right="204"/>
              <w:spacing w:after="0" w:line="119" w:lineRule="exact"/>
              <w:rPr>
                <w:sz w:val="20"/>
                <w:szCs w:val="20"/>
                <w:color w:val="auto"/>
              </w:rPr>
            </w:pPr>
            <w:r>
              <w:rPr>
                <w:rFonts w:ascii="Arial" w:cs="Arial" w:eastAsia="Arial" w:hAnsi="Arial"/>
                <w:sz w:val="13"/>
                <w:szCs w:val="13"/>
                <w:b w:val="1"/>
                <w:bCs w:val="1"/>
                <w:color w:val="auto"/>
              </w:rPr>
              <w:t>Community</w:t>
            </w:r>
          </w:p>
        </w:tc>
        <w:tc>
          <w:tcPr>
            <w:tcW w:w="420" w:type="dxa"/>
            <w:vAlign w:val="bottom"/>
          </w:tcPr>
          <w:p>
            <w:pPr>
              <w:spacing w:after="0"/>
              <w:rPr>
                <w:sz w:val="10"/>
                <w:szCs w:val="10"/>
                <w:color w:val="auto"/>
              </w:rPr>
            </w:pPr>
          </w:p>
        </w:tc>
        <w:tc>
          <w:tcPr>
            <w:tcW w:w="1200" w:type="dxa"/>
            <w:vAlign w:val="bottom"/>
            <w:vMerge w:val="restart"/>
          </w:tcPr>
          <w:p>
            <w:pPr>
              <w:jc w:val="right"/>
              <w:ind w:right="544"/>
              <w:spacing w:after="0"/>
              <w:rPr>
                <w:sz w:val="20"/>
                <w:szCs w:val="20"/>
                <w:color w:val="auto"/>
              </w:rPr>
            </w:pPr>
            <w:r>
              <w:rPr>
                <w:rFonts w:ascii="Arial" w:cs="Arial" w:eastAsia="Arial" w:hAnsi="Arial"/>
                <w:sz w:val="14"/>
                <w:szCs w:val="14"/>
                <w:b w:val="1"/>
                <w:bCs w:val="1"/>
                <w:color w:val="auto"/>
              </w:rPr>
              <w:t>LASG</w:t>
            </w:r>
          </w:p>
        </w:tc>
        <w:tc>
          <w:tcPr>
            <w:tcW w:w="560" w:type="dxa"/>
            <w:vAlign w:val="bottom"/>
          </w:tcPr>
          <w:p>
            <w:pPr>
              <w:spacing w:after="0"/>
              <w:rPr>
                <w:sz w:val="10"/>
                <w:szCs w:val="10"/>
                <w:color w:val="auto"/>
              </w:rPr>
            </w:pPr>
          </w:p>
        </w:tc>
        <w:tc>
          <w:tcPr>
            <w:tcW w:w="1180" w:type="dxa"/>
            <w:vAlign w:val="bottom"/>
            <w:vMerge w:val="restart"/>
          </w:tcPr>
          <w:p>
            <w:pPr>
              <w:jc w:val="right"/>
              <w:ind w:right="679"/>
              <w:spacing w:after="0"/>
              <w:rPr>
                <w:sz w:val="20"/>
                <w:szCs w:val="20"/>
                <w:color w:val="auto"/>
              </w:rPr>
            </w:pPr>
            <w:r>
              <w:rPr>
                <w:rFonts w:ascii="Arial" w:cs="Arial" w:eastAsia="Arial" w:hAnsi="Arial"/>
                <w:sz w:val="14"/>
                <w:szCs w:val="14"/>
                <w:b w:val="1"/>
                <w:bCs w:val="1"/>
                <w:color w:val="auto"/>
              </w:rPr>
              <w:t>Total</w:t>
            </w:r>
          </w:p>
        </w:tc>
        <w:tc>
          <w:tcPr>
            <w:tcW w:w="156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Percent of Total</w:t>
            </w:r>
          </w:p>
        </w:tc>
        <w:tc>
          <w:tcPr>
            <w:tcW w:w="0" w:type="dxa"/>
            <w:vAlign w:val="bottom"/>
          </w:tcPr>
          <w:p>
            <w:pPr>
              <w:spacing w:after="0"/>
              <w:rPr>
                <w:sz w:val="1"/>
                <w:szCs w:val="1"/>
                <w:color w:val="auto"/>
              </w:rPr>
            </w:pPr>
          </w:p>
        </w:tc>
      </w:tr>
      <w:tr>
        <w:trPr>
          <w:trHeight w:val="171"/>
        </w:trPr>
        <w:tc>
          <w:tcPr>
            <w:tcW w:w="3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jc w:val="center"/>
              <w:ind w:right="204"/>
              <w:spacing w:after="0"/>
              <w:rPr>
                <w:sz w:val="20"/>
                <w:szCs w:val="20"/>
                <w:color w:val="auto"/>
              </w:rPr>
            </w:pPr>
            <w:r>
              <w:rPr>
                <w:rFonts w:ascii="Arial" w:cs="Arial" w:eastAsia="Arial" w:hAnsi="Arial"/>
                <w:sz w:val="14"/>
                <w:szCs w:val="14"/>
                <w:b w:val="1"/>
                <w:bCs w:val="1"/>
                <w:color w:val="auto"/>
                <w:w w:val="93"/>
              </w:rPr>
              <w:t>Banking Division</w:t>
            </w:r>
          </w:p>
        </w:tc>
        <w:tc>
          <w:tcPr>
            <w:tcW w:w="42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940" w:type="dxa"/>
            <w:vAlign w:val="bottom"/>
            <w:tcBorders>
              <w:top w:val="single" w:sz="8" w:color="auto"/>
            </w:tcBorders>
            <w:gridSpan w:val="3"/>
          </w:tcPr>
          <w:p>
            <w:pPr>
              <w:jc w:val="center"/>
              <w:ind w:right="459"/>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14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Originated loans:</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38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Residential real estate</w:t>
            </w:r>
          </w:p>
        </w:tc>
        <w:tc>
          <w:tcPr>
            <w:tcW w:w="12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CCEEFF"/>
            </w:tcBorders>
          </w:tcPr>
          <w:p>
            <w:pPr>
              <w:jc w:val="right"/>
              <w:ind w:right="64"/>
              <w:spacing w:after="0"/>
              <w:rPr>
                <w:sz w:val="20"/>
                <w:szCs w:val="20"/>
                <w:color w:val="auto"/>
              </w:rPr>
            </w:pPr>
            <w:r>
              <w:rPr>
                <w:rFonts w:ascii="Arial" w:cs="Arial" w:eastAsia="Arial" w:hAnsi="Arial"/>
                <w:sz w:val="18"/>
                <w:szCs w:val="18"/>
                <w:color w:val="auto"/>
              </w:rPr>
              <w:t>82,058</w:t>
            </w:r>
          </w:p>
        </w:tc>
        <w:tc>
          <w:tcPr>
            <w:tcW w:w="420" w:type="dxa"/>
            <w:vAlign w:val="bottom"/>
            <w:tcBorders>
              <w:bottom w:val="single" w:sz="8" w:color="CCEEFF"/>
            </w:tcBorders>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tcPr>
          <w:p>
            <w:pPr>
              <w:jc w:val="right"/>
              <w:ind w:right="64"/>
              <w:spacing w:after="0"/>
              <w:rPr>
                <w:sz w:val="20"/>
                <w:szCs w:val="20"/>
                <w:color w:val="auto"/>
              </w:rPr>
            </w:pPr>
            <w:r>
              <w:rPr>
                <w:rFonts w:ascii="Arial" w:cs="Arial" w:eastAsia="Arial" w:hAnsi="Arial"/>
                <w:sz w:val="18"/>
                <w:szCs w:val="18"/>
                <w:color w:val="auto"/>
              </w:rPr>
              <w:t>150</w:t>
            </w:r>
          </w:p>
        </w:tc>
        <w:tc>
          <w:tcPr>
            <w:tcW w:w="560" w:type="dxa"/>
            <w:vAlign w:val="bottom"/>
            <w:tcBorders>
              <w:bottom w:val="single" w:sz="8" w:color="CCEEFF"/>
            </w:tcBorders>
          </w:tcPr>
          <w:p>
            <w:pPr>
              <w:jc w:val="right"/>
              <w:ind w:right="23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tcPr>
          <w:p>
            <w:pPr>
              <w:jc w:val="right"/>
              <w:ind w:right="159"/>
              <w:spacing w:after="0"/>
              <w:rPr>
                <w:sz w:val="20"/>
                <w:szCs w:val="20"/>
                <w:color w:val="auto"/>
              </w:rPr>
            </w:pPr>
            <w:r>
              <w:rPr>
                <w:rFonts w:ascii="Arial" w:cs="Arial" w:eastAsia="Arial" w:hAnsi="Arial"/>
                <w:sz w:val="18"/>
                <w:szCs w:val="18"/>
                <w:color w:val="auto"/>
              </w:rPr>
              <w:t>82,208</w:t>
            </w:r>
          </w:p>
        </w:tc>
        <w:tc>
          <w:tcPr>
            <w:tcW w:w="156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21.62%</w:t>
            </w:r>
          </w:p>
        </w:tc>
        <w:tc>
          <w:tcPr>
            <w:tcW w:w="0" w:type="dxa"/>
            <w:vAlign w:val="bottom"/>
          </w:tcPr>
          <w:p>
            <w:pPr>
              <w:spacing w:after="0"/>
              <w:rPr>
                <w:sz w:val="1"/>
                <w:szCs w:val="1"/>
                <w:color w:val="auto"/>
              </w:rPr>
            </w:pPr>
          </w:p>
        </w:tc>
      </w:tr>
    </w:tbl>
    <w:p>
      <w:pPr>
        <w:sectPr>
          <w:pgSz w:w="11900" w:h="16900" w:orient="portrait"/>
          <w:cols w:equalWidth="0" w:num="1">
            <w:col w:w="11400"/>
          </w:cols>
          <w:pgMar w:left="240" w:top="341" w:right="259" w:bottom="0" w:gutter="0" w:footer="0" w:header="0"/>
        </w:sectPr>
      </w:pPr>
    </w:p>
    <w:bookmarkStart w:id="25" w:name="page26"/>
    <w:bookmarkEnd w:id="25"/>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3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Home equity</w:t>
            </w: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37,848</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37,848</w:t>
            </w:r>
          </w:p>
        </w:tc>
        <w:tc>
          <w:tcPr>
            <w:tcW w:w="1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9.95%</w:t>
            </w:r>
          </w:p>
        </w:tc>
        <w:tc>
          <w:tcPr>
            <w:tcW w:w="0" w:type="dxa"/>
            <w:vAlign w:val="bottom"/>
          </w:tcPr>
          <w:p>
            <w:pPr>
              <w:spacing w:after="0"/>
              <w:rPr>
                <w:sz w:val="1"/>
                <w:szCs w:val="1"/>
                <w:color w:val="auto"/>
              </w:rPr>
            </w:pPr>
          </w:p>
        </w:tc>
      </w:tr>
      <w:tr>
        <w:trPr>
          <w:trHeight w:val="216"/>
        </w:trPr>
        <w:tc>
          <w:tcPr>
            <w:tcW w:w="3840" w:type="dxa"/>
            <w:vAlign w:val="bottom"/>
          </w:tcPr>
          <w:p>
            <w:pPr>
              <w:ind w:left="180"/>
              <w:spacing w:after="0"/>
              <w:rPr>
                <w:sz w:val="20"/>
                <w:szCs w:val="20"/>
                <w:color w:val="auto"/>
              </w:rPr>
            </w:pPr>
            <w:r>
              <w:rPr>
                <w:rFonts w:ascii="Arial" w:cs="Arial" w:eastAsia="Arial" w:hAnsi="Arial"/>
                <w:sz w:val="18"/>
                <w:szCs w:val="18"/>
                <w:color w:val="auto"/>
              </w:rPr>
              <w:t>Commercial real estate</w:t>
            </w:r>
          </w:p>
        </w:tc>
        <w:tc>
          <w:tcPr>
            <w:tcW w:w="120" w:type="dxa"/>
            <w:vAlign w:val="bottom"/>
          </w:tcPr>
          <w:p>
            <w:pPr>
              <w:spacing w:after="0"/>
              <w:rPr>
                <w:sz w:val="18"/>
                <w:szCs w:val="18"/>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84,812</w:t>
            </w:r>
          </w:p>
        </w:tc>
        <w:tc>
          <w:tcPr>
            <w:tcW w:w="3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12,364</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97,176</w:t>
            </w: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25.56%</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Construction</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w:t>
            </w:r>
          </w:p>
        </w:tc>
        <w:tc>
          <w:tcPr>
            <w:tcW w:w="1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3840" w:type="dxa"/>
            <w:vAlign w:val="bottom"/>
          </w:tcPr>
          <w:p>
            <w:pPr>
              <w:ind w:left="180"/>
              <w:spacing w:after="0"/>
              <w:rPr>
                <w:sz w:val="20"/>
                <w:szCs w:val="20"/>
                <w:color w:val="auto"/>
              </w:rPr>
            </w:pPr>
            <w:r>
              <w:rPr>
                <w:rFonts w:ascii="Arial" w:cs="Arial" w:eastAsia="Arial" w:hAnsi="Arial"/>
                <w:sz w:val="18"/>
                <w:szCs w:val="18"/>
                <w:color w:val="auto"/>
              </w:rPr>
              <w:t>Commercial business</w:t>
            </w:r>
          </w:p>
        </w:tc>
        <w:tc>
          <w:tcPr>
            <w:tcW w:w="120" w:type="dxa"/>
            <w:vAlign w:val="bottom"/>
          </w:tcPr>
          <w:p>
            <w:pPr>
              <w:spacing w:after="0"/>
              <w:rPr>
                <w:sz w:val="18"/>
                <w:szCs w:val="18"/>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13,070</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5,390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18,460</w:t>
            </w: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Consumer</w:t>
            </w: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14,075</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14,075</w:t>
            </w:r>
          </w:p>
        </w:tc>
        <w:tc>
          <w:tcPr>
            <w:tcW w:w="1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10"/>
        </w:trPr>
        <w:tc>
          <w:tcPr>
            <w:tcW w:w="3840" w:type="dxa"/>
            <w:vAlign w:val="bottom"/>
          </w:tcPr>
          <w:p>
            <w:pPr>
              <w:ind w:left="360"/>
              <w:spacing w:after="0"/>
              <w:rPr>
                <w:sz w:val="20"/>
                <w:szCs w:val="20"/>
                <w:color w:val="auto"/>
              </w:rPr>
            </w:pPr>
            <w:r>
              <w:rPr>
                <w:rFonts w:ascii="Arial" w:cs="Arial" w:eastAsia="Arial" w:hAnsi="Arial"/>
                <w:sz w:val="18"/>
                <w:szCs w:val="18"/>
                <w:color w:val="auto"/>
              </w:rPr>
              <w:t>Subtotal</w:t>
            </w: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231,905</w:t>
            </w:r>
          </w:p>
        </w:tc>
        <w:tc>
          <w:tcPr>
            <w:tcW w:w="2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17,904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249,809</w:t>
            </w:r>
          </w:p>
        </w:tc>
        <w:tc>
          <w:tcPr>
            <w:tcW w:w="240" w:type="dxa"/>
            <w:vAlign w:val="bottom"/>
          </w:tcPr>
          <w:p>
            <w:pPr>
              <w:spacing w:after="0"/>
              <w:rPr>
                <w:sz w:val="18"/>
                <w:szCs w:val="18"/>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65.69%</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Purchased loans:</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180"/>
              <w:spacing w:after="0"/>
              <w:rPr>
                <w:sz w:val="20"/>
                <w:szCs w:val="20"/>
                <w:color w:val="auto"/>
              </w:rPr>
            </w:pPr>
            <w:r>
              <w:rPr>
                <w:rFonts w:ascii="Arial" w:cs="Arial" w:eastAsia="Arial" w:hAnsi="Arial"/>
                <w:sz w:val="18"/>
                <w:szCs w:val="18"/>
                <w:color w:val="auto"/>
              </w:rPr>
              <w:t>Residential real estate</w:t>
            </w:r>
          </w:p>
        </w:tc>
        <w:tc>
          <w:tcPr>
            <w:tcW w:w="120" w:type="dxa"/>
            <w:vAlign w:val="bottom"/>
          </w:tcPr>
          <w:p>
            <w:pPr>
              <w:spacing w:after="0"/>
              <w:rPr>
                <w:sz w:val="18"/>
                <w:szCs w:val="18"/>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4,238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4,238</w:t>
            </w: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real estate</w:t>
            </w: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126,264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126,264</w:t>
            </w:r>
          </w:p>
        </w:tc>
        <w:tc>
          <w:tcPr>
            <w:tcW w:w="1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33.20%</w:t>
            </w:r>
          </w:p>
        </w:tc>
        <w:tc>
          <w:tcPr>
            <w:tcW w:w="0" w:type="dxa"/>
            <w:vAlign w:val="bottom"/>
          </w:tcPr>
          <w:p>
            <w:pPr>
              <w:spacing w:after="0"/>
              <w:rPr>
                <w:sz w:val="1"/>
                <w:szCs w:val="1"/>
                <w:color w:val="auto"/>
              </w:rPr>
            </w:pPr>
          </w:p>
        </w:tc>
      </w:tr>
      <w:tr>
        <w:trPr>
          <w:trHeight w:val="210"/>
        </w:trPr>
        <w:tc>
          <w:tcPr>
            <w:tcW w:w="38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Subtotal</w:t>
            </w:r>
          </w:p>
        </w:tc>
        <w:tc>
          <w:tcPr>
            <w:tcW w:w="1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26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130,502</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130,502</w:t>
            </w:r>
          </w:p>
        </w:tc>
        <w:tc>
          <w:tcPr>
            <w:tcW w:w="240" w:type="dxa"/>
            <w:vAlign w:val="bottom"/>
            <w:tcBorders>
              <w:bottom w:val="single" w:sz="8" w:color="CCEEFF"/>
            </w:tcBorders>
          </w:tcPr>
          <w:p>
            <w:pPr>
              <w:spacing w:after="0"/>
              <w:rPr>
                <w:sz w:val="18"/>
                <w:szCs w:val="18"/>
                <w:color w:val="auto"/>
              </w:rPr>
            </w:pPr>
          </w:p>
        </w:tc>
        <w:tc>
          <w:tcPr>
            <w:tcW w:w="156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34.31%</w:t>
            </w:r>
          </w:p>
        </w:tc>
        <w:tc>
          <w:tcPr>
            <w:tcW w:w="0" w:type="dxa"/>
            <w:vAlign w:val="bottom"/>
          </w:tcPr>
          <w:p>
            <w:pPr>
              <w:spacing w:after="0"/>
              <w:rPr>
                <w:sz w:val="1"/>
                <w:szCs w:val="1"/>
                <w:color w:val="auto"/>
              </w:rPr>
            </w:pPr>
          </w:p>
        </w:tc>
      </w:tr>
      <w:tr>
        <w:trPr>
          <w:trHeight w:val="210"/>
        </w:trPr>
        <w:tc>
          <w:tcPr>
            <w:tcW w:w="38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231,905</w:t>
            </w:r>
          </w:p>
        </w:tc>
        <w:tc>
          <w:tcPr>
            <w:tcW w:w="2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148,406</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380,311</w:t>
            </w:r>
          </w:p>
        </w:tc>
        <w:tc>
          <w:tcPr>
            <w:tcW w:w="24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8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4"/>
          </w:tcPr>
          <w:p>
            <w:pPr>
              <w:jc w:val="center"/>
              <w:ind w:left="572"/>
              <w:spacing w:after="0"/>
              <w:rPr>
                <w:sz w:val="20"/>
                <w:szCs w:val="20"/>
                <w:color w:val="auto"/>
              </w:rPr>
            </w:pPr>
            <w:r>
              <w:rPr>
                <w:rFonts w:ascii="Arial" w:cs="Arial" w:eastAsia="Arial" w:hAnsi="Arial"/>
                <w:sz w:val="14"/>
                <w:szCs w:val="14"/>
                <w:b w:val="1"/>
                <w:bCs w:val="1"/>
                <w:color w:val="auto"/>
                <w:w w:val="92"/>
              </w:rPr>
              <w:t>June 30, 2012</w:t>
            </w:r>
          </w:p>
        </w:tc>
        <w:tc>
          <w:tcPr>
            <w:tcW w:w="9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00" w:type="dxa"/>
            <w:vAlign w:val="bottom"/>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rPr>
              <w:t>Community</w:t>
            </w:r>
          </w:p>
        </w:tc>
        <w:tc>
          <w:tcPr>
            <w:tcW w:w="300" w:type="dxa"/>
            <w:vAlign w:val="bottom"/>
          </w:tcPr>
          <w:p>
            <w:pPr>
              <w:spacing w:after="0"/>
              <w:rPr>
                <w:sz w:val="10"/>
                <w:szCs w:val="10"/>
                <w:color w:val="auto"/>
              </w:rPr>
            </w:pPr>
          </w:p>
        </w:tc>
        <w:tc>
          <w:tcPr>
            <w:tcW w:w="12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LASG</w:t>
            </w: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156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Percent of Total</w:t>
            </w:r>
          </w:p>
        </w:tc>
        <w:tc>
          <w:tcPr>
            <w:tcW w:w="0" w:type="dxa"/>
            <w:vAlign w:val="bottom"/>
          </w:tcPr>
          <w:p>
            <w:pPr>
              <w:spacing w:after="0"/>
              <w:rPr>
                <w:sz w:val="1"/>
                <w:szCs w:val="1"/>
                <w:color w:val="auto"/>
              </w:rPr>
            </w:pPr>
          </w:p>
        </w:tc>
      </w:tr>
      <w:tr>
        <w:trPr>
          <w:trHeight w:val="171"/>
        </w:trPr>
        <w:tc>
          <w:tcPr>
            <w:tcW w:w="3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Banking Division</w:t>
            </w:r>
          </w:p>
        </w:tc>
        <w:tc>
          <w:tcPr>
            <w:tcW w:w="3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940" w:type="dxa"/>
            <w:vAlign w:val="bottom"/>
            <w:tcBorders>
              <w:top w:val="single" w:sz="8" w:color="auto"/>
            </w:tcBorders>
            <w:gridSpan w:val="6"/>
          </w:tcPr>
          <w:p>
            <w:pPr>
              <w:jc w:val="center"/>
              <w:ind w:right="54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14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Originated loans:</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180"/>
              <w:spacing w:after="0"/>
              <w:rPr>
                <w:sz w:val="20"/>
                <w:szCs w:val="20"/>
                <w:color w:val="auto"/>
              </w:rPr>
            </w:pPr>
            <w:r>
              <w:rPr>
                <w:rFonts w:ascii="Arial" w:cs="Arial" w:eastAsia="Arial" w:hAnsi="Arial"/>
                <w:sz w:val="18"/>
                <w:szCs w:val="18"/>
                <w:color w:val="auto"/>
              </w:rPr>
              <w:t>Residential real estate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90,793</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151</w:t>
            </w:r>
          </w:p>
        </w:tc>
        <w:tc>
          <w:tcPr>
            <w:tcW w:w="54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90,944</w:t>
            </w: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25.53%</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Home equity</w:t>
            </w: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42,696</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42,696</w:t>
            </w:r>
          </w:p>
        </w:tc>
        <w:tc>
          <w:tcPr>
            <w:tcW w:w="1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11.98%</w:t>
            </w:r>
          </w:p>
        </w:tc>
        <w:tc>
          <w:tcPr>
            <w:tcW w:w="0" w:type="dxa"/>
            <w:vAlign w:val="bottom"/>
          </w:tcPr>
          <w:p>
            <w:pPr>
              <w:spacing w:after="0"/>
              <w:rPr>
                <w:sz w:val="1"/>
                <w:szCs w:val="1"/>
                <w:color w:val="auto"/>
              </w:rPr>
            </w:pPr>
          </w:p>
        </w:tc>
      </w:tr>
      <w:tr>
        <w:trPr>
          <w:trHeight w:val="216"/>
        </w:trPr>
        <w:tc>
          <w:tcPr>
            <w:tcW w:w="3840" w:type="dxa"/>
            <w:vAlign w:val="bottom"/>
          </w:tcPr>
          <w:p>
            <w:pPr>
              <w:ind w:left="180"/>
              <w:spacing w:after="0"/>
              <w:rPr>
                <w:sz w:val="20"/>
                <w:szCs w:val="20"/>
                <w:color w:val="auto"/>
              </w:rPr>
            </w:pPr>
            <w:r>
              <w:rPr>
                <w:rFonts w:ascii="Arial" w:cs="Arial" w:eastAsia="Arial" w:hAnsi="Arial"/>
                <w:sz w:val="18"/>
                <w:szCs w:val="18"/>
                <w:color w:val="auto"/>
              </w:rPr>
              <w:t>Commercial real estate</w:t>
            </w:r>
          </w:p>
        </w:tc>
        <w:tc>
          <w:tcPr>
            <w:tcW w:w="120" w:type="dxa"/>
            <w:vAlign w:val="bottom"/>
          </w:tcPr>
          <w:p>
            <w:pPr>
              <w:spacing w:after="0"/>
              <w:rPr>
                <w:sz w:val="18"/>
                <w:szCs w:val="18"/>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97,146</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3,050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100,196</w:t>
            </w: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28.12%</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Construction</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1,187</w:t>
            </w:r>
          </w:p>
        </w:tc>
        <w:tc>
          <w:tcPr>
            <w:tcW w:w="1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16"/>
        </w:trPr>
        <w:tc>
          <w:tcPr>
            <w:tcW w:w="3840" w:type="dxa"/>
            <w:vAlign w:val="bottom"/>
          </w:tcPr>
          <w:p>
            <w:pPr>
              <w:ind w:left="180"/>
              <w:spacing w:after="0"/>
              <w:rPr>
                <w:sz w:val="20"/>
                <w:szCs w:val="20"/>
                <w:color w:val="auto"/>
              </w:rPr>
            </w:pPr>
            <w:r>
              <w:rPr>
                <w:rFonts w:ascii="Arial" w:cs="Arial" w:eastAsia="Arial" w:hAnsi="Arial"/>
                <w:sz w:val="18"/>
                <w:szCs w:val="18"/>
                <w:color w:val="auto"/>
              </w:rPr>
              <w:t>Commercial business</w:t>
            </w:r>
          </w:p>
        </w:tc>
        <w:tc>
          <w:tcPr>
            <w:tcW w:w="120" w:type="dxa"/>
            <w:vAlign w:val="bottom"/>
          </w:tcPr>
          <w:p>
            <w:pPr>
              <w:spacing w:after="0"/>
              <w:rPr>
                <w:sz w:val="18"/>
                <w:szCs w:val="18"/>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17,732</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1,880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19,612</w:t>
            </w: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Consumer</w:t>
            </w: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17,149</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17,149</w:t>
            </w:r>
          </w:p>
        </w:tc>
        <w:tc>
          <w:tcPr>
            <w:tcW w:w="1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10"/>
        </w:trPr>
        <w:tc>
          <w:tcPr>
            <w:tcW w:w="3840" w:type="dxa"/>
            <w:vAlign w:val="bottom"/>
          </w:tcPr>
          <w:p>
            <w:pPr>
              <w:ind w:left="360"/>
              <w:spacing w:after="0"/>
              <w:rPr>
                <w:sz w:val="20"/>
                <w:szCs w:val="20"/>
                <w:color w:val="auto"/>
              </w:rPr>
            </w:pPr>
            <w:r>
              <w:rPr>
                <w:rFonts w:ascii="Arial" w:cs="Arial" w:eastAsia="Arial" w:hAnsi="Arial"/>
                <w:sz w:val="18"/>
                <w:szCs w:val="18"/>
                <w:color w:val="auto"/>
              </w:rPr>
              <w:t>Subtotal</w:t>
            </w: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266,703</w:t>
            </w:r>
          </w:p>
        </w:tc>
        <w:tc>
          <w:tcPr>
            <w:tcW w:w="2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5,081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271,784</w:t>
            </w:r>
          </w:p>
        </w:tc>
        <w:tc>
          <w:tcPr>
            <w:tcW w:w="240" w:type="dxa"/>
            <w:vAlign w:val="bottom"/>
          </w:tcPr>
          <w:p>
            <w:pPr>
              <w:spacing w:after="0"/>
              <w:rPr>
                <w:sz w:val="18"/>
                <w:szCs w:val="18"/>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76.28%</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Purchased loans:</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180"/>
              <w:spacing w:after="0"/>
              <w:rPr>
                <w:sz w:val="20"/>
                <w:szCs w:val="20"/>
                <w:color w:val="auto"/>
              </w:rPr>
            </w:pPr>
            <w:r>
              <w:rPr>
                <w:rFonts w:ascii="Arial" w:cs="Arial" w:eastAsia="Arial" w:hAnsi="Arial"/>
                <w:sz w:val="18"/>
                <w:szCs w:val="18"/>
                <w:color w:val="auto"/>
              </w:rPr>
              <w:t>Residential real estate</w:t>
            </w:r>
          </w:p>
        </w:tc>
        <w:tc>
          <w:tcPr>
            <w:tcW w:w="120" w:type="dxa"/>
            <w:vAlign w:val="bottom"/>
          </w:tcPr>
          <w:p>
            <w:pPr>
              <w:spacing w:after="0"/>
              <w:rPr>
                <w:sz w:val="18"/>
                <w:szCs w:val="18"/>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3,931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3,931</w:t>
            </w: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real estate</w:t>
            </w: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80,539</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80,539</w:t>
            </w:r>
          </w:p>
        </w:tc>
        <w:tc>
          <w:tcPr>
            <w:tcW w:w="1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22.62%</w:t>
            </w:r>
          </w:p>
        </w:tc>
        <w:tc>
          <w:tcPr>
            <w:tcW w:w="0" w:type="dxa"/>
            <w:vAlign w:val="bottom"/>
          </w:tcPr>
          <w:p>
            <w:pPr>
              <w:spacing w:after="0"/>
              <w:rPr>
                <w:sz w:val="1"/>
                <w:szCs w:val="1"/>
                <w:color w:val="auto"/>
              </w:rPr>
            </w:pPr>
          </w:p>
        </w:tc>
      </w:tr>
      <w:tr>
        <w:trPr>
          <w:trHeight w:val="210"/>
        </w:trPr>
        <w:tc>
          <w:tcPr>
            <w:tcW w:w="38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Subtotal</w:t>
            </w:r>
          </w:p>
        </w:tc>
        <w:tc>
          <w:tcPr>
            <w:tcW w:w="1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26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84,470</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84,470</w:t>
            </w:r>
          </w:p>
        </w:tc>
        <w:tc>
          <w:tcPr>
            <w:tcW w:w="240" w:type="dxa"/>
            <w:vAlign w:val="bottom"/>
            <w:tcBorders>
              <w:bottom w:val="single" w:sz="8" w:color="CCEEFF"/>
            </w:tcBorders>
          </w:tcPr>
          <w:p>
            <w:pPr>
              <w:spacing w:after="0"/>
              <w:rPr>
                <w:sz w:val="18"/>
                <w:szCs w:val="18"/>
                <w:color w:val="auto"/>
              </w:rPr>
            </w:pPr>
          </w:p>
        </w:tc>
        <w:tc>
          <w:tcPr>
            <w:tcW w:w="156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23.72%</w:t>
            </w:r>
          </w:p>
        </w:tc>
        <w:tc>
          <w:tcPr>
            <w:tcW w:w="0" w:type="dxa"/>
            <w:vAlign w:val="bottom"/>
          </w:tcPr>
          <w:p>
            <w:pPr>
              <w:spacing w:after="0"/>
              <w:rPr>
                <w:sz w:val="1"/>
                <w:szCs w:val="1"/>
                <w:color w:val="auto"/>
              </w:rPr>
            </w:pPr>
          </w:p>
        </w:tc>
      </w:tr>
      <w:tr>
        <w:trPr>
          <w:trHeight w:val="210"/>
        </w:trPr>
        <w:tc>
          <w:tcPr>
            <w:tcW w:w="38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266,703</w:t>
            </w:r>
          </w:p>
        </w:tc>
        <w:tc>
          <w:tcPr>
            <w:tcW w:w="2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89,551</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356,254</w:t>
            </w:r>
          </w:p>
        </w:tc>
        <w:tc>
          <w:tcPr>
            <w:tcW w:w="24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Compared to the quarter ended December 31, 2012, the Bank’s LASG loan portfolio declined $1.3 million, reflecting purchases and originations of $11.3 million and $2.8 million, respectively, offset by loan payoffs and asset sales totaling $15.4 million. Loan payoffs and asset sales during the quarter ended March 31, 2013 resulted in $4.1 million of transactional income, compared to $1.9 million in the quarter ended December 31, 2012 and $493 thousand in the quarter ended March 31, 2012.</w:t>
      </w:r>
    </w:p>
    <w:p>
      <w:pPr>
        <w:spacing w:after="0" w:line="187"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Loan purchases by the LASG are subject to two regulatory conditions, which are summarized below, together with the remaining purchasing capacity available under each of these conditions: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gridSpan w:val="2"/>
          </w:tcPr>
          <w:p>
            <w:pPr>
              <w:spacing w:after="0"/>
              <w:rPr>
                <w:sz w:val="20"/>
                <w:szCs w:val="20"/>
                <w:color w:val="auto"/>
              </w:rPr>
            </w:pPr>
            <w:r>
              <w:rPr>
                <w:rFonts w:ascii="Arial" w:cs="Arial" w:eastAsia="Arial" w:hAnsi="Arial"/>
                <w:sz w:val="14"/>
                <w:szCs w:val="14"/>
                <w:b w:val="1"/>
                <w:bCs w:val="1"/>
                <w:color w:val="auto"/>
              </w:rPr>
              <w:t>Basis for Regulatory</w:t>
            </w:r>
          </w:p>
        </w:tc>
        <w:tc>
          <w:tcPr>
            <w:tcW w:w="5140" w:type="dxa"/>
            <w:vAlign w:val="bottom"/>
            <w:vMerge w:val="restart"/>
          </w:tcPr>
          <w:p>
            <w:pPr>
              <w:ind w:left="2260"/>
              <w:spacing w:after="0"/>
              <w:rPr>
                <w:sz w:val="20"/>
                <w:szCs w:val="20"/>
                <w:color w:val="auto"/>
              </w:rPr>
            </w:pPr>
            <w:r>
              <w:rPr>
                <w:rFonts w:ascii="Arial" w:cs="Arial" w:eastAsia="Arial" w:hAnsi="Arial"/>
                <w:sz w:val="14"/>
                <w:szCs w:val="14"/>
                <w:b w:val="1"/>
                <w:bCs w:val="1"/>
                <w:color w:val="auto"/>
              </w:rPr>
              <w:t>Condition</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Remaining Purchased Loan</w:t>
            </w:r>
          </w:p>
        </w:tc>
        <w:tc>
          <w:tcPr>
            <w:tcW w:w="0" w:type="dxa"/>
            <w:vAlign w:val="bottom"/>
          </w:tcPr>
          <w:p>
            <w:pPr>
              <w:spacing w:after="0"/>
              <w:rPr>
                <w:sz w:val="1"/>
                <w:szCs w:val="1"/>
                <w:color w:val="auto"/>
              </w:rPr>
            </w:pPr>
          </w:p>
        </w:tc>
      </w:tr>
      <w:tr>
        <w:trPr>
          <w:trHeight w:val="171"/>
        </w:trPr>
        <w:tc>
          <w:tcPr>
            <w:tcW w:w="3280" w:type="dxa"/>
            <w:vAlign w:val="bottom"/>
            <w:gridSpan w:val="2"/>
          </w:tcPr>
          <w:p>
            <w:pPr>
              <w:spacing w:after="0"/>
              <w:rPr>
                <w:sz w:val="20"/>
                <w:szCs w:val="20"/>
                <w:color w:val="auto"/>
              </w:rPr>
            </w:pPr>
            <w:r>
              <w:rPr>
                <w:rFonts w:ascii="Arial" w:cs="Arial" w:eastAsia="Arial" w:hAnsi="Arial"/>
                <w:sz w:val="14"/>
                <w:szCs w:val="14"/>
                <w:b w:val="1"/>
                <w:bCs w:val="1"/>
                <w:color w:val="auto"/>
              </w:rPr>
              <w:t>Condition</w:t>
            </w:r>
          </w:p>
        </w:tc>
        <w:tc>
          <w:tcPr>
            <w:tcW w:w="51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Capacity at March 31, 2013</w:t>
            </w:r>
          </w:p>
        </w:tc>
        <w:tc>
          <w:tcPr>
            <w:tcW w:w="0" w:type="dxa"/>
            <w:vAlign w:val="bottom"/>
          </w:tcPr>
          <w:p>
            <w:pPr>
              <w:spacing w:after="0"/>
              <w:rPr>
                <w:sz w:val="1"/>
                <w:szCs w:val="1"/>
                <w:color w:val="auto"/>
              </w:rPr>
            </w:pPr>
          </w:p>
        </w:tc>
      </w:tr>
      <w:tr>
        <w:trPr>
          <w:trHeight w:val="142"/>
        </w:trPr>
        <w:tc>
          <w:tcPr>
            <w:tcW w:w="298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514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340" w:type="dxa"/>
            <w:vAlign w:val="bottom"/>
            <w:tcBorders>
              <w:top w:val="single" w:sz="8" w:color="auto"/>
            </w:tcBorders>
          </w:tcPr>
          <w:p>
            <w:pPr>
              <w:jc w:val="center"/>
              <w:ind w:right="201"/>
              <w:spacing w:after="0" w:line="142" w:lineRule="exact"/>
              <w:rPr>
                <w:sz w:val="20"/>
                <w:szCs w:val="20"/>
                <w:color w:val="auto"/>
              </w:rPr>
            </w:pPr>
            <w:r>
              <w:rPr>
                <w:rFonts w:ascii="Arial" w:cs="Arial" w:eastAsia="Arial" w:hAnsi="Arial"/>
                <w:sz w:val="14"/>
                <w:szCs w:val="14"/>
                <w:b w:val="1"/>
                <w:bCs w:val="1"/>
                <w:color w:val="auto"/>
                <w:w w:val="93"/>
              </w:rPr>
              <w:t>(Dollars in millions)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Loans</w:t>
            </w: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Purchased loans may not exceed 40% of total loans.</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02"/>
        </w:trPr>
        <w:tc>
          <w:tcPr>
            <w:tcW w:w="3280" w:type="dxa"/>
            <w:vAlign w:val="bottom"/>
            <w:gridSpan w:val="2"/>
          </w:tcPr>
          <w:p>
            <w:pPr>
              <w:spacing w:after="0" w:line="201" w:lineRule="exact"/>
              <w:rPr>
                <w:sz w:val="20"/>
                <w:szCs w:val="20"/>
                <w:color w:val="auto"/>
              </w:rPr>
            </w:pPr>
            <w:r>
              <w:rPr>
                <w:rFonts w:ascii="Arial" w:cs="Arial" w:eastAsia="Arial" w:hAnsi="Arial"/>
                <w:sz w:val="18"/>
                <w:szCs w:val="18"/>
                <w:color w:val="auto"/>
              </w:rPr>
              <w:t>Regulatory Capital</w:t>
            </w:r>
          </w:p>
        </w:tc>
        <w:tc>
          <w:tcPr>
            <w:tcW w:w="5140" w:type="dxa"/>
            <w:vAlign w:val="bottom"/>
          </w:tcPr>
          <w:p>
            <w:pPr>
              <w:spacing w:after="0" w:line="201" w:lineRule="exact"/>
              <w:rPr>
                <w:sz w:val="20"/>
                <w:szCs w:val="20"/>
                <w:color w:val="auto"/>
              </w:rPr>
            </w:pPr>
            <w:r>
              <w:rPr>
                <w:rFonts w:ascii="Arial" w:cs="Arial" w:eastAsia="Arial" w:hAnsi="Arial"/>
                <w:sz w:val="18"/>
                <w:szCs w:val="18"/>
                <w:color w:val="auto"/>
                <w:w w:val="90"/>
              </w:rPr>
              <w:t>Commercial real estate loans may not exceed 300% of total risk-based</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capital.</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40" w:type="dxa"/>
            <w:vAlign w:val="bottom"/>
            <w:gridSpan w:val="2"/>
          </w:tcPr>
          <w:p>
            <w:pPr>
              <w:jc w:val="right"/>
              <w:ind w:right="100"/>
              <w:spacing w:after="0"/>
              <w:rPr>
                <w:sz w:val="20"/>
                <w:szCs w:val="20"/>
                <w:color w:val="auto"/>
              </w:rPr>
            </w:pPr>
            <w:r>
              <w:rPr>
                <w:rFonts w:ascii="Arial" w:cs="Arial" w:eastAsia="Arial" w:hAnsi="Arial"/>
                <w:sz w:val="18"/>
                <w:szCs w:val="18"/>
                <w:color w:val="auto"/>
              </w:rPr>
              <w:t>141.7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To increase its capacity under the “Total Loans” regulatory condition, the Company is currently holding in its portfolio, as necessary and on a duration— matched basis, residential fixed and adjustable rate loans that would otherwise be sold in the secondary market. The Company estimates that it will retain in portfolio approximately 75% of its future quarterly residential mortgage production. Total mortgage loan production over the past four quarters has averaged $36 million.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 overview of the LASG portfolio follows:</w:t>
      </w:r>
    </w:p>
    <w:p>
      <w:pPr>
        <w:spacing w:after="0" w:line="217"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38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4"/>
          </w:tcPr>
          <w:p>
            <w:pPr>
              <w:jc w:val="right"/>
              <w:ind w:right="376"/>
              <w:spacing w:after="0"/>
              <w:rPr>
                <w:sz w:val="20"/>
                <w:szCs w:val="20"/>
                <w:color w:val="auto"/>
              </w:rPr>
            </w:pPr>
            <w:r>
              <w:rPr>
                <w:rFonts w:ascii="Arial" w:cs="Arial" w:eastAsia="Arial" w:hAnsi="Arial"/>
                <w:sz w:val="14"/>
                <w:szCs w:val="14"/>
                <w:b w:val="1"/>
                <w:bCs w:val="1"/>
                <w:color w:val="auto"/>
                <w:w w:val="97"/>
              </w:rPr>
              <w:t>LASG Portfolio Overview</w:t>
            </w: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300" w:type="dxa"/>
            <w:vAlign w:val="bottom"/>
            <w:tcBorders>
              <w:bottom w:val="single" w:sz="8" w:color="auto"/>
            </w:tcBorders>
            <w:gridSpan w:val="5"/>
          </w:tcPr>
          <w:p>
            <w:pPr>
              <w:jc w:val="right"/>
              <w:ind w:right="503"/>
              <w:spacing w:after="0" w:line="142" w:lineRule="exact"/>
              <w:rPr>
                <w:sz w:val="20"/>
                <w:szCs w:val="20"/>
                <w:color w:val="auto"/>
              </w:rPr>
            </w:pPr>
            <w:r>
              <w:rPr>
                <w:rFonts w:ascii="Arial" w:cs="Arial" w:eastAsia="Arial" w:hAnsi="Arial"/>
                <w:sz w:val="14"/>
                <w:szCs w:val="14"/>
                <w:b w:val="1"/>
                <w:bCs w:val="1"/>
                <w:color w:val="auto"/>
              </w:rPr>
              <w:t>Three Months Ended March 31, 2013</w:t>
            </w:r>
          </w:p>
        </w:tc>
        <w:tc>
          <w:tcPr>
            <w:tcW w:w="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240" w:type="dxa"/>
            <w:vAlign w:val="bottom"/>
            <w:tcBorders>
              <w:bottom w:val="single" w:sz="8" w:color="auto"/>
            </w:tcBorders>
            <w:gridSpan w:val="5"/>
          </w:tcPr>
          <w:p>
            <w:pPr>
              <w:jc w:val="right"/>
              <w:ind w:right="490"/>
              <w:spacing w:after="0" w:line="142" w:lineRule="exact"/>
              <w:rPr>
                <w:sz w:val="20"/>
                <w:szCs w:val="20"/>
                <w:color w:val="auto"/>
              </w:rPr>
            </w:pPr>
            <w:r>
              <w:rPr>
                <w:rFonts w:ascii="Arial" w:cs="Arial" w:eastAsia="Arial" w:hAnsi="Arial"/>
                <w:sz w:val="14"/>
                <w:szCs w:val="14"/>
                <w:b w:val="1"/>
                <w:bCs w:val="1"/>
                <w:color w:val="auto"/>
              </w:rPr>
              <w:t>Nine Months Ended March 31, 2013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vMerge w:val="restart"/>
          </w:tcPr>
          <w:p>
            <w:pPr>
              <w:jc w:val="right"/>
              <w:ind w:right="239"/>
              <w:spacing w:after="0"/>
              <w:rPr>
                <w:sz w:val="20"/>
                <w:szCs w:val="20"/>
                <w:color w:val="auto"/>
              </w:rPr>
            </w:pPr>
            <w:r>
              <w:rPr>
                <w:rFonts w:ascii="Arial" w:cs="Arial" w:eastAsia="Arial" w:hAnsi="Arial"/>
                <w:sz w:val="14"/>
                <w:szCs w:val="14"/>
                <w:b w:val="1"/>
                <w:bCs w:val="1"/>
                <w:color w:val="auto"/>
                <w:w w:val="94"/>
              </w:rPr>
              <w:t>Purchased</w:t>
            </w:r>
          </w:p>
        </w:tc>
        <w:tc>
          <w:tcPr>
            <w:tcW w:w="240" w:type="dxa"/>
            <w:vAlign w:val="bottom"/>
          </w:tcPr>
          <w:p>
            <w:pPr>
              <w:spacing w:after="0"/>
              <w:rPr>
                <w:sz w:val="10"/>
                <w:szCs w:val="10"/>
                <w:color w:val="auto"/>
              </w:rPr>
            </w:pPr>
          </w:p>
        </w:tc>
        <w:tc>
          <w:tcPr>
            <w:tcW w:w="102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w w:val="99"/>
              </w:rPr>
              <w:t>Originated</w:t>
            </w:r>
          </w:p>
        </w:tc>
        <w:tc>
          <w:tcPr>
            <w:tcW w:w="240" w:type="dxa"/>
            <w:vAlign w:val="bottom"/>
          </w:tcPr>
          <w:p>
            <w:pPr>
              <w:spacing w:after="0"/>
              <w:rPr>
                <w:sz w:val="10"/>
                <w:szCs w:val="10"/>
                <w:color w:val="auto"/>
              </w:rPr>
            </w:pPr>
          </w:p>
        </w:tc>
        <w:tc>
          <w:tcPr>
            <w:tcW w:w="780" w:type="dxa"/>
            <w:vAlign w:val="bottom"/>
          </w:tcPr>
          <w:p>
            <w:pPr>
              <w:jc w:val="center"/>
              <w:ind w:right="63"/>
              <w:spacing w:after="0" w:line="119" w:lineRule="exact"/>
              <w:rPr>
                <w:sz w:val="20"/>
                <w:szCs w:val="20"/>
                <w:color w:val="auto"/>
              </w:rPr>
            </w:pPr>
            <w:r>
              <w:rPr>
                <w:rFonts w:ascii="Arial" w:cs="Arial" w:eastAsia="Arial" w:hAnsi="Arial"/>
                <w:sz w:val="13"/>
                <w:szCs w:val="13"/>
                <w:b w:val="1"/>
                <w:bCs w:val="1"/>
                <w:color w:val="auto"/>
              </w:rPr>
              <w:t>Total</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auto"/>
                <w:w w:val="94"/>
              </w:rPr>
              <w:t>Purchased</w:t>
            </w:r>
          </w:p>
        </w:tc>
        <w:tc>
          <w:tcPr>
            <w:tcW w:w="240" w:type="dxa"/>
            <w:vAlign w:val="bottom"/>
          </w:tcPr>
          <w:p>
            <w:pPr>
              <w:spacing w:after="0"/>
              <w:rPr>
                <w:sz w:val="10"/>
                <w:szCs w:val="10"/>
                <w:color w:val="auto"/>
              </w:rPr>
            </w:pPr>
          </w:p>
        </w:tc>
        <w:tc>
          <w:tcPr>
            <w:tcW w:w="100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w w:val="99"/>
              </w:rPr>
              <w:t>Originated</w:t>
            </w:r>
          </w:p>
        </w:tc>
        <w:tc>
          <w:tcPr>
            <w:tcW w:w="118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rPr>
              <w:t>Total LASG</w:t>
            </w:r>
          </w:p>
        </w:tc>
        <w:tc>
          <w:tcPr>
            <w:tcW w:w="0" w:type="dxa"/>
            <w:vAlign w:val="bottom"/>
          </w:tcPr>
          <w:p>
            <w:pPr>
              <w:spacing w:after="0"/>
              <w:rPr>
                <w:sz w:val="1"/>
                <w:szCs w:val="1"/>
                <w:color w:val="auto"/>
              </w:rPr>
            </w:pPr>
          </w:p>
        </w:tc>
      </w:tr>
      <w:tr>
        <w:trPr>
          <w:trHeight w:val="171"/>
        </w:trPr>
        <w:tc>
          <w:tcPr>
            <w:tcW w:w="3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LASG</w:t>
            </w:r>
          </w:p>
        </w:tc>
        <w:tc>
          <w:tcPr>
            <w:tcW w:w="14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100" w:type="dxa"/>
            <w:vAlign w:val="bottom"/>
            <w:tcBorders>
              <w:top w:val="single" w:sz="8" w:color="auto"/>
            </w:tcBorders>
            <w:gridSpan w:val="4"/>
          </w:tcPr>
          <w:p>
            <w:pPr>
              <w:jc w:val="right"/>
              <w:ind w:right="496"/>
              <w:spacing w:after="0" w:line="142" w:lineRule="exact"/>
              <w:rPr>
                <w:sz w:val="20"/>
                <w:szCs w:val="20"/>
                <w:color w:val="auto"/>
              </w:rPr>
            </w:pPr>
            <w:r>
              <w:rPr>
                <w:rFonts w:ascii="Arial" w:cs="Arial" w:eastAsia="Arial" w:hAnsi="Arial"/>
                <w:sz w:val="14"/>
                <w:szCs w:val="14"/>
                <w:b w:val="1"/>
                <w:bCs w:val="1"/>
                <w:color w:val="auto"/>
              </w:rPr>
              <w:t>(Dollars in thousands)</w:t>
            </w:r>
          </w:p>
        </w:tc>
        <w:tc>
          <w:tcPr>
            <w:tcW w:w="2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Purchased or originated during the period:</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180"/>
              <w:spacing w:after="0"/>
              <w:rPr>
                <w:sz w:val="20"/>
                <w:szCs w:val="20"/>
                <w:color w:val="auto"/>
              </w:rPr>
            </w:pPr>
            <w:r>
              <w:rPr>
                <w:rFonts w:ascii="Arial" w:cs="Arial" w:eastAsia="Arial" w:hAnsi="Arial"/>
                <w:sz w:val="18"/>
                <w:szCs w:val="18"/>
                <w:color w:val="auto"/>
              </w:rPr>
              <w:t>Unpaid principal balance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9"/>
              <w:spacing w:after="0"/>
              <w:rPr>
                <w:sz w:val="20"/>
                <w:szCs w:val="20"/>
                <w:color w:val="auto"/>
              </w:rPr>
            </w:pPr>
            <w:r>
              <w:rPr>
                <w:rFonts w:ascii="Arial" w:cs="Arial" w:eastAsia="Arial" w:hAnsi="Arial"/>
                <w:sz w:val="18"/>
                <w:szCs w:val="18"/>
                <w:color w:val="auto"/>
              </w:rPr>
              <w:t>13,971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2,800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16,771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103,539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15,625</w:t>
            </w:r>
          </w:p>
        </w:tc>
        <w:tc>
          <w:tcPr>
            <w:tcW w:w="32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119,164</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investment basis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11,340</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2,827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14,167</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75,553</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15,652</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91,205</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Totals as of period end:</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180"/>
              <w:spacing w:after="0"/>
              <w:rPr>
                <w:sz w:val="20"/>
                <w:szCs w:val="20"/>
                <w:color w:val="auto"/>
              </w:rPr>
            </w:pPr>
            <w:r>
              <w:rPr>
                <w:rFonts w:ascii="Arial" w:cs="Arial" w:eastAsia="Arial" w:hAnsi="Arial"/>
                <w:sz w:val="18"/>
                <w:szCs w:val="18"/>
                <w:color w:val="auto"/>
              </w:rPr>
              <w:t>Unpaid principal balance</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166,360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17,871</w:t>
            </w:r>
          </w:p>
        </w:tc>
        <w:tc>
          <w:tcPr>
            <w:tcW w:w="32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184,231</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investment basis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130,502</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17,904</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148,406</w:t>
            </w:r>
          </w:p>
        </w:tc>
        <w:tc>
          <w:tcPr>
            <w:tcW w:w="0" w:type="dxa"/>
            <w:vAlign w:val="bottom"/>
          </w:tcPr>
          <w:p>
            <w:pPr>
              <w:spacing w:after="0"/>
              <w:rPr>
                <w:sz w:val="1"/>
                <w:szCs w:val="1"/>
                <w:color w:val="auto"/>
              </w:rPr>
            </w:pPr>
          </w:p>
        </w:tc>
      </w:tr>
    </w:tbl>
    <w:p>
      <w:pPr>
        <w:spacing w:after="0" w:line="21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Returns during the period:</w:t>
            </w:r>
          </w:p>
        </w:tc>
        <w:tc>
          <w:tcPr>
            <w:tcW w:w="2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3180" w:type="dxa"/>
            <w:vAlign w:val="bottom"/>
          </w:tcPr>
          <w:p>
            <w:pPr>
              <w:ind w:left="180"/>
              <w:spacing w:after="0"/>
              <w:rPr>
                <w:sz w:val="20"/>
                <w:szCs w:val="20"/>
                <w:color w:val="auto"/>
              </w:rPr>
            </w:pPr>
            <w:r>
              <w:rPr>
                <w:rFonts w:ascii="Arial" w:cs="Arial" w:eastAsia="Arial" w:hAnsi="Arial"/>
                <w:sz w:val="18"/>
                <w:szCs w:val="18"/>
                <w:color w:val="auto"/>
              </w:rPr>
              <w:t>Yield</w:t>
            </w:r>
          </w:p>
        </w:tc>
        <w:tc>
          <w:tcPr>
            <w:tcW w:w="2260" w:type="dxa"/>
            <w:vAlign w:val="bottom"/>
          </w:tcPr>
          <w:p>
            <w:pPr>
              <w:jc w:val="right"/>
              <w:ind w:right="310"/>
              <w:spacing w:after="0"/>
              <w:rPr>
                <w:sz w:val="20"/>
                <w:szCs w:val="20"/>
                <w:color w:val="auto"/>
              </w:rPr>
            </w:pPr>
            <w:r>
              <w:rPr>
                <w:rFonts w:ascii="Arial" w:cs="Arial" w:eastAsia="Arial" w:hAnsi="Arial"/>
                <w:sz w:val="18"/>
                <w:szCs w:val="18"/>
                <w:color w:val="auto"/>
              </w:rPr>
              <w:t>17.76%</w:t>
            </w:r>
          </w:p>
        </w:tc>
        <w:tc>
          <w:tcPr>
            <w:tcW w:w="1140" w:type="dxa"/>
            <w:vAlign w:val="bottom"/>
          </w:tcPr>
          <w:p>
            <w:pPr>
              <w:jc w:val="right"/>
              <w:ind w:right="190"/>
              <w:spacing w:after="0"/>
              <w:rPr>
                <w:sz w:val="20"/>
                <w:szCs w:val="20"/>
                <w:color w:val="auto"/>
              </w:rPr>
            </w:pPr>
            <w:r>
              <w:rPr>
                <w:rFonts w:ascii="Arial" w:cs="Arial" w:eastAsia="Arial" w:hAnsi="Arial"/>
                <w:sz w:val="18"/>
                <w:szCs w:val="18"/>
                <w:color w:val="auto"/>
              </w:rPr>
              <w:t>9.43%</w:t>
            </w:r>
          </w:p>
        </w:tc>
        <w:tc>
          <w:tcPr>
            <w:tcW w:w="1180" w:type="dxa"/>
            <w:vAlign w:val="bottom"/>
          </w:tcPr>
          <w:p>
            <w:pPr>
              <w:jc w:val="right"/>
              <w:ind w:right="250"/>
              <w:spacing w:after="0"/>
              <w:rPr>
                <w:sz w:val="20"/>
                <w:szCs w:val="20"/>
                <w:color w:val="auto"/>
              </w:rPr>
            </w:pPr>
            <w:r>
              <w:rPr>
                <w:rFonts w:ascii="Arial" w:cs="Arial" w:eastAsia="Arial" w:hAnsi="Arial"/>
                <w:sz w:val="18"/>
                <w:szCs w:val="18"/>
                <w:color w:val="auto"/>
              </w:rPr>
              <w:t>16.84%</w:t>
            </w:r>
          </w:p>
        </w:tc>
        <w:tc>
          <w:tcPr>
            <w:tcW w:w="1280" w:type="dxa"/>
            <w:vAlign w:val="bottom"/>
          </w:tcPr>
          <w:p>
            <w:pPr>
              <w:jc w:val="right"/>
              <w:ind w:right="290"/>
              <w:spacing w:after="0"/>
              <w:rPr>
                <w:sz w:val="20"/>
                <w:szCs w:val="20"/>
                <w:color w:val="auto"/>
              </w:rPr>
            </w:pPr>
            <w:r>
              <w:rPr>
                <w:rFonts w:ascii="Arial" w:cs="Arial" w:eastAsia="Arial" w:hAnsi="Arial"/>
                <w:sz w:val="18"/>
                <w:szCs w:val="18"/>
                <w:color w:val="auto"/>
              </w:rPr>
              <w:t>15.52%</w:t>
            </w:r>
          </w:p>
        </w:tc>
        <w:tc>
          <w:tcPr>
            <w:tcW w:w="1120" w:type="dxa"/>
            <w:vAlign w:val="bottom"/>
          </w:tcPr>
          <w:p>
            <w:pPr>
              <w:jc w:val="right"/>
              <w:ind w:right="190"/>
              <w:spacing w:after="0"/>
              <w:rPr>
                <w:sz w:val="20"/>
                <w:szCs w:val="20"/>
                <w:color w:val="auto"/>
              </w:rPr>
            </w:pPr>
            <w:r>
              <w:rPr>
                <w:rFonts w:ascii="Arial" w:cs="Arial" w:eastAsia="Arial" w:hAnsi="Arial"/>
                <w:sz w:val="18"/>
                <w:szCs w:val="18"/>
                <w:color w:val="auto"/>
              </w:rPr>
              <w:t>9.55%</w:t>
            </w:r>
          </w:p>
        </w:tc>
        <w:tc>
          <w:tcPr>
            <w:tcW w:w="860" w:type="dxa"/>
            <w:vAlign w:val="bottom"/>
          </w:tcPr>
          <w:p>
            <w:pPr>
              <w:jc w:val="right"/>
              <w:spacing w:after="0"/>
              <w:rPr>
                <w:sz w:val="20"/>
                <w:szCs w:val="20"/>
                <w:color w:val="auto"/>
              </w:rPr>
            </w:pPr>
            <w:r>
              <w:rPr>
                <w:rFonts w:ascii="Arial" w:cs="Arial" w:eastAsia="Arial" w:hAnsi="Arial"/>
                <w:sz w:val="18"/>
                <w:szCs w:val="18"/>
                <w:color w:val="auto"/>
              </w:rPr>
              <w:t>14.89%</w:t>
            </w:r>
          </w:p>
        </w:tc>
      </w:tr>
      <w:tr>
        <w:trPr>
          <w:trHeight w:val="216"/>
        </w:trPr>
        <w:tc>
          <w:tcPr>
            <w:tcW w:w="3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Return (1)</w:t>
            </w:r>
          </w:p>
        </w:tc>
        <w:tc>
          <w:tcPr>
            <w:tcW w:w="22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22.02%</w:t>
            </w:r>
          </w:p>
        </w:tc>
        <w:tc>
          <w:tcPr>
            <w:tcW w:w="11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9.43%</w:t>
            </w:r>
          </w:p>
        </w:tc>
        <w:tc>
          <w:tcPr>
            <w:tcW w:w="11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20.64%</w:t>
            </w:r>
          </w:p>
        </w:tc>
        <w:tc>
          <w:tcPr>
            <w:tcW w:w="12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18.66%</w:t>
            </w:r>
          </w:p>
        </w:tc>
        <w:tc>
          <w:tcPr>
            <w:tcW w:w="11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9.55%</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800" w:right="540" w:hanging="403"/>
        <w:spacing w:after="0" w:line="277" w:lineRule="auto"/>
        <w:tabs>
          <w:tab w:leader="none" w:pos="811"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total return on purchased loans represents scheduled accretion, accelerated accretion, gains on asset sales, and other noninterest income recorded during the period divided by the average invested balance, on an annualized basis.</w:t>
      </w:r>
    </w:p>
    <w:p>
      <w:pPr>
        <w:sectPr>
          <w:pgSz w:w="11900" w:h="16838" w:orient="portrait"/>
          <w:cols w:equalWidth="0" w:num="1">
            <w:col w:w="11420"/>
          </w:cols>
          <w:pgMar w:left="240" w:top="140" w:right="239" w:bottom="0" w:gutter="0" w:footer="0" w:header="0"/>
        </w:sectPr>
      </w:pPr>
    </w:p>
    <w:bookmarkStart w:id="26" w:name="page27"/>
    <w:bookmarkEnd w:id="26"/>
    <w:p>
      <w:pPr>
        <w:spacing w:after="0"/>
        <w:rPr>
          <w:sz w:val="20"/>
          <w:szCs w:val="20"/>
          <w:color w:val="auto"/>
        </w:rPr>
      </w:pPr>
      <w:r>
        <w:rPr>
          <w:rFonts w:ascii="Arial" w:cs="Arial" w:eastAsia="Arial" w:hAnsi="Arial"/>
          <w:sz w:val="18"/>
          <w:szCs w:val="18"/>
          <w:i w:val="1"/>
          <w:iCs w:val="1"/>
          <w:color w:val="auto"/>
        </w:rPr>
        <w:t>Classification of Assets</w:t>
      </w:r>
    </w:p>
    <w:p>
      <w:pPr>
        <w:spacing w:after="0" w:line="225"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Loans are classified as non-performing when 90 days past due, unless a loan is well-secured and in process of collection. Loans less than 90 days past due, for which collection of principal or interest is considered doubtful, also may be designated as non-performing. In both situations, accrual of interest ceases. The Company typically maintains such loans as non-performing until the respective borrowers have demonstrated a sustained period of payment performance.</w:t>
      </w:r>
    </w:p>
    <w:p>
      <w:pPr>
        <w:spacing w:after="0" w:line="147"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In cases where a borrower experiences financial difficulties and the Company makes certain concessionary modifications to contractual terms, the loan is classified as a troubled debt restructuring (“TDR”). Concessionary modifications may include adjustments to interest rates, extensions of maturity, or other actions intended to minimize economic loss and avoid foreclosure or repossession of collateral. Nonaccrual loans that are restructured generally remain on nonaccrual for a minimum period of six months to demonstrate that the borrower can meet the restructured terms. If the restructured loan is on accrual status prior to being modified, it is reviewed to determine if the modified loan should remain on accrual status. If the borrower’s ability to meet the revised payment schedule is not reasonably assured, the loan is classified as a nonaccrual loan. Loans classified as TDRs remain classified as such until the loan is paid off.</w:t>
      </w:r>
    </w:p>
    <w:p>
      <w:pPr>
        <w:spacing w:after="0" w:line="16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Other nonperforming assets include other real estate owned (“OREO”) and other personal property securing loans repossessed by the Bank. The real estate and personal property collateral for commercial and consumer loans is written down to its estimated realizable value upon repossession. Revenues and expenses are recognized in the period when received or incurred on OREO and in substance foreclosures. Gains and losses on disposition are recognized in noninterest income.</w:t>
      </w:r>
    </w:p>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color w:val="auto"/>
        </w:rPr>
        <w:t>The following table details the Company’s nonperforming assets and other credit quality indicators as of March 31, 2013 and June 30, 2012. The net increase in nonperforming assets during the nine months ended March 31, 2013 was principally due to a net increase in nonperforming LASG loans of $645 thousand. Management believes that, based on their carrying amounts, nonperforming assets are well secured based on the estimated fair value of underlying collateral.</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820" w:type="dxa"/>
            <w:vAlign w:val="bottom"/>
            <w:tcBorders>
              <w:bottom w:val="single" w:sz="8" w:color="auto"/>
            </w:tcBorders>
            <w:gridSpan w:val="7"/>
          </w:tcPr>
          <w:p>
            <w:pPr>
              <w:jc w:val="center"/>
              <w:ind w:left="835"/>
              <w:spacing w:after="0"/>
              <w:rPr>
                <w:sz w:val="20"/>
                <w:szCs w:val="20"/>
                <w:color w:val="auto"/>
              </w:rPr>
            </w:pPr>
            <w:r>
              <w:rPr>
                <w:rFonts w:ascii="Arial" w:cs="Arial" w:eastAsia="Arial" w:hAnsi="Arial"/>
                <w:sz w:val="14"/>
                <w:szCs w:val="14"/>
                <w:b w:val="1"/>
                <w:bCs w:val="1"/>
                <w:color w:val="auto"/>
                <w:w w:val="93"/>
              </w:rPr>
              <w:t>Non-Performing Assets at March 31, 2013</w:t>
            </w:r>
          </w:p>
        </w:tc>
        <w:tc>
          <w:tcPr>
            <w:tcW w:w="10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6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8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rPr>
              <w:t>Community</w:t>
            </w: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LASG</w:t>
            </w:r>
          </w:p>
        </w:tc>
        <w:tc>
          <w:tcPr>
            <w:tcW w:w="400" w:type="dxa"/>
            <w:vAlign w:val="bottom"/>
          </w:tcPr>
          <w:p>
            <w:pPr>
              <w:spacing w:after="0"/>
              <w:rPr>
                <w:sz w:val="10"/>
                <w:szCs w:val="10"/>
                <w:color w:val="auto"/>
              </w:rPr>
            </w:pPr>
          </w:p>
        </w:tc>
        <w:tc>
          <w:tcPr>
            <w:tcW w:w="1220" w:type="dxa"/>
            <w:vAlign w:val="bottom"/>
            <w:gridSpan w:val="2"/>
            <w:vMerge w:val="restart"/>
          </w:tcPr>
          <w:p>
            <w:pPr>
              <w:jc w:val="right"/>
              <w:ind w:right="740"/>
              <w:spacing w:after="0"/>
              <w:rPr>
                <w:sz w:val="20"/>
                <w:szCs w:val="20"/>
                <w:color w:val="auto"/>
              </w:rPr>
            </w:pPr>
            <w:r>
              <w:rPr>
                <w:rFonts w:ascii="Arial" w:cs="Arial" w:eastAsia="Arial" w:hAnsi="Arial"/>
                <w:sz w:val="14"/>
                <w:szCs w:val="14"/>
                <w:b w:val="1"/>
                <w:bCs w:val="1"/>
                <w:color w:val="auto"/>
              </w:rPr>
              <w:t>Total</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Banking Division</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760" w:type="dxa"/>
            <w:vAlign w:val="bottom"/>
            <w:tcBorders>
              <w:top w:val="single" w:sz="8" w:color="auto"/>
            </w:tcBorders>
            <w:gridSpan w:val="3"/>
          </w:tcPr>
          <w:p>
            <w:pPr>
              <w:jc w:val="center"/>
              <w:ind w:right="36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4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Loans:</w:t>
            </w: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160"/>
              <w:spacing w:after="0"/>
              <w:rPr>
                <w:sz w:val="20"/>
                <w:szCs w:val="20"/>
                <w:color w:val="auto"/>
              </w:rPr>
            </w:pPr>
            <w:r>
              <w:rPr>
                <w:rFonts w:ascii="Arial" w:cs="Arial" w:eastAsia="Arial" w:hAnsi="Arial"/>
                <w:sz w:val="18"/>
                <w:szCs w:val="18"/>
                <w:color w:val="auto"/>
              </w:rPr>
              <w:t>Residential real estate</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2,296</w:t>
            </w:r>
          </w:p>
        </w:tc>
        <w:tc>
          <w:tcPr>
            <w:tcW w:w="50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0</w:t>
            </w:r>
          </w:p>
        </w:tc>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2,296</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Home equity</w:t>
            </w: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405</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w:t>
            </w:r>
          </w:p>
        </w:tc>
        <w:tc>
          <w:tcPr>
            <w:tcW w:w="4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405</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160"/>
              <w:spacing w:after="0"/>
              <w:rPr>
                <w:sz w:val="20"/>
                <w:szCs w:val="20"/>
                <w:color w:val="auto"/>
              </w:rPr>
            </w:pPr>
            <w:r>
              <w:rPr>
                <w:rFonts w:ascii="Arial" w:cs="Arial" w:eastAsia="Arial" w:hAnsi="Arial"/>
                <w:sz w:val="18"/>
                <w:szCs w:val="18"/>
                <w:color w:val="auto"/>
              </w:rPr>
              <w:t>Commercial real estate</w:t>
            </w: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631</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1,700</w:t>
            </w:r>
          </w:p>
        </w:tc>
        <w:tc>
          <w:tcPr>
            <w:tcW w:w="4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2,331</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Construction</w:t>
            </w: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w:t>
            </w:r>
          </w:p>
        </w:tc>
        <w:tc>
          <w:tcPr>
            <w:tcW w:w="4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160"/>
              <w:spacing w:after="0"/>
              <w:rPr>
                <w:sz w:val="20"/>
                <w:szCs w:val="20"/>
                <w:color w:val="auto"/>
              </w:rPr>
            </w:pPr>
            <w:r>
              <w:rPr>
                <w:rFonts w:ascii="Arial" w:cs="Arial" w:eastAsia="Arial" w:hAnsi="Arial"/>
                <w:sz w:val="18"/>
                <w:szCs w:val="18"/>
                <w:color w:val="auto"/>
              </w:rPr>
              <w:t>Commercial business</w:t>
            </w: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103</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0</w:t>
            </w:r>
          </w:p>
        </w:tc>
        <w:tc>
          <w:tcPr>
            <w:tcW w:w="4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103</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Consumer</w:t>
            </w: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258</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w:t>
            </w:r>
          </w:p>
        </w:tc>
        <w:tc>
          <w:tcPr>
            <w:tcW w:w="4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258</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tcPr>
          <w:p>
            <w:pPr>
              <w:ind w:left="340"/>
              <w:spacing w:after="0"/>
              <w:rPr>
                <w:sz w:val="20"/>
                <w:szCs w:val="20"/>
                <w:color w:val="auto"/>
              </w:rPr>
            </w:pPr>
            <w:r>
              <w:rPr>
                <w:rFonts w:ascii="Arial" w:cs="Arial" w:eastAsia="Arial" w:hAnsi="Arial"/>
                <w:sz w:val="18"/>
                <w:szCs w:val="18"/>
                <w:color w:val="auto"/>
              </w:rPr>
              <w:t>Subtotal</w:t>
            </w:r>
          </w:p>
        </w:tc>
        <w:tc>
          <w:tcPr>
            <w:tcW w:w="1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3,693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1,700</w:t>
            </w:r>
          </w:p>
        </w:tc>
        <w:tc>
          <w:tcPr>
            <w:tcW w:w="28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5,393</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Real estate owned and other repossessed collateral</w:t>
            </w: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2,038</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w:t>
            </w:r>
          </w:p>
        </w:tc>
        <w:tc>
          <w:tcPr>
            <w:tcW w:w="4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2,038</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62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Total</w:t>
            </w:r>
          </w:p>
        </w:tc>
        <w:tc>
          <w:tcPr>
            <w:tcW w:w="118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5,731</w:t>
            </w:r>
          </w:p>
        </w:tc>
        <w:tc>
          <w:tcPr>
            <w:tcW w:w="16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1,700</w:t>
            </w:r>
          </w:p>
        </w:tc>
        <w:tc>
          <w:tcPr>
            <w:tcW w:w="280" w:type="dxa"/>
            <w:vAlign w:val="bottom"/>
            <w:tcBorders>
              <w:bottom w:val="single" w:sz="8" w:color="CCEEFF"/>
            </w:tcBorders>
          </w:tcPr>
          <w:p>
            <w:pPr>
              <w:spacing w:after="0"/>
              <w:rPr>
                <w:sz w:val="21"/>
                <w:szCs w:val="21"/>
                <w:color w:val="auto"/>
              </w:rPr>
            </w:pPr>
          </w:p>
        </w:tc>
        <w:tc>
          <w:tcPr>
            <w:tcW w:w="400" w:type="dxa"/>
            <w:vAlign w:val="bottom"/>
            <w:tcBorders>
              <w:top w:val="single" w:sz="8" w:color="auto"/>
              <w:bottom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7,431</w:t>
            </w:r>
          </w:p>
        </w:tc>
        <w:tc>
          <w:tcPr>
            <w:tcW w:w="160" w:type="dxa"/>
            <w:vAlign w:val="bottom"/>
            <w:tcBorders>
              <w:bottom w:val="single" w:sz="8" w:color="CCEEFF"/>
            </w:tcBorders>
          </w:tcPr>
          <w:p>
            <w:pPr>
              <w:spacing w:after="0"/>
              <w:rPr>
                <w:sz w:val="21"/>
                <w:szCs w:val="21"/>
                <w:color w:val="auto"/>
              </w:rPr>
            </w:pP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6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Ratio of nonperforming loans to total loans</w:t>
            </w: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1.42%</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Ratio of nonperforming assets to total assets</w:t>
            </w: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1.06%</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Ratio of loans past due to total loans</w:t>
            </w: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Nonperforming loans that are current</w:t>
            </w: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604</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Commercial loans risk rated substandard or worse</w:t>
            </w: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3,341</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Troubled debt restructurings:</w:t>
            </w: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160"/>
              <w:spacing w:after="0"/>
              <w:rPr>
                <w:sz w:val="20"/>
                <w:szCs w:val="20"/>
                <w:color w:val="auto"/>
              </w:rPr>
            </w:pPr>
            <w:r>
              <w:rPr>
                <w:rFonts w:ascii="Arial" w:cs="Arial" w:eastAsia="Arial" w:hAnsi="Arial"/>
                <w:sz w:val="18"/>
                <w:szCs w:val="18"/>
                <w:color w:val="auto"/>
              </w:rPr>
              <w:t>On accrual status</w:t>
            </w: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2,636</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On nonaccrual status</w:t>
            </w: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734</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gridSpan w:val="7"/>
          </w:tcPr>
          <w:p>
            <w:pPr>
              <w:jc w:val="center"/>
              <w:ind w:left="835"/>
              <w:spacing w:after="0"/>
              <w:rPr>
                <w:sz w:val="20"/>
                <w:szCs w:val="20"/>
                <w:color w:val="auto"/>
              </w:rPr>
            </w:pPr>
            <w:r>
              <w:rPr>
                <w:rFonts w:ascii="Arial" w:cs="Arial" w:eastAsia="Arial" w:hAnsi="Arial"/>
                <w:sz w:val="14"/>
                <w:szCs w:val="14"/>
                <w:b w:val="1"/>
                <w:bCs w:val="1"/>
                <w:color w:val="auto"/>
                <w:w w:val="91"/>
              </w:rPr>
              <w:t>Non-Performing Assets at June 30, 2012</w:t>
            </w:r>
          </w:p>
        </w:tc>
        <w:tc>
          <w:tcPr>
            <w:tcW w:w="10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6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8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rPr>
              <w:t>Community</w:t>
            </w: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LASG</w:t>
            </w:r>
          </w:p>
        </w:tc>
        <w:tc>
          <w:tcPr>
            <w:tcW w:w="400" w:type="dxa"/>
            <w:vAlign w:val="bottom"/>
          </w:tcPr>
          <w:p>
            <w:pPr>
              <w:spacing w:after="0"/>
              <w:rPr>
                <w:sz w:val="10"/>
                <w:szCs w:val="10"/>
                <w:color w:val="auto"/>
              </w:rPr>
            </w:pPr>
          </w:p>
        </w:tc>
        <w:tc>
          <w:tcPr>
            <w:tcW w:w="1220" w:type="dxa"/>
            <w:vAlign w:val="bottom"/>
            <w:gridSpan w:val="2"/>
            <w:vMerge w:val="restart"/>
          </w:tcPr>
          <w:p>
            <w:pPr>
              <w:jc w:val="right"/>
              <w:ind w:right="740"/>
              <w:spacing w:after="0"/>
              <w:rPr>
                <w:sz w:val="20"/>
                <w:szCs w:val="20"/>
                <w:color w:val="auto"/>
              </w:rPr>
            </w:pPr>
            <w:r>
              <w:rPr>
                <w:rFonts w:ascii="Arial" w:cs="Arial" w:eastAsia="Arial" w:hAnsi="Arial"/>
                <w:sz w:val="14"/>
                <w:szCs w:val="14"/>
                <w:b w:val="1"/>
                <w:bCs w:val="1"/>
                <w:color w:val="auto"/>
              </w:rPr>
              <w:t>Total</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Banking Division</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760" w:type="dxa"/>
            <w:vAlign w:val="bottom"/>
            <w:tcBorders>
              <w:top w:val="single" w:sz="8" w:color="auto"/>
            </w:tcBorders>
            <w:gridSpan w:val="3"/>
          </w:tcPr>
          <w:p>
            <w:pPr>
              <w:jc w:val="center"/>
              <w:ind w:right="36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4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Loans:</w:t>
            </w: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160"/>
              <w:spacing w:after="0"/>
              <w:rPr>
                <w:sz w:val="20"/>
                <w:szCs w:val="20"/>
                <w:color w:val="auto"/>
              </w:rPr>
            </w:pPr>
            <w:r>
              <w:rPr>
                <w:rFonts w:ascii="Arial" w:cs="Arial" w:eastAsia="Arial" w:hAnsi="Arial"/>
                <w:sz w:val="18"/>
                <w:szCs w:val="18"/>
                <w:color w:val="auto"/>
              </w:rPr>
              <w:t>Residential real estate</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3,090</w:t>
            </w:r>
          </w:p>
        </w:tc>
        <w:tc>
          <w:tcPr>
            <w:tcW w:w="50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0</w:t>
            </w:r>
          </w:p>
        </w:tc>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3,090</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Home equity</w:t>
            </w: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220</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w:t>
            </w:r>
          </w:p>
        </w:tc>
        <w:tc>
          <w:tcPr>
            <w:tcW w:w="4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220</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160"/>
              <w:spacing w:after="0"/>
              <w:rPr>
                <w:sz w:val="20"/>
                <w:szCs w:val="20"/>
                <w:color w:val="auto"/>
              </w:rPr>
            </w:pPr>
            <w:r>
              <w:rPr>
                <w:rFonts w:ascii="Arial" w:cs="Arial" w:eastAsia="Arial" w:hAnsi="Arial"/>
                <w:sz w:val="18"/>
                <w:szCs w:val="18"/>
                <w:color w:val="auto"/>
              </w:rPr>
              <w:t>Commercial real estate</w:t>
            </w: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417</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1,055</w:t>
            </w:r>
          </w:p>
        </w:tc>
        <w:tc>
          <w:tcPr>
            <w:tcW w:w="4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1,472</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Construction</w:t>
            </w: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w:t>
            </w:r>
          </w:p>
        </w:tc>
        <w:tc>
          <w:tcPr>
            <w:tcW w:w="4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160"/>
              <w:spacing w:after="0"/>
              <w:rPr>
                <w:sz w:val="20"/>
                <w:szCs w:val="20"/>
                <w:color w:val="auto"/>
              </w:rPr>
            </w:pPr>
            <w:r>
              <w:rPr>
                <w:rFonts w:ascii="Arial" w:cs="Arial" w:eastAsia="Arial" w:hAnsi="Arial"/>
                <w:sz w:val="18"/>
                <w:szCs w:val="18"/>
                <w:color w:val="auto"/>
              </w:rPr>
              <w:t>Commercial business</w:t>
            </w: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1,008</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0</w:t>
            </w:r>
          </w:p>
        </w:tc>
        <w:tc>
          <w:tcPr>
            <w:tcW w:w="4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1,008</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Consumer</w:t>
            </w: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324</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w:t>
            </w:r>
          </w:p>
        </w:tc>
        <w:tc>
          <w:tcPr>
            <w:tcW w:w="4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324</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tcPr>
          <w:p>
            <w:pPr>
              <w:ind w:left="340"/>
              <w:spacing w:after="0"/>
              <w:rPr>
                <w:sz w:val="20"/>
                <w:szCs w:val="20"/>
                <w:color w:val="auto"/>
              </w:rPr>
            </w:pPr>
            <w:r>
              <w:rPr>
                <w:rFonts w:ascii="Arial" w:cs="Arial" w:eastAsia="Arial" w:hAnsi="Arial"/>
                <w:sz w:val="18"/>
                <w:szCs w:val="18"/>
                <w:color w:val="auto"/>
              </w:rPr>
              <w:t>Subtotal</w:t>
            </w:r>
          </w:p>
        </w:tc>
        <w:tc>
          <w:tcPr>
            <w:tcW w:w="1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5,059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1,055</w:t>
            </w:r>
          </w:p>
        </w:tc>
        <w:tc>
          <w:tcPr>
            <w:tcW w:w="28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6,114</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Real estate owned and other repossessed collateral</w:t>
            </w: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834</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w:t>
            </w:r>
          </w:p>
        </w:tc>
        <w:tc>
          <w:tcPr>
            <w:tcW w:w="4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834</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62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Total</w:t>
            </w:r>
          </w:p>
        </w:tc>
        <w:tc>
          <w:tcPr>
            <w:tcW w:w="118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5,893</w:t>
            </w:r>
          </w:p>
        </w:tc>
        <w:tc>
          <w:tcPr>
            <w:tcW w:w="16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1,055</w:t>
            </w:r>
          </w:p>
        </w:tc>
        <w:tc>
          <w:tcPr>
            <w:tcW w:w="280" w:type="dxa"/>
            <w:vAlign w:val="bottom"/>
            <w:tcBorders>
              <w:bottom w:val="single" w:sz="8" w:color="CCEEFF"/>
            </w:tcBorders>
          </w:tcPr>
          <w:p>
            <w:pPr>
              <w:spacing w:after="0"/>
              <w:rPr>
                <w:sz w:val="21"/>
                <w:szCs w:val="21"/>
                <w:color w:val="auto"/>
              </w:rPr>
            </w:pPr>
          </w:p>
        </w:tc>
        <w:tc>
          <w:tcPr>
            <w:tcW w:w="400" w:type="dxa"/>
            <w:vAlign w:val="bottom"/>
            <w:tcBorders>
              <w:top w:val="single" w:sz="8" w:color="auto"/>
              <w:bottom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6,948</w:t>
            </w:r>
          </w:p>
        </w:tc>
        <w:tc>
          <w:tcPr>
            <w:tcW w:w="160" w:type="dxa"/>
            <w:vAlign w:val="bottom"/>
            <w:tcBorders>
              <w:bottom w:val="single" w:sz="8" w:color="CCEEFF"/>
            </w:tcBorders>
          </w:tcPr>
          <w:p>
            <w:pPr>
              <w:spacing w:after="0"/>
              <w:rPr>
                <w:sz w:val="21"/>
                <w:szCs w:val="21"/>
                <w:color w:val="auto"/>
              </w:rPr>
            </w:pP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6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Ratio of nonperforming loans to total loans</w:t>
            </w: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1.72%</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Ratio of nonperforming assets to total assets</w:t>
            </w: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1.04%</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Ratio of loans past due to total loans</w:t>
            </w: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Nonperforming loans that are current</w:t>
            </w: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377</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Commercial loans risk rated substandard or worse</w:t>
            </w: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2,486</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Troubled debt restructurings:</w:t>
            </w: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On accrual status</w:t>
            </w: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1,165</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20" w:type="dxa"/>
            <w:vAlign w:val="bottom"/>
          </w:tcPr>
          <w:p>
            <w:pPr>
              <w:ind w:left="160"/>
              <w:spacing w:after="0"/>
              <w:rPr>
                <w:sz w:val="20"/>
                <w:szCs w:val="20"/>
                <w:color w:val="auto"/>
              </w:rPr>
            </w:pPr>
            <w:r>
              <w:rPr>
                <w:rFonts w:ascii="Arial" w:cs="Arial" w:eastAsia="Arial" w:hAnsi="Arial"/>
                <w:sz w:val="18"/>
                <w:szCs w:val="18"/>
                <w:color w:val="auto"/>
              </w:rPr>
              <w:t>Nonaccrual status</w:t>
            </w: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139</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462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32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1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59"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Loan Losses</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connection with the application of the acquisition method of accounting for the merger with FHB on December 29, 2010, the allowance for loan losses was reduced to zero when the loan portfolio was marked to its then fair value. Since that date, the Company has provided for an allowance for loan losses as new loans are originated or in the event that credit exposure in the pre-merger loan portfolio or other acquired loans exceeds the exposure estimated when initial fair values were determined.</w:t>
      </w:r>
    </w:p>
    <w:p>
      <w:pPr>
        <w:spacing w:after="0" w:line="187"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The Company’s allowance for loan losses was $1.0 million as of March 31, 2013, which represents an increase of $209 thousand from $824 thousand as of June 30, 2012. The increase during the nine months ended March 31, 2013 was principally due to an increase in specific reserves on TDRs.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ratios related to the allowance for loan losses for the periods indicated.</w:t>
      </w:r>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506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March 31, 2013</w:t>
            </w:r>
          </w:p>
        </w:tc>
        <w:tc>
          <w:tcPr>
            <w:tcW w:w="28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June 30, 2012</w:t>
            </w:r>
          </w:p>
        </w:tc>
        <w:tc>
          <w:tcPr>
            <w:tcW w:w="28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March 31, 2012</w:t>
            </w:r>
          </w:p>
        </w:tc>
        <w:tc>
          <w:tcPr>
            <w:tcW w:w="160" w:type="dxa"/>
            <w:vAlign w:val="bottom"/>
            <w:tcBorders>
              <w:bottom w:val="single" w:sz="8" w:color="CCEEFF"/>
            </w:tcBorders>
          </w:tcPr>
          <w:p>
            <w:pPr>
              <w:spacing w:after="0"/>
              <w:rPr>
                <w:sz w:val="14"/>
                <w:szCs w:val="14"/>
                <w:color w:val="auto"/>
              </w:rPr>
            </w:pPr>
          </w:p>
        </w:tc>
      </w:tr>
      <w:tr>
        <w:trPr>
          <w:trHeight w:val="210"/>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Allowance for loan losses to nonperforming loans</w:t>
            </w: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19.15%</w:t>
            </w: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13.48%</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14.44%</w:t>
            </w:r>
          </w:p>
        </w:tc>
      </w:tr>
      <w:tr>
        <w:trPr>
          <w:trHeight w:val="230"/>
        </w:trPr>
        <w:tc>
          <w:tcPr>
            <w:tcW w:w="5060" w:type="dxa"/>
            <w:vAlign w:val="bottom"/>
          </w:tcPr>
          <w:p>
            <w:pPr>
              <w:spacing w:after="0"/>
              <w:rPr>
                <w:sz w:val="20"/>
                <w:szCs w:val="20"/>
                <w:color w:val="auto"/>
              </w:rPr>
            </w:pPr>
            <w:r>
              <w:rPr>
                <w:rFonts w:ascii="Arial" w:cs="Arial" w:eastAsia="Arial" w:hAnsi="Arial"/>
                <w:sz w:val="18"/>
                <w:szCs w:val="18"/>
                <w:color w:val="auto"/>
              </w:rPr>
              <w:t>Allowance for loan losses to total loans</w:t>
            </w: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0.27%</w:t>
            </w: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0.23%</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0.22%</w:t>
            </w:r>
          </w:p>
        </w:tc>
      </w:tr>
    </w:tbl>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While management believes that it uses the best information available to make its determinations with respect to the allowance, there can be no assurance that the Company will not have to increase its provision for loan losses in the future as a result of changing economic conditions, adverse markets for real estate or other factors.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Assets</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cash surrender value of the Company’s bank-owned life insurance (“BOLI”) assets decreased $29 thousand, or 0.2%, to $14.3 million at March 31, 2013 as compared to June 30, 2012. The decrease during the period represents earnings of $599 thousand, offset by death benefit proceeds received of $628 thousand. Increases in cash surrender value are recognized in other income and are not subject to income taxes. Borrowing on or surrendering a policy may subject the Company to income tax expense on the increase in cash surrender value. For these reasons, management considers BOLI an illiquid asset. BOLI represented 11.6% of the Company’s total risk-based capital at March 31, 2013.</w:t>
      </w:r>
    </w:p>
    <w:p>
      <w:pPr>
        <w:spacing w:after="0" w:line="18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Intangible assets totaled $3.8 million and $4.5 million at March 31, 2013 and June 30, 2012, respectively. The $736 thousand decrease was the result of core deposit intangible asset amortization during the period.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Deposits, Borrowed Funds, Capital Resources and Liquidity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Deposits</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Company’s principal source of funding is its core deposit accounts. At March 31, 2013, non-maturity accounts and certificates of deposit with balances less than $250 thousand represented 98.5% of total deposits.</w:t>
      </w:r>
    </w:p>
    <w:p>
      <w:pPr>
        <w:spacing w:after="0" w:line="17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Total deposits increased $83.4 million to $505.6 million as of March 31, 2013 from $422.2 million as of June 30, 2012. The increase was the result of a $68.0 million increase in deposits raised through ableBanking, the Bank’s online affinity deposit platform. The composition of total deposits at March 31, 2013 and June 30, 2012 follows.</w:t>
      </w:r>
    </w:p>
    <w:p>
      <w:pPr>
        <w:spacing w:after="0" w:line="173"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40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2"/>
          </w:tcPr>
          <w:p>
            <w:pPr>
              <w:ind w:left="640"/>
              <w:spacing w:after="0"/>
              <w:rPr>
                <w:sz w:val="20"/>
                <w:szCs w:val="20"/>
                <w:color w:val="auto"/>
              </w:rPr>
            </w:pPr>
            <w:r>
              <w:rPr>
                <w:rFonts w:ascii="Arial" w:cs="Arial" w:eastAsia="Arial" w:hAnsi="Arial"/>
                <w:sz w:val="14"/>
                <w:szCs w:val="14"/>
                <w:b w:val="1"/>
                <w:bCs w:val="1"/>
                <w:color w:val="auto"/>
                <w:w w:val="98"/>
              </w:rPr>
              <w:t>March 31, 2013</w:t>
            </w:r>
          </w:p>
        </w:tc>
        <w:tc>
          <w:tcPr>
            <w:tcW w:w="8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June 30, 2012</w:t>
            </w:r>
          </w:p>
        </w:tc>
        <w:tc>
          <w:tcPr>
            <w:tcW w:w="8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0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Amount</w:t>
            </w:r>
          </w:p>
        </w:tc>
        <w:tc>
          <w:tcPr>
            <w:tcW w:w="800" w:type="dxa"/>
            <w:vAlign w:val="bottom"/>
          </w:tcPr>
          <w:p>
            <w:pPr>
              <w:jc w:val="right"/>
              <w:ind w:right="355"/>
              <w:spacing w:after="0" w:line="119" w:lineRule="exact"/>
              <w:rPr>
                <w:sz w:val="20"/>
                <w:szCs w:val="20"/>
                <w:color w:val="auto"/>
              </w:rPr>
            </w:pPr>
            <w:r>
              <w:rPr>
                <w:rFonts w:ascii="Arial" w:cs="Arial" w:eastAsia="Arial" w:hAnsi="Arial"/>
                <w:sz w:val="13"/>
                <w:szCs w:val="13"/>
                <w:b w:val="1"/>
                <w:bCs w:val="1"/>
                <w:color w:val="auto"/>
              </w:rPr>
              <w:t>% of</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20" w:type="dxa"/>
            <w:vAlign w:val="bottom"/>
            <w:gridSpan w:val="2"/>
            <w:vMerge w:val="restart"/>
          </w:tcPr>
          <w:p>
            <w:pPr>
              <w:jc w:val="right"/>
              <w:ind w:right="980"/>
              <w:spacing w:after="0"/>
              <w:rPr>
                <w:sz w:val="20"/>
                <w:szCs w:val="20"/>
                <w:color w:val="auto"/>
              </w:rPr>
            </w:pPr>
            <w:r>
              <w:rPr>
                <w:rFonts w:ascii="Arial" w:cs="Arial" w:eastAsia="Arial" w:hAnsi="Arial"/>
                <w:sz w:val="14"/>
                <w:szCs w:val="14"/>
                <w:b w:val="1"/>
                <w:bCs w:val="1"/>
                <w:color w:val="auto"/>
              </w:rPr>
              <w:t>Amount</w:t>
            </w:r>
          </w:p>
        </w:tc>
        <w:tc>
          <w:tcPr>
            <w:tcW w:w="820" w:type="dxa"/>
            <w:vAlign w:val="bottom"/>
          </w:tcPr>
          <w:p>
            <w:pPr>
              <w:jc w:val="right"/>
              <w:ind w:right="354"/>
              <w:spacing w:after="0" w:line="119" w:lineRule="exact"/>
              <w:rPr>
                <w:sz w:val="20"/>
                <w:szCs w:val="20"/>
                <w:color w:val="auto"/>
              </w:rPr>
            </w:pPr>
            <w:r>
              <w:rPr>
                <w:rFonts w:ascii="Arial" w:cs="Arial" w:eastAsia="Arial" w:hAnsi="Arial"/>
                <w:sz w:val="13"/>
                <w:szCs w:val="13"/>
                <w:b w:val="1"/>
                <w:bCs w:val="1"/>
                <w:color w:val="auto"/>
              </w:rPr>
              <w:t>% of</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104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gridSpan w:val="2"/>
            <w:vMerge w:val="continue"/>
          </w:tcPr>
          <w:p>
            <w:pPr>
              <w:spacing w:after="0"/>
              <w:rPr>
                <w:sz w:val="14"/>
                <w:szCs w:val="14"/>
                <w:color w:val="auto"/>
              </w:rPr>
            </w:pPr>
          </w:p>
        </w:tc>
        <w:tc>
          <w:tcPr>
            <w:tcW w:w="9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40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960" w:type="dxa"/>
            <w:vAlign w:val="bottom"/>
            <w:tcBorders>
              <w:top w:val="single" w:sz="8" w:color="auto"/>
            </w:tcBorders>
            <w:gridSpan w:val="6"/>
          </w:tcPr>
          <w:p>
            <w:pPr>
              <w:jc w:val="right"/>
              <w:ind w:right="1320"/>
              <w:spacing w:after="0" w:line="142" w:lineRule="exact"/>
              <w:rPr>
                <w:sz w:val="20"/>
                <w:szCs w:val="20"/>
                <w:color w:val="auto"/>
              </w:rPr>
            </w:pPr>
            <w:r>
              <w:rPr>
                <w:rFonts w:ascii="Arial" w:cs="Arial" w:eastAsia="Arial" w:hAnsi="Arial"/>
                <w:sz w:val="14"/>
                <w:szCs w:val="14"/>
                <w:b w:val="1"/>
                <w:bCs w:val="1"/>
                <w:color w:val="auto"/>
              </w:rPr>
              <w:t>(Dollars in thousands)</w:t>
            </w:r>
          </w:p>
        </w:tc>
        <w:tc>
          <w:tcPr>
            <w:tcW w:w="8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Demand deposits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46,783</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9.25%</w:t>
            </w:r>
          </w:p>
        </w:tc>
        <w:tc>
          <w:tcPr>
            <w:tcW w:w="3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45,323</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10.74%</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NOW accounts</w:t>
            </w:r>
          </w:p>
        </w:tc>
        <w:tc>
          <w:tcPr>
            <w:tcW w:w="220" w:type="dxa"/>
            <w:vAlign w:val="bottom"/>
          </w:tcPr>
          <w:p>
            <w:pPr>
              <w:spacing w:after="0"/>
              <w:rPr>
                <w:sz w:val="18"/>
                <w:szCs w:val="18"/>
                <w:color w:val="auto"/>
              </w:rPr>
            </w:pPr>
          </w:p>
        </w:tc>
        <w:tc>
          <w:tcPr>
            <w:tcW w:w="1640" w:type="dxa"/>
            <w:vAlign w:val="bottom"/>
            <w:gridSpan w:val="2"/>
          </w:tcPr>
          <w:p>
            <w:pPr>
              <w:jc w:val="right"/>
              <w:ind w:right="660"/>
              <w:spacing w:after="0"/>
              <w:rPr>
                <w:sz w:val="20"/>
                <w:szCs w:val="20"/>
                <w:color w:val="auto"/>
              </w:rPr>
            </w:pPr>
            <w:r>
              <w:rPr>
                <w:rFonts w:ascii="Arial" w:cs="Arial" w:eastAsia="Arial" w:hAnsi="Arial"/>
                <w:sz w:val="18"/>
                <w:szCs w:val="18"/>
                <w:color w:val="auto"/>
              </w:rPr>
              <w:t>56,754</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11.23%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right"/>
              <w:ind w:right="660"/>
              <w:spacing w:after="0"/>
              <w:rPr>
                <w:sz w:val="20"/>
                <w:szCs w:val="20"/>
                <w:color w:val="auto"/>
              </w:rPr>
            </w:pPr>
            <w:r>
              <w:rPr>
                <w:rFonts w:ascii="Arial" w:cs="Arial" w:eastAsia="Arial" w:hAnsi="Arial"/>
                <w:sz w:val="18"/>
                <w:szCs w:val="18"/>
                <w:color w:val="auto"/>
              </w:rPr>
              <w:t>57,477</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13.61%</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Regular and other savings</w:t>
            </w:r>
          </w:p>
        </w:tc>
        <w:tc>
          <w:tcPr>
            <w:tcW w:w="2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32,641</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32,727</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Money market deposits</w:t>
            </w:r>
          </w:p>
        </w:tc>
        <w:tc>
          <w:tcPr>
            <w:tcW w:w="220" w:type="dxa"/>
            <w:vAlign w:val="bottom"/>
          </w:tcPr>
          <w:p>
            <w:pPr>
              <w:spacing w:after="0"/>
              <w:rPr>
                <w:sz w:val="18"/>
                <w:szCs w:val="18"/>
                <w:color w:val="auto"/>
              </w:rPr>
            </w:pPr>
          </w:p>
        </w:tc>
        <w:tc>
          <w:tcPr>
            <w:tcW w:w="1640" w:type="dxa"/>
            <w:vAlign w:val="bottom"/>
            <w:gridSpan w:val="2"/>
          </w:tcPr>
          <w:p>
            <w:pPr>
              <w:jc w:val="right"/>
              <w:ind w:right="660"/>
              <w:spacing w:after="0"/>
              <w:rPr>
                <w:sz w:val="20"/>
                <w:szCs w:val="20"/>
                <w:color w:val="auto"/>
              </w:rPr>
            </w:pPr>
            <w:r>
              <w:rPr>
                <w:rFonts w:ascii="Arial" w:cs="Arial" w:eastAsia="Arial" w:hAnsi="Arial"/>
                <w:sz w:val="18"/>
                <w:szCs w:val="18"/>
                <w:color w:val="auto"/>
              </w:rPr>
              <w:t>83,128</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16.44%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right"/>
              <w:ind w:right="660"/>
              <w:spacing w:after="0"/>
              <w:rPr>
                <w:sz w:val="20"/>
                <w:szCs w:val="20"/>
                <w:color w:val="auto"/>
              </w:rPr>
            </w:pPr>
            <w:r>
              <w:rPr>
                <w:rFonts w:ascii="Arial" w:cs="Arial" w:eastAsia="Arial" w:hAnsi="Arial"/>
                <w:sz w:val="18"/>
                <w:szCs w:val="18"/>
                <w:color w:val="auto"/>
              </w:rPr>
              <w:t>45,024</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10.66%</w:t>
            </w:r>
          </w:p>
        </w:tc>
        <w:tc>
          <w:tcPr>
            <w:tcW w:w="0" w:type="dxa"/>
            <w:vAlign w:val="bottom"/>
          </w:tcPr>
          <w:p>
            <w:pPr>
              <w:spacing w:after="0"/>
              <w:rPr>
                <w:sz w:val="1"/>
                <w:szCs w:val="1"/>
                <w:color w:val="auto"/>
              </w:rPr>
            </w:pPr>
          </w:p>
        </w:tc>
      </w:tr>
      <w:tr>
        <w:trPr>
          <w:trHeight w:val="210"/>
        </w:trPr>
        <w:tc>
          <w:tcPr>
            <w:tcW w:w="40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non-certificate accounts</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219,306</w:t>
            </w:r>
          </w:p>
        </w:tc>
        <w:tc>
          <w:tcPr>
            <w:tcW w:w="66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43.38%</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180,551</w:t>
            </w:r>
          </w:p>
        </w:tc>
        <w:tc>
          <w:tcPr>
            <w:tcW w:w="6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42.76%</w:t>
            </w:r>
          </w:p>
        </w:tc>
        <w:tc>
          <w:tcPr>
            <w:tcW w:w="0" w:type="dxa"/>
            <w:vAlign w:val="bottom"/>
          </w:tcPr>
          <w:p>
            <w:pPr>
              <w:spacing w:after="0"/>
              <w:rPr>
                <w:sz w:val="1"/>
                <w:szCs w:val="1"/>
                <w:color w:val="auto"/>
              </w:rPr>
            </w:pPr>
          </w:p>
        </w:tc>
      </w:tr>
      <w:tr>
        <w:trPr>
          <w:trHeight w:val="210"/>
        </w:trPr>
        <w:tc>
          <w:tcPr>
            <w:tcW w:w="4080" w:type="dxa"/>
            <w:vAlign w:val="bottom"/>
          </w:tcPr>
          <w:p>
            <w:pPr>
              <w:spacing w:after="0"/>
              <w:rPr>
                <w:sz w:val="20"/>
                <w:szCs w:val="20"/>
                <w:color w:val="auto"/>
              </w:rPr>
            </w:pPr>
            <w:r>
              <w:rPr>
                <w:rFonts w:ascii="Arial" w:cs="Arial" w:eastAsia="Arial" w:hAnsi="Arial"/>
                <w:sz w:val="18"/>
                <w:szCs w:val="18"/>
                <w:color w:val="auto"/>
              </w:rPr>
              <w:t>Term certificates less than $250 thousand</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278,695</w:t>
            </w:r>
          </w:p>
        </w:tc>
        <w:tc>
          <w:tcPr>
            <w:tcW w:w="6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55.12%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232,948</w:t>
            </w:r>
          </w:p>
        </w:tc>
        <w:tc>
          <w:tcPr>
            <w:tcW w:w="6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55.18%</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Term certificates of $250 thousand or more</w:t>
            </w:r>
          </w:p>
        </w:tc>
        <w:tc>
          <w:tcPr>
            <w:tcW w:w="2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7,585</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8,689</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0"/>
        </w:trPr>
        <w:tc>
          <w:tcPr>
            <w:tcW w:w="40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certificate accounts</w:t>
            </w:r>
          </w:p>
        </w:tc>
        <w:tc>
          <w:tcPr>
            <w:tcW w:w="2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286,280</w:t>
            </w:r>
          </w:p>
        </w:tc>
        <w:tc>
          <w:tcPr>
            <w:tcW w:w="66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56.62%</w:t>
            </w: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241,637</w:t>
            </w:r>
          </w:p>
        </w:tc>
        <w:tc>
          <w:tcPr>
            <w:tcW w:w="66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57.24%</w:t>
            </w:r>
          </w:p>
        </w:tc>
        <w:tc>
          <w:tcPr>
            <w:tcW w:w="0" w:type="dxa"/>
            <w:vAlign w:val="bottom"/>
          </w:tcPr>
          <w:p>
            <w:pPr>
              <w:spacing w:after="0"/>
              <w:rPr>
                <w:sz w:val="1"/>
                <w:szCs w:val="1"/>
                <w:color w:val="auto"/>
              </w:rPr>
            </w:pPr>
          </w:p>
        </w:tc>
      </w:tr>
      <w:tr>
        <w:trPr>
          <w:trHeight w:val="210"/>
        </w:trPr>
        <w:tc>
          <w:tcPr>
            <w:tcW w:w="4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deposits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505,586</w:t>
            </w:r>
          </w:p>
        </w:tc>
        <w:tc>
          <w:tcPr>
            <w:tcW w:w="66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422,188</w:t>
            </w:r>
          </w:p>
        </w:tc>
        <w:tc>
          <w:tcPr>
            <w:tcW w:w="6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Borrowed Funds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Advances from the FHLB were $33.1 million and $43.5 million at March 31, 2013 and June 30, 2012, the reduction principally the result of $10.0 million in maturing advances repaid during the period. At March 31, 2013, the Company had pledged investment securities with a fair value of $18.3 million, as well as certain residential real estate loans, commercial real estate loans, and FHLB deposits free of liens or pledges to secure outstanding advances and available additional borrowing capacity.</w:t>
      </w:r>
    </w:p>
    <w:p>
      <w:pPr>
        <w:spacing w:after="0" w:line="18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Structured repurchase agreements were $25.5 million and $66.2 million at March 31, 2013 and June 30, 2012, respectively. During the nine months ended March 31, 2013, the Company repaid at maturity structured repurchase agreements totaling $40.0 million. At March</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31, 2013, the Company had pledged investment securities with a fair value of $28.9 million as collateral for outstanding structured repurchase agreements.</w:t>
      </w:r>
    </w:p>
    <w:p>
      <w:pPr>
        <w:sectPr>
          <w:pgSz w:w="11900" w:h="16838" w:orient="portrait"/>
          <w:cols w:equalWidth="0" w:num="1">
            <w:col w:w="11400"/>
          </w:cols>
          <w:pgMar w:left="240" w:top="368" w:right="259" w:bottom="82" w:gutter="0" w:footer="0" w:header="0"/>
        </w:sectPr>
      </w:pPr>
    </w:p>
    <w:bookmarkStart w:id="28" w:name="page29"/>
    <w:bookmarkEnd w:id="28"/>
    <w:p>
      <w:pPr>
        <w:spacing w:after="0" w:line="2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Short-term borrowings, consisting of sweep accounts and repurchase agreements, were $2.4 million and $1.2 million as of March 31, 2013 and June 30, 2012, respectively. At March 31, 2013, short term borrowings were secured by a letter of credit issued by the FHLB totaling $2.0 million and an investment security with a fair value of $3.0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225"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The following table is a summary of the liquidity the Company had the ability to access as of March 31, 2013, in addition to traditional retail deposit products.</w:t>
      </w:r>
    </w:p>
    <w:p>
      <w:pPr>
        <w:spacing w:after="0" w:line="185"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Brokered time deposits</w:t>
            </w:r>
          </w:p>
        </w:tc>
        <w:tc>
          <w:tcPr>
            <w:tcW w:w="320" w:type="dxa"/>
            <w:vAlign w:val="bottom"/>
            <w:gridSpan w:val="2"/>
            <w:shd w:val="clear" w:color="auto" w:fill="CCEEFF"/>
          </w:tcPr>
          <w:p>
            <w:pPr>
              <w:jc w:val="right"/>
              <w:ind w:right="190"/>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174,894</w:t>
            </w:r>
          </w:p>
        </w:tc>
        <w:tc>
          <w:tcPr>
            <w:tcW w:w="120" w:type="dxa"/>
            <w:vAlign w:val="bottom"/>
            <w:shd w:val="clear" w:color="auto" w:fill="CCEEFF"/>
          </w:tcPr>
          <w:p>
            <w:pPr>
              <w:spacing w:after="0"/>
              <w:rPr>
                <w:sz w:val="18"/>
                <w:szCs w:val="18"/>
                <w:color w:val="auto"/>
              </w:rPr>
            </w:pPr>
          </w:p>
        </w:tc>
        <w:tc>
          <w:tcPr>
            <w:tcW w:w="4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Subject to policy limitation of 25% of total assets</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Federal Home Loan Bank of Boston</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13,100</w:t>
            </w:r>
          </w:p>
        </w:tc>
        <w:tc>
          <w:tcPr>
            <w:tcW w:w="4540" w:type="dxa"/>
            <w:vAlign w:val="bottom"/>
          </w:tcPr>
          <w:p>
            <w:pPr>
              <w:ind w:left="120"/>
              <w:spacing w:after="0"/>
              <w:rPr>
                <w:sz w:val="20"/>
                <w:szCs w:val="20"/>
                <w:color w:val="auto"/>
              </w:rPr>
            </w:pPr>
            <w:r>
              <w:rPr>
                <w:rFonts w:ascii="Arial" w:cs="Arial" w:eastAsia="Arial" w:hAnsi="Arial"/>
                <w:sz w:val="18"/>
                <w:szCs w:val="18"/>
                <w:color w:val="auto"/>
              </w:rPr>
              <w:t>Subject to eligible and qualified collateral</w:t>
            </w:r>
          </w:p>
        </w:tc>
      </w:tr>
      <w:tr>
        <w:trPr>
          <w:trHeight w:val="202"/>
        </w:trPr>
        <w:tc>
          <w:tcPr>
            <w:tcW w:w="4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Federal Reserve Discount Window Borrower-in-</w:t>
            </w: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54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Subject to the pledge of indirect auto loans</w:t>
            </w:r>
          </w:p>
        </w:tc>
      </w:tr>
      <w:tr>
        <w:trPr>
          <w:trHeight w:val="230"/>
        </w:trPr>
        <w:tc>
          <w:tcPr>
            <w:tcW w:w="4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Custody</w:t>
            </w: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125</w:t>
            </w:r>
          </w:p>
        </w:tc>
        <w:tc>
          <w:tcPr>
            <w:tcW w:w="4540" w:type="dxa"/>
            <w:vAlign w:val="bottom"/>
            <w:shd w:val="clear" w:color="auto" w:fill="CCEEFF"/>
          </w:tcPr>
          <w:p>
            <w:pPr>
              <w:spacing w:after="0"/>
              <w:rPr>
                <w:sz w:val="20"/>
                <w:szCs w:val="20"/>
                <w:color w:val="auto"/>
              </w:rPr>
            </w:pPr>
          </w:p>
        </w:tc>
      </w:tr>
      <w:tr>
        <w:trPr>
          <w:trHeight w:val="210"/>
        </w:trPr>
        <w:tc>
          <w:tcPr>
            <w:tcW w:w="4080" w:type="dxa"/>
            <w:vAlign w:val="bottom"/>
          </w:tcPr>
          <w:p>
            <w:pPr>
              <w:spacing w:after="0"/>
              <w:rPr>
                <w:sz w:val="20"/>
                <w:szCs w:val="20"/>
                <w:color w:val="auto"/>
              </w:rPr>
            </w:pPr>
            <w:r>
              <w:rPr>
                <w:rFonts w:ascii="Arial" w:cs="Arial" w:eastAsia="Arial" w:hAnsi="Arial"/>
                <w:sz w:val="18"/>
                <w:szCs w:val="18"/>
                <w:color w:val="auto"/>
              </w:rPr>
              <w:t>Total unused borrowing capacity</w:t>
            </w:r>
          </w:p>
        </w:tc>
        <w:tc>
          <w:tcPr>
            <w:tcW w:w="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188,119</w:t>
            </w:r>
          </w:p>
        </w:tc>
        <w:tc>
          <w:tcPr>
            <w:tcW w:w="120" w:type="dxa"/>
            <w:vAlign w:val="bottom"/>
          </w:tcPr>
          <w:p>
            <w:pPr>
              <w:spacing w:after="0"/>
              <w:rPr>
                <w:sz w:val="18"/>
                <w:szCs w:val="18"/>
                <w:color w:val="auto"/>
              </w:rPr>
            </w:pPr>
          </w:p>
        </w:tc>
        <w:tc>
          <w:tcPr>
            <w:tcW w:w="4540" w:type="dxa"/>
            <w:vAlign w:val="bottom"/>
          </w:tcPr>
          <w:p>
            <w:pPr>
              <w:spacing w:after="0"/>
              <w:rPr>
                <w:sz w:val="18"/>
                <w:szCs w:val="18"/>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Unencumbered investment securities</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78,360</w:t>
            </w:r>
          </w:p>
        </w:tc>
        <w:tc>
          <w:tcPr>
            <w:tcW w:w="4540" w:type="dxa"/>
            <w:vAlign w:val="bottom"/>
            <w:shd w:val="clear" w:color="auto" w:fill="CCEEFF"/>
          </w:tcPr>
          <w:p>
            <w:pPr>
              <w:spacing w:after="0"/>
              <w:rPr>
                <w:sz w:val="18"/>
                <w:szCs w:val="18"/>
                <w:color w:val="auto"/>
              </w:rPr>
            </w:pPr>
          </w:p>
        </w:tc>
      </w:tr>
      <w:tr>
        <w:trPr>
          <w:trHeight w:val="210"/>
        </w:trPr>
        <w:tc>
          <w:tcPr>
            <w:tcW w:w="4080" w:type="dxa"/>
            <w:vAlign w:val="bottom"/>
          </w:tcPr>
          <w:p>
            <w:pPr>
              <w:spacing w:after="0"/>
              <w:rPr>
                <w:sz w:val="20"/>
                <w:szCs w:val="20"/>
                <w:color w:val="auto"/>
              </w:rPr>
            </w:pPr>
            <w:r>
              <w:rPr>
                <w:rFonts w:ascii="Arial" w:cs="Arial" w:eastAsia="Arial" w:hAnsi="Arial"/>
                <w:sz w:val="18"/>
                <w:szCs w:val="18"/>
                <w:color w:val="auto"/>
              </w:rPr>
              <w:t>Total sources of liquidity</w:t>
            </w:r>
          </w:p>
        </w:tc>
        <w:tc>
          <w:tcPr>
            <w:tcW w:w="20" w:type="dxa"/>
            <w:vAlign w:val="bottom"/>
            <w:tcBorders>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266,479</w:t>
            </w:r>
          </w:p>
        </w:tc>
        <w:tc>
          <w:tcPr>
            <w:tcW w:w="120" w:type="dxa"/>
            <w:vAlign w:val="bottom"/>
          </w:tcPr>
          <w:p>
            <w:pPr>
              <w:spacing w:after="0"/>
              <w:rPr>
                <w:sz w:val="18"/>
                <w:szCs w:val="18"/>
                <w:color w:val="auto"/>
              </w:rPr>
            </w:pPr>
          </w:p>
        </w:tc>
        <w:tc>
          <w:tcPr>
            <w:tcW w:w="4540" w:type="dxa"/>
            <w:vAlign w:val="bottom"/>
          </w:tcPr>
          <w:p>
            <w:pPr>
              <w:spacing w:after="0"/>
              <w:rPr>
                <w:sz w:val="18"/>
                <w:szCs w:val="18"/>
                <w:color w:val="auto"/>
              </w:rPr>
            </w:pPr>
          </w:p>
        </w:tc>
      </w:tr>
      <w:tr>
        <w:trPr>
          <w:trHeight w:val="20"/>
        </w:trPr>
        <w:tc>
          <w:tcPr>
            <w:tcW w:w="4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Retail deposits and other core deposit sources including deposit listing services are used by the Company to manage its overall liquidity position. While the Company currently does not seek wholesale funding such as FHLB advances and brokered deposits, the ability to raise them remains an important part of its liquidity contingency planning. While management closely monitors and forecasts the Company’s liquidity position, it is affected by asset growth, deposit withdrawals and other contractual obligations and commitments. The accuracy of management’s forecast assumptions may increase or decrease the Company’s overall available liquidity.</w:t>
      </w:r>
    </w:p>
    <w:p>
      <w:pPr>
        <w:spacing w:after="0" w:line="18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At March 31, 2013, the Company had $266.5 million of immediately accessible liquidity, defined as cash that could be raised within seven days through collateralized borrowings, brokered deposits or security sales. This position represented 38.1% of total assets. The Company also had $142.6 million of cash and cash equivalents at March 31, 2013. This relatively high level of short-term liquidity is intended, in part, for future purchases of commercial loans by the LASG.</w:t>
      </w:r>
    </w:p>
    <w:p>
      <w:pPr>
        <w:spacing w:after="0" w:line="18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Management believes that there are adequate funding sources to meet its liquidity needs for the foreseeable future. Primary funding sources are the repayment of principal and interest on loans, the renewal of time deposits, the potential growth in the deposit base, and the credit availability from the FHLB and the Federal Reserve’s Borrower-in-Custody program. Management does not believe that the terms and conditions that will be present at the renewal of these funding sources will significantly impact the Company’s operations, due to its management of the maturities of its assets and liabilities.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w:t>
      </w:r>
    </w:p>
    <w:p>
      <w:pPr>
        <w:spacing w:after="0" w:line="225" w:lineRule="exact"/>
        <w:rPr>
          <w:sz w:val="20"/>
          <w:szCs w:val="20"/>
          <w:color w:val="auto"/>
        </w:rPr>
      </w:pPr>
    </w:p>
    <w:p>
      <w:pPr>
        <w:ind w:right="340"/>
        <w:spacing w:after="0" w:line="312" w:lineRule="auto"/>
        <w:rPr>
          <w:sz w:val="20"/>
          <w:szCs w:val="20"/>
          <w:color w:val="auto"/>
        </w:rPr>
      </w:pPr>
      <w:r>
        <w:rPr>
          <w:rFonts w:ascii="Arial" w:cs="Arial" w:eastAsia="Arial" w:hAnsi="Arial"/>
          <w:sz w:val="16"/>
          <w:szCs w:val="16"/>
          <w:color w:val="auto"/>
        </w:rPr>
        <w:t>The carrying amount and unpaid principal balance of junior subordinated debentures totaled $8.2 million and $16.5 million, respectively, as of March 31, 2013. This debt represents qualifying Tier 1 capital for the Company, up to a maximum of 25% of total Tier 1 capital. At March 31, 2013, the carrying amounts of the junior subordinated notes, net of the Company’s $496 thousand investment in the affiliated trusts, qualified as Tier 1 capital.</w:t>
      </w:r>
    </w:p>
    <w:p>
      <w:pPr>
        <w:spacing w:after="0" w:line="14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Total stockholders’ equity was $115.7 million and $119.1 million at March 31, 2013 and June 30, 2012, respectively. The change reflects net income for the period, repayment of TARP preferred stock and warrants, dividends paid, and other comprehensive loss during the period. Book value per outstanding common share was $11.08 at March 31, 2013 and $11.07 at June 30, 2012. Tier 1 capital to total average assets of the Company was 17.41% as of March 31, 2013 and 19.91% at June 30, 2012.</w:t>
      </w:r>
    </w:p>
    <w:p>
      <w:pPr>
        <w:spacing w:after="0" w:line="18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addition to the risk-based capital requirements, the Federal Reserve requires top-rated bank holding companies to maintain a minimum leverage capital ratio of Tier 1 capital (defined by reference to the risk-based capital guidelines) to its average total consolidated assets of at least 3.0%. For most other bank holding companies (including the Company), the minimum leverage capital ratio is 4.0%. Bank holding companies with supervisory, financial, operational or managerial weaknesses, as well as bank holding companies that are anticipating or experiencing significant growth, are expected to maintain capital ratios well above the minimum levels.</w:t>
      </w:r>
    </w:p>
    <w:p>
      <w:pPr>
        <w:spacing w:after="0" w:line="18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Federal Reserve’s capital adequacy standards also apply to state-chartered banks that are members of the Federal Reserve System, such as the Bank. Moreover, the Federal Reserve has promulgated corresponding regulations to implement the system of prompt corrective action established by Section 38 of the Federal Deposit Insurance Act. Under these regulations, a bank is “well capitalized” if it has: (i) a total risk-based capital ratio of 10.0% or greater; (ii) a Tier 1 risk-based capital ratio of 6.0% or greater; (iii) a leverage capital ratio of 5.0% or greater; and (iv) is not subject to any written agreement, order, capital directive or prompt corrective action directive to meet and maintain a specific capital level for any capital measure. A bank is “adequately capitalized” if it has: (1) a total risk-based capital ratio of 8.0% or greater; (2) a Tier 1 risk-based capital ratio of 4.0% or greater; and (3) a leverage capital ratio of 4.0% or greater (3.0% under certain circumstances) and does not meet the definition of a “well capitalized bank.”</w:t>
      </w:r>
    </w:p>
    <w:p>
      <w:pPr>
        <w:spacing w:after="0" w:line="178" w:lineRule="exact"/>
        <w:rPr>
          <w:sz w:val="20"/>
          <w:szCs w:val="20"/>
          <w:color w:val="auto"/>
        </w:rPr>
      </w:pPr>
    </w:p>
    <w:p>
      <w:pPr>
        <w:jc w:val="both"/>
        <w:ind w:right="140"/>
        <w:spacing w:after="0" w:line="312" w:lineRule="auto"/>
        <w:rPr>
          <w:sz w:val="20"/>
          <w:szCs w:val="20"/>
          <w:color w:val="auto"/>
        </w:rPr>
      </w:pPr>
      <w:r>
        <w:rPr>
          <w:rFonts w:ascii="Arial" w:cs="Arial" w:eastAsia="Arial" w:hAnsi="Arial"/>
          <w:sz w:val="16"/>
          <w:szCs w:val="16"/>
          <w:color w:val="auto"/>
        </w:rPr>
        <w:t>The Federal Reserve also must take into consideration: (i) concentrations of credit risk; (ii) interest rate risk; and (iii) risks from non-traditional activities, as well as an institution’s ability to manage those risks when determining the adequacy of an institution’s capital. This evaluation will be made as a part of the institution’s regular safety and soundness examination. The Bank is currently considered well-capitalized under all regulatory definitions.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Further, the Bank and the Company are subject to capital commitments with the Federal Reserve and the Bureau that require higher minimum capital ratios. These commitments require that the Company and the Bank (i) maintain a Tier 1 leverage ratio of at least 10%, (ii) maintain a total risk-based capital ratio of at least 15%, The Bank and the Company were in compliance with these commitments at March 31, 2013.</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Company’s and the Bank’s regulatory capital ratios are set forth below.</w:t>
      </w:r>
    </w:p>
    <w:p>
      <w:pPr>
        <w:spacing w:after="0" w:line="204" w:lineRule="exact"/>
        <w:rPr>
          <w:sz w:val="20"/>
          <w:szCs w:val="20"/>
          <w:color w:val="auto"/>
        </w:rPr>
      </w:pPr>
    </w:p>
    <w:tbl>
      <w:tblPr>
        <w:tblLayout w:type="fixed"/>
        <w:tblInd w:w="7360" w:type="dxa"/>
        <w:tblCellMar>
          <w:top w:w="0" w:type="dxa"/>
          <w:left w:w="0" w:type="dxa"/>
          <w:bottom w:w="0" w:type="dxa"/>
          <w:right w:w="0" w:type="dxa"/>
        </w:tblCellMar>
      </w:tblPr>
      <w:tr>
        <w:trPr>
          <w:trHeight w:val="161"/>
        </w:trPr>
        <w:tc>
          <w:tcPr>
            <w:tcW w:w="1400" w:type="dxa"/>
            <w:vAlign w:val="bottom"/>
          </w:tcPr>
          <w:p>
            <w:pPr>
              <w:spacing w:after="0"/>
              <w:rPr>
                <w:sz w:val="13"/>
                <w:szCs w:val="13"/>
                <w:color w:val="auto"/>
              </w:rPr>
            </w:pPr>
          </w:p>
        </w:tc>
        <w:tc>
          <w:tcPr>
            <w:tcW w:w="1960" w:type="dxa"/>
            <w:vAlign w:val="bottom"/>
          </w:tcPr>
          <w:p>
            <w:pPr>
              <w:jc w:val="center"/>
              <w:ind w:left="708"/>
              <w:spacing w:after="0"/>
              <w:rPr>
                <w:sz w:val="20"/>
                <w:szCs w:val="20"/>
                <w:color w:val="auto"/>
              </w:rPr>
            </w:pPr>
            <w:r>
              <w:rPr>
                <w:rFonts w:ascii="Arial" w:cs="Arial" w:eastAsia="Arial" w:hAnsi="Arial"/>
                <w:sz w:val="14"/>
                <w:szCs w:val="14"/>
                <w:b w:val="1"/>
                <w:bCs w:val="1"/>
                <w:color w:val="auto"/>
              </w:rPr>
              <w:t>Minimum</w:t>
            </w:r>
          </w:p>
        </w:tc>
        <w:tc>
          <w:tcPr>
            <w:tcW w:w="0" w:type="dxa"/>
            <w:vAlign w:val="bottom"/>
          </w:tcPr>
          <w:p>
            <w:pPr>
              <w:spacing w:after="0"/>
              <w:rPr>
                <w:sz w:val="1"/>
                <w:szCs w:val="1"/>
                <w:color w:val="auto"/>
              </w:rPr>
            </w:pPr>
          </w:p>
        </w:tc>
      </w:tr>
      <w:tr>
        <w:trPr>
          <w:trHeight w:val="149"/>
        </w:trPr>
        <w:tc>
          <w:tcPr>
            <w:tcW w:w="1400" w:type="dxa"/>
            <w:vAlign w:val="bottom"/>
            <w:vMerge w:val="restart"/>
          </w:tcPr>
          <w:p>
            <w:pPr>
              <w:jc w:val="center"/>
              <w:ind w:right="728"/>
              <w:spacing w:after="0"/>
              <w:rPr>
                <w:sz w:val="20"/>
                <w:szCs w:val="20"/>
                <w:color w:val="auto"/>
              </w:rPr>
            </w:pPr>
            <w:r>
              <w:rPr>
                <w:rFonts w:ascii="Arial" w:cs="Arial" w:eastAsia="Arial" w:hAnsi="Arial"/>
                <w:sz w:val="14"/>
                <w:szCs w:val="14"/>
                <w:b w:val="1"/>
                <w:bCs w:val="1"/>
                <w:color w:val="auto"/>
                <w:w w:val="97"/>
              </w:rPr>
              <w:t>Minimum</w:t>
            </w:r>
          </w:p>
        </w:tc>
        <w:tc>
          <w:tcPr>
            <w:tcW w:w="1960" w:type="dxa"/>
            <w:vAlign w:val="bottom"/>
          </w:tcPr>
          <w:p>
            <w:pPr>
              <w:jc w:val="center"/>
              <w:ind w:left="708"/>
              <w:spacing w:after="0" w:line="149" w:lineRule="exact"/>
              <w:rPr>
                <w:sz w:val="20"/>
                <w:szCs w:val="20"/>
                <w:color w:val="auto"/>
              </w:rPr>
            </w:pPr>
            <w:r>
              <w:rPr>
                <w:rFonts w:ascii="Arial" w:cs="Arial" w:eastAsia="Arial" w:hAnsi="Arial"/>
                <w:sz w:val="14"/>
                <w:szCs w:val="14"/>
                <w:b w:val="1"/>
                <w:bCs w:val="1"/>
                <w:color w:val="auto"/>
                <w:w w:val="92"/>
              </w:rPr>
              <w:t>To Be Well</w:t>
            </w:r>
          </w:p>
        </w:tc>
        <w:tc>
          <w:tcPr>
            <w:tcW w:w="0" w:type="dxa"/>
            <w:vAlign w:val="bottom"/>
          </w:tcPr>
          <w:p>
            <w:pPr>
              <w:spacing w:after="0"/>
              <w:rPr>
                <w:sz w:val="1"/>
                <w:szCs w:val="1"/>
                <w:color w:val="auto"/>
              </w:rPr>
            </w:pPr>
          </w:p>
        </w:tc>
      </w:tr>
      <w:tr>
        <w:trPr>
          <w:trHeight w:val="149"/>
        </w:trPr>
        <w:tc>
          <w:tcPr>
            <w:tcW w:w="1400" w:type="dxa"/>
            <w:vAlign w:val="bottom"/>
            <w:vMerge w:val="continue"/>
          </w:tcPr>
          <w:p>
            <w:pPr>
              <w:spacing w:after="0"/>
              <w:rPr>
                <w:sz w:val="12"/>
                <w:szCs w:val="12"/>
                <w:color w:val="auto"/>
              </w:rPr>
            </w:pPr>
          </w:p>
        </w:tc>
        <w:tc>
          <w:tcPr>
            <w:tcW w:w="1960" w:type="dxa"/>
            <w:vAlign w:val="bottom"/>
          </w:tcPr>
          <w:p>
            <w:pPr>
              <w:jc w:val="center"/>
              <w:ind w:left="708"/>
              <w:spacing w:after="0" w:line="149" w:lineRule="exact"/>
              <w:rPr>
                <w:sz w:val="20"/>
                <w:szCs w:val="20"/>
                <w:color w:val="auto"/>
              </w:rPr>
            </w:pPr>
            <w:r>
              <w:rPr>
                <w:rFonts w:ascii="Arial" w:cs="Arial" w:eastAsia="Arial" w:hAnsi="Arial"/>
                <w:sz w:val="14"/>
                <w:szCs w:val="14"/>
                <w:b w:val="1"/>
                <w:bCs w:val="1"/>
                <w:color w:val="auto"/>
                <w:w w:val="96"/>
              </w:rPr>
              <w:t>Capitalized Under</w:t>
            </w:r>
          </w:p>
        </w:tc>
        <w:tc>
          <w:tcPr>
            <w:tcW w:w="0" w:type="dxa"/>
            <w:vAlign w:val="bottom"/>
          </w:tcPr>
          <w:p>
            <w:pPr>
              <w:spacing w:after="0"/>
              <w:rPr>
                <w:sz w:val="1"/>
                <w:szCs w:val="1"/>
                <w:color w:val="auto"/>
              </w:rPr>
            </w:pPr>
          </w:p>
        </w:tc>
      </w:tr>
      <w:tr>
        <w:trPr>
          <w:trHeight w:val="186"/>
        </w:trPr>
        <w:tc>
          <w:tcPr>
            <w:tcW w:w="1400" w:type="dxa"/>
            <w:vAlign w:val="bottom"/>
          </w:tcPr>
          <w:p>
            <w:pPr>
              <w:jc w:val="center"/>
              <w:ind w:right="728"/>
              <w:spacing w:after="0"/>
              <w:rPr>
                <w:sz w:val="20"/>
                <w:szCs w:val="20"/>
                <w:color w:val="auto"/>
              </w:rPr>
            </w:pPr>
            <w:r>
              <w:rPr>
                <w:rFonts w:ascii="Arial" w:cs="Arial" w:eastAsia="Arial" w:hAnsi="Arial"/>
                <w:sz w:val="14"/>
                <w:szCs w:val="14"/>
                <w:b w:val="1"/>
                <w:bCs w:val="1"/>
                <w:color w:val="auto"/>
                <w:w w:val="94"/>
              </w:rPr>
              <w:t>Capital</w:t>
            </w:r>
          </w:p>
        </w:tc>
        <w:tc>
          <w:tcPr>
            <w:tcW w:w="1960" w:type="dxa"/>
            <w:vAlign w:val="bottom"/>
          </w:tcPr>
          <w:p>
            <w:pPr>
              <w:jc w:val="center"/>
              <w:ind w:left="708"/>
              <w:spacing w:after="0"/>
              <w:rPr>
                <w:sz w:val="20"/>
                <w:szCs w:val="20"/>
                <w:color w:val="auto"/>
              </w:rPr>
            </w:pPr>
            <w:r>
              <w:rPr>
                <w:rFonts w:ascii="Arial" w:cs="Arial" w:eastAsia="Arial" w:hAnsi="Arial"/>
                <w:sz w:val="14"/>
                <w:szCs w:val="14"/>
                <w:b w:val="1"/>
                <w:bCs w:val="1"/>
                <w:color w:val="auto"/>
                <w:w w:val="95"/>
              </w:rPr>
              <w:t>Prompt Correction</w:t>
            </w:r>
          </w:p>
        </w:tc>
        <w:tc>
          <w:tcPr>
            <w:tcW w:w="0" w:type="dxa"/>
            <w:vAlign w:val="bottom"/>
          </w:tcPr>
          <w:p>
            <w:pPr>
              <w:spacing w:after="0"/>
              <w:rPr>
                <w:sz w:val="1"/>
                <w:szCs w:val="1"/>
                <w:color w:val="auto"/>
              </w:rPr>
            </w:pPr>
          </w:p>
        </w:tc>
      </w:tr>
    </w:tbl>
    <w:p>
      <w:pPr>
        <w:sectPr>
          <w:pgSz w:w="11900" w:h="16858" w:orient="portrait"/>
          <w:cols w:equalWidth="0" w:num="1">
            <w:col w:w="11400"/>
          </w:cols>
          <w:pgMar w:left="240" w:top="125" w:right="259" w:bottom="0" w:gutter="0" w:footer="0" w:header="0"/>
        </w:sectPr>
      </w:pPr>
    </w:p>
    <w:bookmarkStart w:id="29" w:name="page30"/>
    <w:bookmarkEnd w:id="2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jc w:val="right"/>
              <w:ind w:right="53"/>
              <w:spacing w:after="0"/>
              <w:rPr>
                <w:sz w:val="20"/>
                <w:szCs w:val="20"/>
                <w:color w:val="auto"/>
              </w:rPr>
            </w:pPr>
            <w:r>
              <w:rPr>
                <w:rFonts w:ascii="Arial" w:cs="Arial" w:eastAsia="Arial" w:hAnsi="Arial"/>
                <w:sz w:val="14"/>
                <w:szCs w:val="14"/>
                <w:b w:val="1"/>
                <w:bCs w:val="1"/>
                <w:color w:val="auto"/>
              </w:rPr>
              <w:t>Actual</w:t>
            </w: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Requirements</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40" w:type="dxa"/>
            <w:vAlign w:val="bottom"/>
            <w:gridSpan w:val="7"/>
          </w:tcPr>
          <w:p>
            <w:pPr>
              <w:jc w:val="right"/>
              <w:ind w:right="740"/>
              <w:spacing w:after="0"/>
              <w:rPr>
                <w:sz w:val="20"/>
                <w:szCs w:val="20"/>
                <w:color w:val="auto"/>
              </w:rPr>
            </w:pPr>
            <w:r>
              <w:rPr>
                <w:rFonts w:ascii="Arial" w:cs="Arial" w:eastAsia="Arial" w:hAnsi="Arial"/>
                <w:sz w:val="14"/>
                <w:szCs w:val="14"/>
                <w:b w:val="1"/>
                <w:bCs w:val="1"/>
                <w:color w:val="auto"/>
              </w:rPr>
              <w:t>Action Provisions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320" w:type="dxa"/>
            <w:vAlign w:val="bottom"/>
            <w:tcBorders>
              <w:top w:val="single" w:sz="8" w:color="auto"/>
              <w:bottom w:val="single" w:sz="8" w:color="auto"/>
            </w:tcBorders>
          </w:tcPr>
          <w:p>
            <w:pPr>
              <w:jc w:val="right"/>
              <w:ind w:right="633"/>
              <w:spacing w:after="0" w:line="142" w:lineRule="exact"/>
              <w:rPr>
                <w:sz w:val="20"/>
                <w:szCs w:val="20"/>
                <w:color w:val="auto"/>
              </w:rPr>
            </w:pPr>
            <w:r>
              <w:rPr>
                <w:rFonts w:ascii="Arial" w:cs="Arial" w:eastAsia="Arial" w:hAnsi="Arial"/>
                <w:sz w:val="14"/>
                <w:szCs w:val="14"/>
                <w:b w:val="1"/>
                <w:bCs w:val="1"/>
                <w:color w:val="auto"/>
              </w:rPr>
              <w:t>Amount</w:t>
            </w:r>
          </w:p>
        </w:tc>
        <w:tc>
          <w:tcPr>
            <w:tcW w:w="820" w:type="dxa"/>
            <w:vAlign w:val="bottom"/>
            <w:tcBorders>
              <w:top w:val="single" w:sz="8" w:color="auto"/>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Ratio</w:t>
            </w:r>
          </w:p>
        </w:tc>
        <w:tc>
          <w:tcPr>
            <w:tcW w:w="220" w:type="dxa"/>
            <w:vAlign w:val="bottom"/>
            <w:tcBorders>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400" w:type="dxa"/>
            <w:vAlign w:val="bottom"/>
            <w:tcBorders>
              <w:top w:val="single" w:sz="8" w:color="auto"/>
              <w:bottom w:val="single" w:sz="8" w:color="auto"/>
            </w:tcBorders>
          </w:tcPr>
          <w:p>
            <w:pPr>
              <w:jc w:val="right"/>
              <w:ind w:right="734"/>
              <w:spacing w:after="0" w:line="142" w:lineRule="exact"/>
              <w:rPr>
                <w:sz w:val="20"/>
                <w:szCs w:val="20"/>
                <w:color w:val="auto"/>
              </w:rPr>
            </w:pPr>
            <w:r>
              <w:rPr>
                <w:rFonts w:ascii="Arial" w:cs="Arial" w:eastAsia="Arial" w:hAnsi="Arial"/>
                <w:sz w:val="14"/>
                <w:szCs w:val="14"/>
                <w:b w:val="1"/>
                <w:bCs w:val="1"/>
                <w:color w:val="auto"/>
              </w:rPr>
              <w:t>Amount</w:t>
            </w:r>
          </w:p>
        </w:tc>
        <w:tc>
          <w:tcPr>
            <w:tcW w:w="36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7"/>
              </w:rPr>
              <w:t>Ratio</w:t>
            </w:r>
          </w:p>
        </w:tc>
        <w:tc>
          <w:tcPr>
            <w:tcW w:w="10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Amount</w:t>
            </w:r>
          </w:p>
        </w:tc>
        <w:tc>
          <w:tcPr>
            <w:tcW w:w="960" w:type="dxa"/>
            <w:vAlign w:val="bottom"/>
            <w:tcBorders>
              <w:top w:val="single" w:sz="8" w:color="auto"/>
              <w:bottom w:val="single" w:sz="8" w:color="auto"/>
            </w:tcBorders>
            <w:gridSpan w:val="5"/>
          </w:tcPr>
          <w:p>
            <w:pPr>
              <w:jc w:val="right"/>
              <w:ind w:right="340"/>
              <w:spacing w:after="0" w:line="142" w:lineRule="exact"/>
              <w:rPr>
                <w:sz w:val="20"/>
                <w:szCs w:val="20"/>
                <w:color w:val="auto"/>
              </w:rPr>
            </w:pPr>
            <w:r>
              <w:rPr>
                <w:rFonts w:ascii="Arial" w:cs="Arial" w:eastAsia="Arial" w:hAnsi="Arial"/>
                <w:sz w:val="14"/>
                <w:szCs w:val="14"/>
                <w:b w:val="1"/>
                <w:bCs w:val="1"/>
                <w:color w:val="auto"/>
              </w:rPr>
              <w:t>Ratio</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60" w:type="dxa"/>
            <w:vAlign w:val="bottom"/>
            <w:gridSpan w:val="2"/>
          </w:tcPr>
          <w:p>
            <w:pPr>
              <w:ind w:left="260"/>
              <w:spacing w:after="0" w:line="142" w:lineRule="exact"/>
              <w:rPr>
                <w:sz w:val="20"/>
                <w:szCs w:val="20"/>
                <w:color w:val="auto"/>
              </w:rPr>
            </w:pPr>
            <w:r>
              <w:rPr>
                <w:rFonts w:ascii="Arial" w:cs="Arial" w:eastAsia="Arial" w:hAnsi="Arial"/>
                <w:sz w:val="14"/>
                <w:szCs w:val="14"/>
                <w:b w:val="1"/>
                <w:bCs w:val="1"/>
                <w:color w:val="auto"/>
              </w:rPr>
              <w:t>(Dollars in thousands)</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March 31, 2013:</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Total capital to risk weighted assets:</w:t>
            </w: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9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Company</w:t>
            </w:r>
          </w:p>
        </w:tc>
        <w:tc>
          <w:tcPr>
            <w:tcW w:w="1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ind w:right="373"/>
              <w:spacing w:after="0" w:line="176" w:lineRule="exact"/>
              <w:rPr>
                <w:sz w:val="20"/>
                <w:szCs w:val="20"/>
                <w:color w:val="auto"/>
              </w:rPr>
            </w:pPr>
            <w:r>
              <w:rPr>
                <w:rFonts w:ascii="Arial" w:cs="Arial" w:eastAsia="Arial" w:hAnsi="Arial"/>
                <w:sz w:val="18"/>
                <w:szCs w:val="18"/>
                <w:color w:val="auto"/>
              </w:rPr>
              <w:t>122,549</w:t>
            </w:r>
          </w:p>
        </w:tc>
        <w:tc>
          <w:tcPr>
            <w:tcW w:w="1200" w:type="dxa"/>
            <w:vAlign w:val="bottom"/>
            <w:gridSpan w:val="3"/>
            <w:shd w:val="clear" w:color="auto" w:fill="CCEEFF"/>
          </w:tcPr>
          <w:p>
            <w:pPr>
              <w:ind w:left="420"/>
              <w:spacing w:after="0" w:line="176" w:lineRule="exact"/>
              <w:rPr>
                <w:sz w:val="20"/>
                <w:szCs w:val="20"/>
                <w:color w:val="auto"/>
              </w:rPr>
            </w:pPr>
            <w:r>
              <w:rPr>
                <w:rFonts w:ascii="Arial" w:cs="Arial" w:eastAsia="Arial" w:hAnsi="Arial"/>
                <w:sz w:val="18"/>
                <w:szCs w:val="18"/>
                <w:color w:val="auto"/>
                <w:w w:val="99"/>
              </w:rPr>
              <w:t>30.71% $</w:t>
            </w:r>
          </w:p>
        </w:tc>
        <w:tc>
          <w:tcPr>
            <w:tcW w:w="1400" w:type="dxa"/>
            <w:vAlign w:val="bottom"/>
            <w:shd w:val="clear" w:color="auto" w:fill="CCEEFF"/>
          </w:tcPr>
          <w:p>
            <w:pPr>
              <w:jc w:val="right"/>
              <w:ind w:right="474"/>
              <w:spacing w:after="0" w:line="176" w:lineRule="exact"/>
              <w:rPr>
                <w:sz w:val="20"/>
                <w:szCs w:val="20"/>
                <w:color w:val="auto"/>
              </w:rPr>
            </w:pPr>
            <w:r>
              <w:rPr>
                <w:rFonts w:ascii="Arial" w:cs="Arial" w:eastAsia="Arial" w:hAnsi="Arial"/>
                <w:sz w:val="18"/>
                <w:szCs w:val="18"/>
                <w:color w:val="auto"/>
              </w:rPr>
              <w:t>31,925</w:t>
            </w:r>
          </w:p>
        </w:tc>
        <w:tc>
          <w:tcPr>
            <w:tcW w:w="360" w:type="dxa"/>
            <w:vAlign w:val="bottom"/>
            <w:shd w:val="clear" w:color="auto" w:fill="CCEEFF"/>
          </w:tcPr>
          <w:p>
            <w:pPr>
              <w:spacing w:after="0"/>
              <w:rPr>
                <w:sz w:val="15"/>
                <w:szCs w:val="15"/>
                <w:color w:val="auto"/>
              </w:rPr>
            </w:pPr>
          </w:p>
        </w:tc>
        <w:tc>
          <w:tcPr>
            <w:tcW w:w="72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&gt;8.0% $</w:t>
            </w:r>
          </w:p>
        </w:tc>
        <w:tc>
          <w:tcPr>
            <w:tcW w:w="1120" w:type="dxa"/>
            <w:vAlign w:val="bottom"/>
            <w:shd w:val="clear" w:color="auto" w:fill="CCEEFF"/>
          </w:tcPr>
          <w:p>
            <w:pPr>
              <w:jc w:val="right"/>
              <w:ind w:right="193"/>
              <w:spacing w:after="0" w:line="176" w:lineRule="exact"/>
              <w:rPr>
                <w:sz w:val="20"/>
                <w:szCs w:val="20"/>
                <w:color w:val="auto"/>
              </w:rPr>
            </w:pPr>
            <w:r>
              <w:rPr>
                <w:rFonts w:ascii="Arial" w:cs="Arial" w:eastAsia="Arial" w:hAnsi="Arial"/>
                <w:sz w:val="18"/>
                <w:szCs w:val="18"/>
                <w:color w:val="auto"/>
              </w:rPr>
              <w:t>N/A</w:t>
            </w: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60" w:type="dxa"/>
            <w:vAlign w:val="bottom"/>
            <w:gridSpan w:val="3"/>
            <w:shd w:val="clear" w:color="auto" w:fill="CCEEFF"/>
          </w:tcPr>
          <w:p>
            <w:pPr>
              <w:jc w:val="right"/>
              <w:ind w:right="160"/>
              <w:spacing w:after="0" w:line="176" w:lineRule="exact"/>
              <w:rPr>
                <w:sz w:val="20"/>
                <w:szCs w:val="20"/>
                <w:color w:val="auto"/>
              </w:rPr>
            </w:pPr>
            <w:r>
              <w:rPr>
                <w:rFonts w:ascii="Arial" w:cs="Arial" w:eastAsia="Arial" w:hAnsi="Arial"/>
                <w:sz w:val="18"/>
                <w:szCs w:val="18"/>
                <w:color w:val="auto"/>
                <w:w w:val="93"/>
              </w:rPr>
              <w:t>N/A</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9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3980" w:type="dxa"/>
            <w:vAlign w:val="bottom"/>
          </w:tcPr>
          <w:p>
            <w:pPr>
              <w:ind w:left="160"/>
              <w:spacing w:after="0" w:line="176" w:lineRule="exact"/>
              <w:rPr>
                <w:sz w:val="20"/>
                <w:szCs w:val="20"/>
                <w:color w:val="auto"/>
              </w:rPr>
            </w:pPr>
            <w:r>
              <w:rPr>
                <w:rFonts w:ascii="Arial" w:cs="Arial" w:eastAsia="Arial" w:hAnsi="Arial"/>
                <w:sz w:val="18"/>
                <w:szCs w:val="18"/>
                <w:color w:val="auto"/>
              </w:rPr>
              <w:t>Bank</w:t>
            </w:r>
          </w:p>
        </w:tc>
        <w:tc>
          <w:tcPr>
            <w:tcW w:w="180" w:type="dxa"/>
            <w:vAlign w:val="bottom"/>
          </w:tcPr>
          <w:p>
            <w:pPr>
              <w:spacing w:after="0"/>
              <w:rPr>
                <w:sz w:val="15"/>
                <w:szCs w:val="15"/>
                <w:color w:val="auto"/>
              </w:rPr>
            </w:pPr>
          </w:p>
        </w:tc>
        <w:tc>
          <w:tcPr>
            <w:tcW w:w="1320" w:type="dxa"/>
            <w:vAlign w:val="bottom"/>
          </w:tcPr>
          <w:p>
            <w:pPr>
              <w:jc w:val="right"/>
              <w:ind w:right="373"/>
              <w:spacing w:after="0" w:line="176" w:lineRule="exact"/>
              <w:rPr>
                <w:sz w:val="20"/>
                <w:szCs w:val="20"/>
                <w:color w:val="auto"/>
              </w:rPr>
            </w:pPr>
            <w:r>
              <w:rPr>
                <w:rFonts w:ascii="Arial" w:cs="Arial" w:eastAsia="Arial" w:hAnsi="Arial"/>
                <w:sz w:val="18"/>
                <w:szCs w:val="18"/>
                <w:color w:val="auto"/>
              </w:rPr>
              <w:t>99,346</w:t>
            </w:r>
          </w:p>
        </w:tc>
        <w:tc>
          <w:tcPr>
            <w:tcW w:w="1040" w:type="dxa"/>
            <w:vAlign w:val="bottom"/>
            <w:gridSpan w:val="2"/>
          </w:tcPr>
          <w:p>
            <w:pPr>
              <w:ind w:left="420"/>
              <w:spacing w:after="0" w:line="176" w:lineRule="exact"/>
              <w:rPr>
                <w:sz w:val="20"/>
                <w:szCs w:val="20"/>
                <w:color w:val="auto"/>
              </w:rPr>
            </w:pPr>
            <w:r>
              <w:rPr>
                <w:rFonts w:ascii="Arial" w:cs="Arial" w:eastAsia="Arial" w:hAnsi="Arial"/>
                <w:sz w:val="18"/>
                <w:szCs w:val="18"/>
                <w:color w:val="auto"/>
                <w:w w:val="98"/>
              </w:rPr>
              <w:t>24,84%</w:t>
            </w:r>
          </w:p>
        </w:tc>
        <w:tc>
          <w:tcPr>
            <w:tcW w:w="160" w:type="dxa"/>
            <w:vAlign w:val="bottom"/>
          </w:tcPr>
          <w:p>
            <w:pPr>
              <w:spacing w:after="0"/>
              <w:rPr>
                <w:sz w:val="15"/>
                <w:szCs w:val="15"/>
                <w:color w:val="auto"/>
              </w:rPr>
            </w:pPr>
          </w:p>
        </w:tc>
        <w:tc>
          <w:tcPr>
            <w:tcW w:w="1400" w:type="dxa"/>
            <w:vAlign w:val="bottom"/>
          </w:tcPr>
          <w:p>
            <w:pPr>
              <w:jc w:val="right"/>
              <w:ind w:right="474"/>
              <w:spacing w:after="0" w:line="176" w:lineRule="exact"/>
              <w:rPr>
                <w:sz w:val="20"/>
                <w:szCs w:val="20"/>
                <w:color w:val="auto"/>
              </w:rPr>
            </w:pPr>
            <w:r>
              <w:rPr>
                <w:rFonts w:ascii="Arial" w:cs="Arial" w:eastAsia="Arial" w:hAnsi="Arial"/>
                <w:sz w:val="18"/>
                <w:szCs w:val="18"/>
                <w:color w:val="auto"/>
              </w:rPr>
              <w:t>31,991</w:t>
            </w:r>
          </w:p>
        </w:tc>
        <w:tc>
          <w:tcPr>
            <w:tcW w:w="360" w:type="dxa"/>
            <w:vAlign w:val="bottom"/>
          </w:tcPr>
          <w:p>
            <w:pPr>
              <w:spacing w:after="0"/>
              <w:rPr>
                <w:sz w:val="15"/>
                <w:szCs w:val="15"/>
                <w:color w:val="auto"/>
              </w:rPr>
            </w:pPr>
          </w:p>
        </w:tc>
        <w:tc>
          <w:tcPr>
            <w:tcW w:w="540" w:type="dxa"/>
            <w:vAlign w:val="bottom"/>
            <w:gridSpan w:val="3"/>
          </w:tcPr>
          <w:p>
            <w:pPr>
              <w:spacing w:after="0" w:line="176" w:lineRule="exact"/>
              <w:rPr>
                <w:sz w:val="20"/>
                <w:szCs w:val="20"/>
                <w:color w:val="auto"/>
              </w:rPr>
            </w:pPr>
            <w:r>
              <w:rPr>
                <w:rFonts w:ascii="Arial" w:cs="Arial" w:eastAsia="Arial" w:hAnsi="Arial"/>
                <w:sz w:val="18"/>
                <w:szCs w:val="18"/>
                <w:color w:val="auto"/>
              </w:rPr>
              <w:t>&gt;8.0%</w:t>
            </w:r>
          </w:p>
        </w:tc>
        <w:tc>
          <w:tcPr>
            <w:tcW w:w="180" w:type="dxa"/>
            <w:vAlign w:val="bottom"/>
          </w:tcPr>
          <w:p>
            <w:pPr>
              <w:spacing w:after="0"/>
              <w:rPr>
                <w:sz w:val="15"/>
                <w:szCs w:val="15"/>
                <w:color w:val="auto"/>
              </w:rPr>
            </w:pPr>
          </w:p>
        </w:tc>
        <w:tc>
          <w:tcPr>
            <w:tcW w:w="1120" w:type="dxa"/>
            <w:vAlign w:val="bottom"/>
          </w:tcPr>
          <w:p>
            <w:pPr>
              <w:jc w:val="right"/>
              <w:ind w:right="193"/>
              <w:spacing w:after="0" w:line="176" w:lineRule="exact"/>
              <w:rPr>
                <w:sz w:val="20"/>
                <w:szCs w:val="20"/>
                <w:color w:val="auto"/>
              </w:rPr>
            </w:pPr>
            <w:r>
              <w:rPr>
                <w:rFonts w:ascii="Arial" w:cs="Arial" w:eastAsia="Arial" w:hAnsi="Arial"/>
                <w:sz w:val="18"/>
                <w:szCs w:val="18"/>
                <w:color w:val="auto"/>
              </w:rPr>
              <w:t>39,989</w:t>
            </w:r>
          </w:p>
        </w:tc>
        <w:tc>
          <w:tcPr>
            <w:tcW w:w="1120" w:type="dxa"/>
            <w:vAlign w:val="bottom"/>
            <w:gridSpan w:val="6"/>
          </w:tcPr>
          <w:p>
            <w:pPr>
              <w:jc w:val="right"/>
              <w:ind w:right="20"/>
              <w:spacing w:after="0" w:line="176" w:lineRule="exact"/>
              <w:rPr>
                <w:sz w:val="20"/>
                <w:szCs w:val="20"/>
                <w:color w:val="auto"/>
              </w:rPr>
            </w:pPr>
            <w:r>
              <w:rPr>
                <w:rFonts w:ascii="Arial" w:cs="Arial" w:eastAsia="Arial" w:hAnsi="Arial"/>
                <w:sz w:val="18"/>
                <w:szCs w:val="18"/>
                <w:color w:val="auto"/>
              </w:rPr>
              <w:t>&gt;10.0%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Tier 1 capital to risk weighted assets:</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980" w:type="dxa"/>
            <w:vAlign w:val="bottom"/>
          </w:tcPr>
          <w:p>
            <w:pPr>
              <w:ind w:left="160"/>
              <w:spacing w:after="0" w:line="176" w:lineRule="exact"/>
              <w:rPr>
                <w:sz w:val="20"/>
                <w:szCs w:val="20"/>
                <w:color w:val="auto"/>
              </w:rPr>
            </w:pPr>
            <w:r>
              <w:rPr>
                <w:rFonts w:ascii="Arial" w:cs="Arial" w:eastAsia="Arial" w:hAnsi="Arial"/>
                <w:sz w:val="18"/>
                <w:szCs w:val="18"/>
                <w:color w:val="auto"/>
              </w:rPr>
              <w:t>Company</w:t>
            </w:r>
          </w:p>
        </w:tc>
        <w:tc>
          <w:tcPr>
            <w:tcW w:w="180" w:type="dxa"/>
            <w:vAlign w:val="bottom"/>
          </w:tcPr>
          <w:p>
            <w:pPr>
              <w:spacing w:after="0"/>
              <w:rPr>
                <w:sz w:val="15"/>
                <w:szCs w:val="15"/>
                <w:color w:val="auto"/>
              </w:rPr>
            </w:pPr>
          </w:p>
        </w:tc>
        <w:tc>
          <w:tcPr>
            <w:tcW w:w="1320" w:type="dxa"/>
            <w:vAlign w:val="bottom"/>
          </w:tcPr>
          <w:p>
            <w:pPr>
              <w:jc w:val="right"/>
              <w:ind w:right="373"/>
              <w:spacing w:after="0" w:line="176" w:lineRule="exact"/>
              <w:rPr>
                <w:sz w:val="20"/>
                <w:szCs w:val="20"/>
                <w:color w:val="auto"/>
              </w:rPr>
            </w:pPr>
            <w:r>
              <w:rPr>
                <w:rFonts w:ascii="Arial" w:cs="Arial" w:eastAsia="Arial" w:hAnsi="Arial"/>
                <w:sz w:val="18"/>
                <w:szCs w:val="18"/>
                <w:color w:val="auto"/>
              </w:rPr>
              <w:t>121,516</w:t>
            </w:r>
          </w:p>
        </w:tc>
        <w:tc>
          <w:tcPr>
            <w:tcW w:w="1040" w:type="dxa"/>
            <w:vAlign w:val="bottom"/>
            <w:gridSpan w:val="2"/>
          </w:tcPr>
          <w:p>
            <w:pPr>
              <w:ind w:left="420"/>
              <w:spacing w:after="0" w:line="176" w:lineRule="exact"/>
              <w:rPr>
                <w:sz w:val="20"/>
                <w:szCs w:val="20"/>
                <w:color w:val="auto"/>
              </w:rPr>
            </w:pPr>
            <w:r>
              <w:rPr>
                <w:rFonts w:ascii="Arial" w:cs="Arial" w:eastAsia="Arial" w:hAnsi="Arial"/>
                <w:sz w:val="18"/>
                <w:szCs w:val="18"/>
                <w:color w:val="auto"/>
                <w:w w:val="98"/>
              </w:rPr>
              <w:t>30.45%</w:t>
            </w:r>
          </w:p>
        </w:tc>
        <w:tc>
          <w:tcPr>
            <w:tcW w:w="160" w:type="dxa"/>
            <w:vAlign w:val="bottom"/>
          </w:tcPr>
          <w:p>
            <w:pPr>
              <w:spacing w:after="0"/>
              <w:rPr>
                <w:sz w:val="15"/>
                <w:szCs w:val="15"/>
                <w:color w:val="auto"/>
              </w:rPr>
            </w:pPr>
          </w:p>
        </w:tc>
        <w:tc>
          <w:tcPr>
            <w:tcW w:w="1400" w:type="dxa"/>
            <w:vAlign w:val="bottom"/>
          </w:tcPr>
          <w:p>
            <w:pPr>
              <w:jc w:val="right"/>
              <w:ind w:right="474"/>
              <w:spacing w:after="0" w:line="176" w:lineRule="exact"/>
              <w:rPr>
                <w:sz w:val="20"/>
                <w:szCs w:val="20"/>
                <w:color w:val="auto"/>
              </w:rPr>
            </w:pPr>
            <w:r>
              <w:rPr>
                <w:rFonts w:ascii="Arial" w:cs="Arial" w:eastAsia="Arial" w:hAnsi="Arial"/>
                <w:sz w:val="18"/>
                <w:szCs w:val="18"/>
                <w:color w:val="auto"/>
              </w:rPr>
              <w:t>15,963</w:t>
            </w:r>
          </w:p>
        </w:tc>
        <w:tc>
          <w:tcPr>
            <w:tcW w:w="360" w:type="dxa"/>
            <w:vAlign w:val="bottom"/>
          </w:tcPr>
          <w:p>
            <w:pPr>
              <w:spacing w:after="0"/>
              <w:rPr>
                <w:sz w:val="15"/>
                <w:szCs w:val="15"/>
                <w:color w:val="auto"/>
              </w:rPr>
            </w:pPr>
          </w:p>
        </w:tc>
        <w:tc>
          <w:tcPr>
            <w:tcW w:w="540" w:type="dxa"/>
            <w:vAlign w:val="bottom"/>
            <w:gridSpan w:val="3"/>
          </w:tcPr>
          <w:p>
            <w:pPr>
              <w:spacing w:after="0" w:line="176" w:lineRule="exact"/>
              <w:rPr>
                <w:sz w:val="20"/>
                <w:szCs w:val="20"/>
                <w:color w:val="auto"/>
              </w:rPr>
            </w:pPr>
            <w:r>
              <w:rPr>
                <w:rFonts w:ascii="Arial" w:cs="Arial" w:eastAsia="Arial" w:hAnsi="Arial"/>
                <w:sz w:val="18"/>
                <w:szCs w:val="18"/>
                <w:color w:val="auto"/>
              </w:rPr>
              <w:t>&gt;4.0%</w:t>
            </w:r>
          </w:p>
        </w:tc>
        <w:tc>
          <w:tcPr>
            <w:tcW w:w="180" w:type="dxa"/>
            <w:vAlign w:val="bottom"/>
          </w:tcPr>
          <w:p>
            <w:pPr>
              <w:spacing w:after="0"/>
              <w:rPr>
                <w:sz w:val="15"/>
                <w:szCs w:val="15"/>
                <w:color w:val="auto"/>
              </w:rPr>
            </w:pPr>
          </w:p>
        </w:tc>
        <w:tc>
          <w:tcPr>
            <w:tcW w:w="1120" w:type="dxa"/>
            <w:vAlign w:val="bottom"/>
          </w:tcPr>
          <w:p>
            <w:pPr>
              <w:jc w:val="right"/>
              <w:ind w:right="193"/>
              <w:spacing w:after="0" w:line="176" w:lineRule="exact"/>
              <w:rPr>
                <w:sz w:val="20"/>
                <w:szCs w:val="20"/>
                <w:color w:val="auto"/>
              </w:rPr>
            </w:pPr>
            <w:r>
              <w:rPr>
                <w:rFonts w:ascii="Arial" w:cs="Arial" w:eastAsia="Arial" w:hAnsi="Arial"/>
                <w:sz w:val="18"/>
                <w:szCs w:val="18"/>
                <w:color w:val="auto"/>
              </w:rPr>
              <w:t>N/A</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gridSpan w:val="3"/>
          </w:tcPr>
          <w:p>
            <w:pPr>
              <w:jc w:val="right"/>
              <w:ind w:right="160"/>
              <w:spacing w:after="0" w:line="176" w:lineRule="exact"/>
              <w:rPr>
                <w:sz w:val="20"/>
                <w:szCs w:val="20"/>
                <w:color w:val="auto"/>
              </w:rPr>
            </w:pPr>
            <w:r>
              <w:rPr>
                <w:rFonts w:ascii="Arial" w:cs="Arial" w:eastAsia="Arial" w:hAnsi="Arial"/>
                <w:sz w:val="18"/>
                <w:szCs w:val="18"/>
                <w:color w:val="auto"/>
                <w:w w:val="93"/>
              </w:rPr>
              <w:t>N/A</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9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Bank</w:t>
            </w: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373"/>
              <w:spacing w:after="0" w:line="176" w:lineRule="exact"/>
              <w:rPr>
                <w:sz w:val="20"/>
                <w:szCs w:val="20"/>
                <w:color w:val="auto"/>
              </w:rPr>
            </w:pPr>
            <w:r>
              <w:rPr>
                <w:rFonts w:ascii="Arial" w:cs="Arial" w:eastAsia="Arial" w:hAnsi="Arial"/>
                <w:sz w:val="18"/>
                <w:szCs w:val="18"/>
                <w:color w:val="auto"/>
              </w:rPr>
              <w:t>95,114</w:t>
            </w:r>
          </w:p>
        </w:tc>
        <w:tc>
          <w:tcPr>
            <w:tcW w:w="1040" w:type="dxa"/>
            <w:vAlign w:val="bottom"/>
            <w:gridSpan w:val="2"/>
            <w:shd w:val="clear" w:color="auto" w:fill="CCEEFF"/>
          </w:tcPr>
          <w:p>
            <w:pPr>
              <w:ind w:left="420"/>
              <w:spacing w:after="0" w:line="176" w:lineRule="exact"/>
              <w:rPr>
                <w:sz w:val="20"/>
                <w:szCs w:val="20"/>
                <w:color w:val="auto"/>
              </w:rPr>
            </w:pPr>
            <w:r>
              <w:rPr>
                <w:rFonts w:ascii="Arial" w:cs="Arial" w:eastAsia="Arial" w:hAnsi="Arial"/>
                <w:sz w:val="18"/>
                <w:szCs w:val="18"/>
                <w:color w:val="auto"/>
                <w:w w:val="98"/>
              </w:rPr>
              <w:t>23.78%</w:t>
            </w: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474"/>
              <w:spacing w:after="0" w:line="176" w:lineRule="exact"/>
              <w:rPr>
                <w:sz w:val="20"/>
                <w:szCs w:val="20"/>
                <w:color w:val="auto"/>
              </w:rPr>
            </w:pPr>
            <w:r>
              <w:rPr>
                <w:rFonts w:ascii="Arial" w:cs="Arial" w:eastAsia="Arial" w:hAnsi="Arial"/>
                <w:sz w:val="18"/>
                <w:szCs w:val="18"/>
                <w:color w:val="auto"/>
              </w:rPr>
              <w:t>15,996</w:t>
            </w:r>
          </w:p>
        </w:tc>
        <w:tc>
          <w:tcPr>
            <w:tcW w:w="360" w:type="dxa"/>
            <w:vAlign w:val="bottom"/>
            <w:shd w:val="clear" w:color="auto" w:fill="CCEEFF"/>
          </w:tcPr>
          <w:p>
            <w:pPr>
              <w:spacing w:after="0"/>
              <w:rPr>
                <w:sz w:val="17"/>
                <w:szCs w:val="17"/>
                <w:color w:val="auto"/>
              </w:rPr>
            </w:pPr>
          </w:p>
        </w:tc>
        <w:tc>
          <w:tcPr>
            <w:tcW w:w="54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&gt;4.0%</w:t>
            </w: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93"/>
              <w:spacing w:after="0" w:line="176" w:lineRule="exact"/>
              <w:rPr>
                <w:sz w:val="20"/>
                <w:szCs w:val="20"/>
                <w:color w:val="auto"/>
              </w:rPr>
            </w:pPr>
            <w:r>
              <w:rPr>
                <w:rFonts w:ascii="Arial" w:cs="Arial" w:eastAsia="Arial" w:hAnsi="Arial"/>
                <w:sz w:val="18"/>
                <w:szCs w:val="18"/>
                <w:color w:val="auto"/>
              </w:rPr>
              <w:t>23,994</w:t>
            </w:r>
          </w:p>
        </w:tc>
        <w:tc>
          <w:tcPr>
            <w:tcW w:w="1120" w:type="dxa"/>
            <w:vAlign w:val="bottom"/>
            <w:gridSpan w:val="6"/>
            <w:shd w:val="clear" w:color="auto" w:fill="CCEEFF"/>
          </w:tcPr>
          <w:p>
            <w:pPr>
              <w:jc w:val="right"/>
              <w:ind w:right="20"/>
              <w:spacing w:after="0" w:line="176" w:lineRule="exact"/>
              <w:rPr>
                <w:sz w:val="20"/>
                <w:szCs w:val="20"/>
                <w:color w:val="auto"/>
              </w:rPr>
            </w:pPr>
            <w:r>
              <w:rPr>
                <w:rFonts w:ascii="Arial" w:cs="Arial" w:eastAsia="Arial" w:hAnsi="Arial"/>
                <w:sz w:val="18"/>
                <w:szCs w:val="18"/>
                <w:color w:val="auto"/>
              </w:rPr>
              <w:t>&gt;6.0%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Tier 1 capital to average assets:</w:t>
            </w:r>
          </w:p>
        </w:tc>
        <w:tc>
          <w:tcPr>
            <w:tcW w:w="18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9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Company</w:t>
            </w: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jc w:val="right"/>
              <w:ind w:right="373"/>
              <w:spacing w:after="0" w:line="176" w:lineRule="exact"/>
              <w:rPr>
                <w:sz w:val="20"/>
                <w:szCs w:val="20"/>
                <w:color w:val="auto"/>
              </w:rPr>
            </w:pPr>
            <w:r>
              <w:rPr>
                <w:rFonts w:ascii="Arial" w:cs="Arial" w:eastAsia="Arial" w:hAnsi="Arial"/>
                <w:sz w:val="18"/>
                <w:szCs w:val="18"/>
                <w:color w:val="auto"/>
              </w:rPr>
              <w:t>121,516</w:t>
            </w:r>
          </w:p>
        </w:tc>
        <w:tc>
          <w:tcPr>
            <w:tcW w:w="1040" w:type="dxa"/>
            <w:vAlign w:val="bottom"/>
            <w:gridSpan w:val="2"/>
            <w:shd w:val="clear" w:color="auto" w:fill="CCEEFF"/>
          </w:tcPr>
          <w:p>
            <w:pPr>
              <w:ind w:left="420"/>
              <w:spacing w:after="0" w:line="176" w:lineRule="exact"/>
              <w:rPr>
                <w:sz w:val="20"/>
                <w:szCs w:val="20"/>
                <w:color w:val="auto"/>
              </w:rPr>
            </w:pPr>
            <w:r>
              <w:rPr>
                <w:rFonts w:ascii="Arial" w:cs="Arial" w:eastAsia="Arial" w:hAnsi="Arial"/>
                <w:sz w:val="18"/>
                <w:szCs w:val="18"/>
                <w:color w:val="auto"/>
                <w:w w:val="98"/>
              </w:rPr>
              <w:t>17.41%</w:t>
            </w:r>
          </w:p>
        </w:tc>
        <w:tc>
          <w:tcPr>
            <w:tcW w:w="160" w:type="dxa"/>
            <w:vAlign w:val="bottom"/>
            <w:shd w:val="clear" w:color="auto" w:fill="CCEEFF"/>
          </w:tcPr>
          <w:p>
            <w:pPr>
              <w:spacing w:after="0"/>
              <w:rPr>
                <w:sz w:val="15"/>
                <w:szCs w:val="15"/>
                <w:color w:val="auto"/>
              </w:rPr>
            </w:pPr>
          </w:p>
        </w:tc>
        <w:tc>
          <w:tcPr>
            <w:tcW w:w="1400" w:type="dxa"/>
            <w:vAlign w:val="bottom"/>
            <w:shd w:val="clear" w:color="auto" w:fill="CCEEFF"/>
          </w:tcPr>
          <w:p>
            <w:pPr>
              <w:jc w:val="right"/>
              <w:ind w:right="474"/>
              <w:spacing w:after="0" w:line="176" w:lineRule="exact"/>
              <w:rPr>
                <w:sz w:val="20"/>
                <w:szCs w:val="20"/>
                <w:color w:val="auto"/>
              </w:rPr>
            </w:pPr>
            <w:r>
              <w:rPr>
                <w:rFonts w:ascii="Arial" w:cs="Arial" w:eastAsia="Arial" w:hAnsi="Arial"/>
                <w:sz w:val="18"/>
                <w:szCs w:val="18"/>
                <w:color w:val="auto"/>
              </w:rPr>
              <w:t>27,914</w:t>
            </w:r>
          </w:p>
        </w:tc>
        <w:tc>
          <w:tcPr>
            <w:tcW w:w="360" w:type="dxa"/>
            <w:vAlign w:val="bottom"/>
            <w:shd w:val="clear" w:color="auto" w:fill="CCEEFF"/>
          </w:tcPr>
          <w:p>
            <w:pPr>
              <w:spacing w:after="0"/>
              <w:rPr>
                <w:sz w:val="15"/>
                <w:szCs w:val="15"/>
                <w:color w:val="auto"/>
              </w:rPr>
            </w:pPr>
          </w:p>
        </w:tc>
        <w:tc>
          <w:tcPr>
            <w:tcW w:w="54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&gt;4.0%</w:t>
            </w: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193"/>
              <w:spacing w:after="0" w:line="176" w:lineRule="exact"/>
              <w:rPr>
                <w:sz w:val="20"/>
                <w:szCs w:val="20"/>
                <w:color w:val="auto"/>
              </w:rPr>
            </w:pPr>
            <w:r>
              <w:rPr>
                <w:rFonts w:ascii="Arial" w:cs="Arial" w:eastAsia="Arial" w:hAnsi="Arial"/>
                <w:sz w:val="18"/>
                <w:szCs w:val="18"/>
                <w:color w:val="auto"/>
              </w:rPr>
              <w:t>N/A</w:t>
            </w: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60" w:type="dxa"/>
            <w:vAlign w:val="bottom"/>
            <w:gridSpan w:val="3"/>
            <w:shd w:val="clear" w:color="auto" w:fill="CCEEFF"/>
          </w:tcPr>
          <w:p>
            <w:pPr>
              <w:jc w:val="right"/>
              <w:ind w:right="160"/>
              <w:spacing w:after="0" w:line="176" w:lineRule="exact"/>
              <w:rPr>
                <w:sz w:val="20"/>
                <w:szCs w:val="20"/>
                <w:color w:val="auto"/>
              </w:rPr>
            </w:pPr>
            <w:r>
              <w:rPr>
                <w:rFonts w:ascii="Arial" w:cs="Arial" w:eastAsia="Arial" w:hAnsi="Arial"/>
                <w:sz w:val="18"/>
                <w:szCs w:val="18"/>
                <w:color w:val="auto"/>
                <w:w w:val="93"/>
              </w:rPr>
              <w:t>N/A</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9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3980" w:type="dxa"/>
            <w:vAlign w:val="bottom"/>
          </w:tcPr>
          <w:p>
            <w:pPr>
              <w:ind w:left="160"/>
              <w:spacing w:after="0" w:line="176" w:lineRule="exact"/>
              <w:rPr>
                <w:sz w:val="20"/>
                <w:szCs w:val="20"/>
                <w:color w:val="auto"/>
              </w:rPr>
            </w:pPr>
            <w:r>
              <w:rPr>
                <w:rFonts w:ascii="Arial" w:cs="Arial" w:eastAsia="Arial" w:hAnsi="Arial"/>
                <w:sz w:val="18"/>
                <w:szCs w:val="18"/>
                <w:color w:val="auto"/>
              </w:rPr>
              <w:t>Bank</w:t>
            </w:r>
          </w:p>
        </w:tc>
        <w:tc>
          <w:tcPr>
            <w:tcW w:w="180" w:type="dxa"/>
            <w:vAlign w:val="bottom"/>
          </w:tcPr>
          <w:p>
            <w:pPr>
              <w:spacing w:after="0"/>
              <w:rPr>
                <w:sz w:val="15"/>
                <w:szCs w:val="15"/>
                <w:color w:val="auto"/>
              </w:rPr>
            </w:pPr>
          </w:p>
        </w:tc>
        <w:tc>
          <w:tcPr>
            <w:tcW w:w="1320" w:type="dxa"/>
            <w:vAlign w:val="bottom"/>
          </w:tcPr>
          <w:p>
            <w:pPr>
              <w:jc w:val="right"/>
              <w:ind w:right="373"/>
              <w:spacing w:after="0" w:line="176" w:lineRule="exact"/>
              <w:rPr>
                <w:sz w:val="20"/>
                <w:szCs w:val="20"/>
                <w:color w:val="auto"/>
              </w:rPr>
            </w:pPr>
            <w:r>
              <w:rPr>
                <w:rFonts w:ascii="Arial" w:cs="Arial" w:eastAsia="Arial" w:hAnsi="Arial"/>
                <w:sz w:val="18"/>
                <w:szCs w:val="18"/>
                <w:color w:val="auto"/>
              </w:rPr>
              <w:t>95,114</w:t>
            </w:r>
          </w:p>
        </w:tc>
        <w:tc>
          <w:tcPr>
            <w:tcW w:w="1040" w:type="dxa"/>
            <w:vAlign w:val="bottom"/>
            <w:gridSpan w:val="2"/>
          </w:tcPr>
          <w:p>
            <w:pPr>
              <w:ind w:left="420"/>
              <w:spacing w:after="0" w:line="176" w:lineRule="exact"/>
              <w:rPr>
                <w:sz w:val="20"/>
                <w:szCs w:val="20"/>
                <w:color w:val="auto"/>
              </w:rPr>
            </w:pPr>
            <w:r>
              <w:rPr>
                <w:rFonts w:ascii="Arial" w:cs="Arial" w:eastAsia="Arial" w:hAnsi="Arial"/>
                <w:sz w:val="18"/>
                <w:szCs w:val="18"/>
                <w:color w:val="auto"/>
                <w:w w:val="98"/>
              </w:rPr>
              <w:t>13.71%</w:t>
            </w:r>
          </w:p>
        </w:tc>
        <w:tc>
          <w:tcPr>
            <w:tcW w:w="160" w:type="dxa"/>
            <w:vAlign w:val="bottom"/>
          </w:tcPr>
          <w:p>
            <w:pPr>
              <w:spacing w:after="0"/>
              <w:rPr>
                <w:sz w:val="15"/>
                <w:szCs w:val="15"/>
                <w:color w:val="auto"/>
              </w:rPr>
            </w:pPr>
          </w:p>
        </w:tc>
        <w:tc>
          <w:tcPr>
            <w:tcW w:w="1400" w:type="dxa"/>
            <w:vAlign w:val="bottom"/>
          </w:tcPr>
          <w:p>
            <w:pPr>
              <w:jc w:val="right"/>
              <w:ind w:right="474"/>
              <w:spacing w:after="0" w:line="176" w:lineRule="exact"/>
              <w:rPr>
                <w:sz w:val="20"/>
                <w:szCs w:val="20"/>
                <w:color w:val="auto"/>
              </w:rPr>
            </w:pPr>
            <w:r>
              <w:rPr>
                <w:rFonts w:ascii="Arial" w:cs="Arial" w:eastAsia="Arial" w:hAnsi="Arial"/>
                <w:sz w:val="18"/>
                <w:szCs w:val="18"/>
                <w:color w:val="auto"/>
              </w:rPr>
              <w:t>27,760</w:t>
            </w:r>
          </w:p>
        </w:tc>
        <w:tc>
          <w:tcPr>
            <w:tcW w:w="360" w:type="dxa"/>
            <w:vAlign w:val="bottom"/>
          </w:tcPr>
          <w:p>
            <w:pPr>
              <w:spacing w:after="0"/>
              <w:rPr>
                <w:sz w:val="15"/>
                <w:szCs w:val="15"/>
                <w:color w:val="auto"/>
              </w:rPr>
            </w:pPr>
          </w:p>
        </w:tc>
        <w:tc>
          <w:tcPr>
            <w:tcW w:w="540" w:type="dxa"/>
            <w:vAlign w:val="bottom"/>
            <w:gridSpan w:val="3"/>
          </w:tcPr>
          <w:p>
            <w:pPr>
              <w:spacing w:after="0" w:line="176" w:lineRule="exact"/>
              <w:rPr>
                <w:sz w:val="20"/>
                <w:szCs w:val="20"/>
                <w:color w:val="auto"/>
              </w:rPr>
            </w:pPr>
            <w:r>
              <w:rPr>
                <w:rFonts w:ascii="Arial" w:cs="Arial" w:eastAsia="Arial" w:hAnsi="Arial"/>
                <w:sz w:val="18"/>
                <w:szCs w:val="18"/>
                <w:color w:val="auto"/>
              </w:rPr>
              <w:t>&gt;4.0%</w:t>
            </w:r>
          </w:p>
        </w:tc>
        <w:tc>
          <w:tcPr>
            <w:tcW w:w="180" w:type="dxa"/>
            <w:vAlign w:val="bottom"/>
          </w:tcPr>
          <w:p>
            <w:pPr>
              <w:spacing w:after="0"/>
              <w:rPr>
                <w:sz w:val="15"/>
                <w:szCs w:val="15"/>
                <w:color w:val="auto"/>
              </w:rPr>
            </w:pPr>
          </w:p>
        </w:tc>
        <w:tc>
          <w:tcPr>
            <w:tcW w:w="1120" w:type="dxa"/>
            <w:vAlign w:val="bottom"/>
          </w:tcPr>
          <w:p>
            <w:pPr>
              <w:jc w:val="right"/>
              <w:ind w:right="193"/>
              <w:spacing w:after="0" w:line="176" w:lineRule="exact"/>
              <w:rPr>
                <w:sz w:val="20"/>
                <w:szCs w:val="20"/>
                <w:color w:val="auto"/>
              </w:rPr>
            </w:pPr>
            <w:r>
              <w:rPr>
                <w:rFonts w:ascii="Arial" w:cs="Arial" w:eastAsia="Arial" w:hAnsi="Arial"/>
                <w:sz w:val="18"/>
                <w:szCs w:val="18"/>
                <w:color w:val="auto"/>
              </w:rPr>
              <w:t>34,700</w:t>
            </w:r>
          </w:p>
        </w:tc>
        <w:tc>
          <w:tcPr>
            <w:tcW w:w="1120" w:type="dxa"/>
            <w:vAlign w:val="bottom"/>
            <w:gridSpan w:val="6"/>
          </w:tcPr>
          <w:p>
            <w:pPr>
              <w:jc w:val="right"/>
              <w:ind w:right="20"/>
              <w:spacing w:after="0" w:line="176" w:lineRule="exact"/>
              <w:rPr>
                <w:sz w:val="20"/>
                <w:szCs w:val="20"/>
                <w:color w:val="auto"/>
              </w:rPr>
            </w:pPr>
            <w:r>
              <w:rPr>
                <w:rFonts w:ascii="Arial" w:cs="Arial" w:eastAsia="Arial" w:hAnsi="Arial"/>
                <w:sz w:val="18"/>
                <w:szCs w:val="18"/>
                <w:color w:val="auto"/>
              </w:rPr>
              <w:t>&gt;5.0%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June 30, 2012:</w:t>
            </w: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Total capital to risk weighted assets:</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980" w:type="dxa"/>
            <w:vAlign w:val="bottom"/>
          </w:tcPr>
          <w:p>
            <w:pPr>
              <w:ind w:left="160"/>
              <w:spacing w:after="0" w:line="176" w:lineRule="exact"/>
              <w:rPr>
                <w:sz w:val="20"/>
                <w:szCs w:val="20"/>
                <w:color w:val="auto"/>
              </w:rPr>
            </w:pPr>
            <w:r>
              <w:rPr>
                <w:rFonts w:ascii="Arial" w:cs="Arial" w:eastAsia="Arial" w:hAnsi="Arial"/>
                <w:sz w:val="18"/>
                <w:szCs w:val="18"/>
                <w:color w:val="auto"/>
              </w:rPr>
              <w:t>Company</w:t>
            </w:r>
          </w:p>
        </w:tc>
        <w:tc>
          <w:tcPr>
            <w:tcW w:w="180" w:type="dxa"/>
            <w:vAlign w:val="bottom"/>
          </w:tcPr>
          <w:p>
            <w:pPr>
              <w:jc w:val="right"/>
              <w:spacing w:after="0" w:line="176" w:lineRule="exact"/>
              <w:rPr>
                <w:sz w:val="20"/>
                <w:szCs w:val="20"/>
                <w:color w:val="auto"/>
              </w:rPr>
            </w:pPr>
            <w:r>
              <w:rPr>
                <w:rFonts w:ascii="Arial" w:cs="Arial" w:eastAsia="Arial" w:hAnsi="Arial"/>
                <w:sz w:val="18"/>
                <w:szCs w:val="18"/>
                <w:color w:val="auto"/>
                <w:w w:val="79"/>
              </w:rPr>
              <w:t>$</w:t>
            </w:r>
          </w:p>
        </w:tc>
        <w:tc>
          <w:tcPr>
            <w:tcW w:w="1320" w:type="dxa"/>
            <w:vAlign w:val="bottom"/>
          </w:tcPr>
          <w:p>
            <w:pPr>
              <w:jc w:val="right"/>
              <w:ind w:right="373"/>
              <w:spacing w:after="0" w:line="176" w:lineRule="exact"/>
              <w:rPr>
                <w:sz w:val="20"/>
                <w:szCs w:val="20"/>
                <w:color w:val="auto"/>
              </w:rPr>
            </w:pPr>
            <w:r>
              <w:rPr>
                <w:rFonts w:ascii="Arial" w:cs="Arial" w:eastAsia="Arial" w:hAnsi="Arial"/>
                <w:sz w:val="18"/>
                <w:szCs w:val="18"/>
                <w:color w:val="auto"/>
              </w:rPr>
              <w:t>124,452</w:t>
            </w:r>
          </w:p>
        </w:tc>
        <w:tc>
          <w:tcPr>
            <w:tcW w:w="1200" w:type="dxa"/>
            <w:vAlign w:val="bottom"/>
            <w:gridSpan w:val="3"/>
          </w:tcPr>
          <w:p>
            <w:pPr>
              <w:ind w:left="420"/>
              <w:spacing w:after="0" w:line="176" w:lineRule="exact"/>
              <w:rPr>
                <w:sz w:val="20"/>
                <w:szCs w:val="20"/>
                <w:color w:val="auto"/>
              </w:rPr>
            </w:pPr>
            <w:r>
              <w:rPr>
                <w:rFonts w:ascii="Arial" w:cs="Arial" w:eastAsia="Arial" w:hAnsi="Arial"/>
                <w:sz w:val="18"/>
                <w:szCs w:val="18"/>
                <w:color w:val="auto"/>
                <w:w w:val="99"/>
              </w:rPr>
              <w:t>33.34% $</w:t>
            </w:r>
          </w:p>
        </w:tc>
        <w:tc>
          <w:tcPr>
            <w:tcW w:w="1400" w:type="dxa"/>
            <w:vAlign w:val="bottom"/>
          </w:tcPr>
          <w:p>
            <w:pPr>
              <w:jc w:val="right"/>
              <w:ind w:right="474"/>
              <w:spacing w:after="0" w:line="176" w:lineRule="exact"/>
              <w:rPr>
                <w:sz w:val="20"/>
                <w:szCs w:val="20"/>
                <w:color w:val="auto"/>
              </w:rPr>
            </w:pPr>
            <w:r>
              <w:rPr>
                <w:rFonts w:ascii="Arial" w:cs="Arial" w:eastAsia="Arial" w:hAnsi="Arial"/>
                <w:sz w:val="18"/>
                <w:szCs w:val="18"/>
                <w:color w:val="auto"/>
              </w:rPr>
              <w:t>29,863</w:t>
            </w:r>
          </w:p>
        </w:tc>
        <w:tc>
          <w:tcPr>
            <w:tcW w:w="360" w:type="dxa"/>
            <w:vAlign w:val="bottom"/>
          </w:tcPr>
          <w:p>
            <w:pPr>
              <w:spacing w:after="0"/>
              <w:rPr>
                <w:sz w:val="15"/>
                <w:szCs w:val="15"/>
                <w:color w:val="auto"/>
              </w:rPr>
            </w:pPr>
          </w:p>
        </w:tc>
        <w:tc>
          <w:tcPr>
            <w:tcW w:w="720" w:type="dxa"/>
            <w:vAlign w:val="bottom"/>
            <w:gridSpan w:val="4"/>
          </w:tcPr>
          <w:p>
            <w:pPr>
              <w:spacing w:after="0" w:line="176" w:lineRule="exact"/>
              <w:rPr>
                <w:sz w:val="20"/>
                <w:szCs w:val="20"/>
                <w:color w:val="auto"/>
              </w:rPr>
            </w:pPr>
            <w:r>
              <w:rPr>
                <w:rFonts w:ascii="Arial" w:cs="Arial" w:eastAsia="Arial" w:hAnsi="Arial"/>
                <w:sz w:val="18"/>
                <w:szCs w:val="18"/>
                <w:color w:val="auto"/>
              </w:rPr>
              <w:t>&gt;8.0% $</w:t>
            </w:r>
          </w:p>
        </w:tc>
        <w:tc>
          <w:tcPr>
            <w:tcW w:w="1120" w:type="dxa"/>
            <w:vAlign w:val="bottom"/>
          </w:tcPr>
          <w:p>
            <w:pPr>
              <w:jc w:val="right"/>
              <w:ind w:right="193"/>
              <w:spacing w:after="0" w:line="176" w:lineRule="exact"/>
              <w:rPr>
                <w:sz w:val="20"/>
                <w:szCs w:val="20"/>
                <w:color w:val="auto"/>
              </w:rPr>
            </w:pPr>
            <w:r>
              <w:rPr>
                <w:rFonts w:ascii="Arial" w:cs="Arial" w:eastAsia="Arial" w:hAnsi="Arial"/>
                <w:sz w:val="18"/>
                <w:szCs w:val="18"/>
                <w:color w:val="auto"/>
              </w:rPr>
              <w:t>N/A</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gridSpan w:val="3"/>
          </w:tcPr>
          <w:p>
            <w:pPr>
              <w:jc w:val="right"/>
              <w:ind w:right="160"/>
              <w:spacing w:after="0" w:line="176" w:lineRule="exact"/>
              <w:rPr>
                <w:sz w:val="20"/>
                <w:szCs w:val="20"/>
                <w:color w:val="auto"/>
              </w:rPr>
            </w:pPr>
            <w:r>
              <w:rPr>
                <w:rFonts w:ascii="Arial" w:cs="Arial" w:eastAsia="Arial" w:hAnsi="Arial"/>
                <w:sz w:val="18"/>
                <w:szCs w:val="18"/>
                <w:color w:val="auto"/>
                <w:w w:val="93"/>
              </w:rPr>
              <w:t>N/A</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9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Bank</w:t>
            </w: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373"/>
              <w:spacing w:after="0" w:line="176" w:lineRule="exact"/>
              <w:rPr>
                <w:sz w:val="20"/>
                <w:szCs w:val="20"/>
                <w:color w:val="auto"/>
              </w:rPr>
            </w:pPr>
            <w:r>
              <w:rPr>
                <w:rFonts w:ascii="Arial" w:cs="Arial" w:eastAsia="Arial" w:hAnsi="Arial"/>
                <w:sz w:val="18"/>
                <w:szCs w:val="18"/>
                <w:color w:val="auto"/>
              </w:rPr>
              <w:t>75,081</w:t>
            </w:r>
          </w:p>
        </w:tc>
        <w:tc>
          <w:tcPr>
            <w:tcW w:w="1040" w:type="dxa"/>
            <w:vAlign w:val="bottom"/>
            <w:gridSpan w:val="2"/>
            <w:shd w:val="clear" w:color="auto" w:fill="CCEEFF"/>
          </w:tcPr>
          <w:p>
            <w:pPr>
              <w:ind w:left="420"/>
              <w:spacing w:after="0" w:line="176" w:lineRule="exact"/>
              <w:rPr>
                <w:sz w:val="20"/>
                <w:szCs w:val="20"/>
                <w:color w:val="auto"/>
              </w:rPr>
            </w:pPr>
            <w:r>
              <w:rPr>
                <w:rFonts w:ascii="Arial" w:cs="Arial" w:eastAsia="Arial" w:hAnsi="Arial"/>
                <w:sz w:val="18"/>
                <w:szCs w:val="18"/>
                <w:color w:val="auto"/>
                <w:w w:val="98"/>
              </w:rPr>
              <w:t>20.14%</w:t>
            </w: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474"/>
              <w:spacing w:after="0" w:line="176" w:lineRule="exact"/>
              <w:rPr>
                <w:sz w:val="20"/>
                <w:szCs w:val="20"/>
                <w:color w:val="auto"/>
              </w:rPr>
            </w:pPr>
            <w:r>
              <w:rPr>
                <w:rFonts w:ascii="Arial" w:cs="Arial" w:eastAsia="Arial" w:hAnsi="Arial"/>
                <w:sz w:val="18"/>
                <w:szCs w:val="18"/>
                <w:color w:val="auto"/>
              </w:rPr>
              <w:t>29,824</w:t>
            </w:r>
          </w:p>
        </w:tc>
        <w:tc>
          <w:tcPr>
            <w:tcW w:w="360" w:type="dxa"/>
            <w:vAlign w:val="bottom"/>
            <w:shd w:val="clear" w:color="auto" w:fill="CCEEFF"/>
          </w:tcPr>
          <w:p>
            <w:pPr>
              <w:spacing w:after="0"/>
              <w:rPr>
                <w:sz w:val="17"/>
                <w:szCs w:val="17"/>
                <w:color w:val="auto"/>
              </w:rPr>
            </w:pPr>
          </w:p>
        </w:tc>
        <w:tc>
          <w:tcPr>
            <w:tcW w:w="54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&gt;8.0%</w:t>
            </w: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93"/>
              <w:spacing w:after="0" w:line="176" w:lineRule="exact"/>
              <w:rPr>
                <w:sz w:val="20"/>
                <w:szCs w:val="20"/>
                <w:color w:val="auto"/>
              </w:rPr>
            </w:pPr>
            <w:r>
              <w:rPr>
                <w:rFonts w:ascii="Arial" w:cs="Arial" w:eastAsia="Arial" w:hAnsi="Arial"/>
                <w:sz w:val="18"/>
                <w:szCs w:val="18"/>
                <w:color w:val="auto"/>
              </w:rPr>
              <w:t>37,280</w:t>
            </w:r>
          </w:p>
        </w:tc>
        <w:tc>
          <w:tcPr>
            <w:tcW w:w="1120" w:type="dxa"/>
            <w:vAlign w:val="bottom"/>
            <w:gridSpan w:val="6"/>
            <w:shd w:val="clear" w:color="auto" w:fill="CCEEFF"/>
          </w:tcPr>
          <w:p>
            <w:pPr>
              <w:jc w:val="right"/>
              <w:ind w:right="20"/>
              <w:spacing w:after="0" w:line="176" w:lineRule="exact"/>
              <w:rPr>
                <w:sz w:val="20"/>
                <w:szCs w:val="20"/>
                <w:color w:val="auto"/>
              </w:rPr>
            </w:pPr>
            <w:r>
              <w:rPr>
                <w:rFonts w:ascii="Arial" w:cs="Arial" w:eastAsia="Arial" w:hAnsi="Arial"/>
                <w:sz w:val="18"/>
                <w:szCs w:val="18"/>
                <w:color w:val="auto"/>
              </w:rPr>
              <w:t>&gt;10.0%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Tier 1 capital to risk weighted assets:</w:t>
            </w:r>
          </w:p>
        </w:tc>
        <w:tc>
          <w:tcPr>
            <w:tcW w:w="18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9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Company</w:t>
            </w: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jc w:val="right"/>
              <w:ind w:right="373"/>
              <w:spacing w:after="0" w:line="176" w:lineRule="exact"/>
              <w:rPr>
                <w:sz w:val="20"/>
                <w:szCs w:val="20"/>
                <w:color w:val="auto"/>
              </w:rPr>
            </w:pPr>
            <w:r>
              <w:rPr>
                <w:rFonts w:ascii="Arial" w:cs="Arial" w:eastAsia="Arial" w:hAnsi="Arial"/>
                <w:sz w:val="18"/>
                <w:szCs w:val="18"/>
                <w:color w:val="auto"/>
              </w:rPr>
              <w:t>123,628</w:t>
            </w:r>
          </w:p>
        </w:tc>
        <w:tc>
          <w:tcPr>
            <w:tcW w:w="1040" w:type="dxa"/>
            <w:vAlign w:val="bottom"/>
            <w:gridSpan w:val="2"/>
            <w:shd w:val="clear" w:color="auto" w:fill="CCEEFF"/>
          </w:tcPr>
          <w:p>
            <w:pPr>
              <w:ind w:left="420"/>
              <w:spacing w:after="0" w:line="176" w:lineRule="exact"/>
              <w:rPr>
                <w:sz w:val="20"/>
                <w:szCs w:val="20"/>
                <w:color w:val="auto"/>
              </w:rPr>
            </w:pPr>
            <w:r>
              <w:rPr>
                <w:rFonts w:ascii="Arial" w:cs="Arial" w:eastAsia="Arial" w:hAnsi="Arial"/>
                <w:sz w:val="18"/>
                <w:szCs w:val="18"/>
                <w:color w:val="auto"/>
                <w:w w:val="98"/>
              </w:rPr>
              <w:t>33.12%</w:t>
            </w:r>
          </w:p>
        </w:tc>
        <w:tc>
          <w:tcPr>
            <w:tcW w:w="160" w:type="dxa"/>
            <w:vAlign w:val="bottom"/>
            <w:shd w:val="clear" w:color="auto" w:fill="CCEEFF"/>
          </w:tcPr>
          <w:p>
            <w:pPr>
              <w:spacing w:after="0"/>
              <w:rPr>
                <w:sz w:val="15"/>
                <w:szCs w:val="15"/>
                <w:color w:val="auto"/>
              </w:rPr>
            </w:pPr>
          </w:p>
        </w:tc>
        <w:tc>
          <w:tcPr>
            <w:tcW w:w="1400" w:type="dxa"/>
            <w:vAlign w:val="bottom"/>
            <w:shd w:val="clear" w:color="auto" w:fill="CCEEFF"/>
          </w:tcPr>
          <w:p>
            <w:pPr>
              <w:jc w:val="right"/>
              <w:ind w:right="474"/>
              <w:spacing w:after="0" w:line="176" w:lineRule="exact"/>
              <w:rPr>
                <w:sz w:val="20"/>
                <w:szCs w:val="20"/>
                <w:color w:val="auto"/>
              </w:rPr>
            </w:pPr>
            <w:r>
              <w:rPr>
                <w:rFonts w:ascii="Arial" w:cs="Arial" w:eastAsia="Arial" w:hAnsi="Arial"/>
                <w:sz w:val="18"/>
                <w:szCs w:val="18"/>
                <w:color w:val="auto"/>
              </w:rPr>
              <w:t>14,931</w:t>
            </w:r>
          </w:p>
        </w:tc>
        <w:tc>
          <w:tcPr>
            <w:tcW w:w="360" w:type="dxa"/>
            <w:vAlign w:val="bottom"/>
            <w:shd w:val="clear" w:color="auto" w:fill="CCEEFF"/>
          </w:tcPr>
          <w:p>
            <w:pPr>
              <w:spacing w:after="0"/>
              <w:rPr>
                <w:sz w:val="15"/>
                <w:szCs w:val="15"/>
                <w:color w:val="auto"/>
              </w:rPr>
            </w:pPr>
          </w:p>
        </w:tc>
        <w:tc>
          <w:tcPr>
            <w:tcW w:w="54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&gt;4.0%</w:t>
            </w: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193"/>
              <w:spacing w:after="0" w:line="176" w:lineRule="exact"/>
              <w:rPr>
                <w:sz w:val="20"/>
                <w:szCs w:val="20"/>
                <w:color w:val="auto"/>
              </w:rPr>
            </w:pPr>
            <w:r>
              <w:rPr>
                <w:rFonts w:ascii="Arial" w:cs="Arial" w:eastAsia="Arial" w:hAnsi="Arial"/>
                <w:sz w:val="18"/>
                <w:szCs w:val="18"/>
                <w:color w:val="auto"/>
              </w:rPr>
              <w:t>N/A</w:t>
            </w: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60" w:type="dxa"/>
            <w:vAlign w:val="bottom"/>
            <w:gridSpan w:val="3"/>
            <w:shd w:val="clear" w:color="auto" w:fill="CCEEFF"/>
          </w:tcPr>
          <w:p>
            <w:pPr>
              <w:jc w:val="right"/>
              <w:ind w:right="160"/>
              <w:spacing w:after="0" w:line="176" w:lineRule="exact"/>
              <w:rPr>
                <w:sz w:val="20"/>
                <w:szCs w:val="20"/>
                <w:color w:val="auto"/>
              </w:rPr>
            </w:pPr>
            <w:r>
              <w:rPr>
                <w:rFonts w:ascii="Arial" w:cs="Arial" w:eastAsia="Arial" w:hAnsi="Arial"/>
                <w:sz w:val="18"/>
                <w:szCs w:val="18"/>
                <w:color w:val="auto"/>
                <w:w w:val="93"/>
              </w:rPr>
              <w:t>N/A</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9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3980" w:type="dxa"/>
            <w:vAlign w:val="bottom"/>
          </w:tcPr>
          <w:p>
            <w:pPr>
              <w:ind w:left="160"/>
              <w:spacing w:after="0" w:line="176" w:lineRule="exact"/>
              <w:rPr>
                <w:sz w:val="20"/>
                <w:szCs w:val="20"/>
                <w:color w:val="auto"/>
              </w:rPr>
            </w:pPr>
            <w:r>
              <w:rPr>
                <w:rFonts w:ascii="Arial" w:cs="Arial" w:eastAsia="Arial" w:hAnsi="Arial"/>
                <w:sz w:val="18"/>
                <w:szCs w:val="18"/>
                <w:color w:val="auto"/>
              </w:rPr>
              <w:t>Bank</w:t>
            </w:r>
          </w:p>
        </w:tc>
        <w:tc>
          <w:tcPr>
            <w:tcW w:w="180" w:type="dxa"/>
            <w:vAlign w:val="bottom"/>
          </w:tcPr>
          <w:p>
            <w:pPr>
              <w:spacing w:after="0"/>
              <w:rPr>
                <w:sz w:val="15"/>
                <w:szCs w:val="15"/>
                <w:color w:val="auto"/>
              </w:rPr>
            </w:pPr>
          </w:p>
        </w:tc>
        <w:tc>
          <w:tcPr>
            <w:tcW w:w="1320" w:type="dxa"/>
            <w:vAlign w:val="bottom"/>
          </w:tcPr>
          <w:p>
            <w:pPr>
              <w:jc w:val="right"/>
              <w:ind w:right="373"/>
              <w:spacing w:after="0" w:line="176" w:lineRule="exact"/>
              <w:rPr>
                <w:sz w:val="20"/>
                <w:szCs w:val="20"/>
                <w:color w:val="auto"/>
              </w:rPr>
            </w:pPr>
            <w:r>
              <w:rPr>
                <w:rFonts w:ascii="Arial" w:cs="Arial" w:eastAsia="Arial" w:hAnsi="Arial"/>
                <w:sz w:val="18"/>
                <w:szCs w:val="18"/>
                <w:color w:val="auto"/>
              </w:rPr>
              <w:t>70,414</w:t>
            </w:r>
          </w:p>
        </w:tc>
        <w:tc>
          <w:tcPr>
            <w:tcW w:w="1040" w:type="dxa"/>
            <w:vAlign w:val="bottom"/>
            <w:gridSpan w:val="2"/>
          </w:tcPr>
          <w:p>
            <w:pPr>
              <w:ind w:left="420"/>
              <w:spacing w:after="0" w:line="176" w:lineRule="exact"/>
              <w:rPr>
                <w:sz w:val="20"/>
                <w:szCs w:val="20"/>
                <w:color w:val="auto"/>
              </w:rPr>
            </w:pPr>
            <w:r>
              <w:rPr>
                <w:rFonts w:ascii="Arial" w:cs="Arial" w:eastAsia="Arial" w:hAnsi="Arial"/>
                <w:sz w:val="18"/>
                <w:szCs w:val="18"/>
                <w:color w:val="auto"/>
                <w:w w:val="98"/>
              </w:rPr>
              <w:t>18.89%</w:t>
            </w:r>
          </w:p>
        </w:tc>
        <w:tc>
          <w:tcPr>
            <w:tcW w:w="160" w:type="dxa"/>
            <w:vAlign w:val="bottom"/>
          </w:tcPr>
          <w:p>
            <w:pPr>
              <w:spacing w:after="0"/>
              <w:rPr>
                <w:sz w:val="15"/>
                <w:szCs w:val="15"/>
                <w:color w:val="auto"/>
              </w:rPr>
            </w:pPr>
          </w:p>
        </w:tc>
        <w:tc>
          <w:tcPr>
            <w:tcW w:w="1400" w:type="dxa"/>
            <w:vAlign w:val="bottom"/>
          </w:tcPr>
          <w:p>
            <w:pPr>
              <w:jc w:val="right"/>
              <w:ind w:right="474"/>
              <w:spacing w:after="0" w:line="176" w:lineRule="exact"/>
              <w:rPr>
                <w:sz w:val="20"/>
                <w:szCs w:val="20"/>
                <w:color w:val="auto"/>
              </w:rPr>
            </w:pPr>
            <w:r>
              <w:rPr>
                <w:rFonts w:ascii="Arial" w:cs="Arial" w:eastAsia="Arial" w:hAnsi="Arial"/>
                <w:sz w:val="18"/>
                <w:szCs w:val="18"/>
                <w:color w:val="auto"/>
              </w:rPr>
              <w:t>14,910</w:t>
            </w:r>
          </w:p>
        </w:tc>
        <w:tc>
          <w:tcPr>
            <w:tcW w:w="360" w:type="dxa"/>
            <w:vAlign w:val="bottom"/>
          </w:tcPr>
          <w:p>
            <w:pPr>
              <w:spacing w:after="0"/>
              <w:rPr>
                <w:sz w:val="15"/>
                <w:szCs w:val="15"/>
                <w:color w:val="auto"/>
              </w:rPr>
            </w:pPr>
          </w:p>
        </w:tc>
        <w:tc>
          <w:tcPr>
            <w:tcW w:w="540" w:type="dxa"/>
            <w:vAlign w:val="bottom"/>
            <w:gridSpan w:val="3"/>
          </w:tcPr>
          <w:p>
            <w:pPr>
              <w:spacing w:after="0" w:line="176" w:lineRule="exact"/>
              <w:rPr>
                <w:sz w:val="20"/>
                <w:szCs w:val="20"/>
                <w:color w:val="auto"/>
              </w:rPr>
            </w:pPr>
            <w:r>
              <w:rPr>
                <w:rFonts w:ascii="Arial" w:cs="Arial" w:eastAsia="Arial" w:hAnsi="Arial"/>
                <w:sz w:val="18"/>
                <w:szCs w:val="18"/>
                <w:color w:val="auto"/>
              </w:rPr>
              <w:t>&gt;4.0%</w:t>
            </w:r>
          </w:p>
        </w:tc>
        <w:tc>
          <w:tcPr>
            <w:tcW w:w="180" w:type="dxa"/>
            <w:vAlign w:val="bottom"/>
          </w:tcPr>
          <w:p>
            <w:pPr>
              <w:spacing w:after="0"/>
              <w:rPr>
                <w:sz w:val="15"/>
                <w:szCs w:val="15"/>
                <w:color w:val="auto"/>
              </w:rPr>
            </w:pPr>
          </w:p>
        </w:tc>
        <w:tc>
          <w:tcPr>
            <w:tcW w:w="1120" w:type="dxa"/>
            <w:vAlign w:val="bottom"/>
          </w:tcPr>
          <w:p>
            <w:pPr>
              <w:jc w:val="right"/>
              <w:ind w:right="193"/>
              <w:spacing w:after="0" w:line="176" w:lineRule="exact"/>
              <w:rPr>
                <w:sz w:val="20"/>
                <w:szCs w:val="20"/>
                <w:color w:val="auto"/>
              </w:rPr>
            </w:pPr>
            <w:r>
              <w:rPr>
                <w:rFonts w:ascii="Arial" w:cs="Arial" w:eastAsia="Arial" w:hAnsi="Arial"/>
                <w:sz w:val="18"/>
                <w:szCs w:val="18"/>
                <w:color w:val="auto"/>
              </w:rPr>
              <w:t>22,365</w:t>
            </w:r>
          </w:p>
        </w:tc>
        <w:tc>
          <w:tcPr>
            <w:tcW w:w="1120" w:type="dxa"/>
            <w:vAlign w:val="bottom"/>
            <w:gridSpan w:val="6"/>
          </w:tcPr>
          <w:p>
            <w:pPr>
              <w:jc w:val="right"/>
              <w:ind w:right="20"/>
              <w:spacing w:after="0" w:line="176" w:lineRule="exact"/>
              <w:rPr>
                <w:sz w:val="20"/>
                <w:szCs w:val="20"/>
                <w:color w:val="auto"/>
              </w:rPr>
            </w:pPr>
            <w:r>
              <w:rPr>
                <w:rFonts w:ascii="Arial" w:cs="Arial" w:eastAsia="Arial" w:hAnsi="Arial"/>
                <w:sz w:val="18"/>
                <w:szCs w:val="18"/>
                <w:color w:val="auto"/>
              </w:rPr>
              <w:t>&gt;6.0%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Tier 1 capital to average assets:</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980" w:type="dxa"/>
            <w:vAlign w:val="bottom"/>
          </w:tcPr>
          <w:p>
            <w:pPr>
              <w:ind w:left="160"/>
              <w:spacing w:after="0" w:line="176" w:lineRule="exact"/>
              <w:rPr>
                <w:sz w:val="20"/>
                <w:szCs w:val="20"/>
                <w:color w:val="auto"/>
              </w:rPr>
            </w:pPr>
            <w:r>
              <w:rPr>
                <w:rFonts w:ascii="Arial" w:cs="Arial" w:eastAsia="Arial" w:hAnsi="Arial"/>
                <w:sz w:val="18"/>
                <w:szCs w:val="18"/>
                <w:color w:val="auto"/>
              </w:rPr>
              <w:t>Company</w:t>
            </w:r>
          </w:p>
        </w:tc>
        <w:tc>
          <w:tcPr>
            <w:tcW w:w="180" w:type="dxa"/>
            <w:vAlign w:val="bottom"/>
          </w:tcPr>
          <w:p>
            <w:pPr>
              <w:spacing w:after="0"/>
              <w:rPr>
                <w:sz w:val="15"/>
                <w:szCs w:val="15"/>
                <w:color w:val="auto"/>
              </w:rPr>
            </w:pPr>
          </w:p>
        </w:tc>
        <w:tc>
          <w:tcPr>
            <w:tcW w:w="1320" w:type="dxa"/>
            <w:vAlign w:val="bottom"/>
          </w:tcPr>
          <w:p>
            <w:pPr>
              <w:jc w:val="right"/>
              <w:ind w:right="373"/>
              <w:spacing w:after="0" w:line="176" w:lineRule="exact"/>
              <w:rPr>
                <w:sz w:val="20"/>
                <w:szCs w:val="20"/>
                <w:color w:val="auto"/>
              </w:rPr>
            </w:pPr>
            <w:r>
              <w:rPr>
                <w:rFonts w:ascii="Arial" w:cs="Arial" w:eastAsia="Arial" w:hAnsi="Arial"/>
                <w:sz w:val="18"/>
                <w:szCs w:val="18"/>
                <w:color w:val="auto"/>
              </w:rPr>
              <w:t>123,628</w:t>
            </w:r>
          </w:p>
        </w:tc>
        <w:tc>
          <w:tcPr>
            <w:tcW w:w="1040" w:type="dxa"/>
            <w:vAlign w:val="bottom"/>
            <w:gridSpan w:val="2"/>
          </w:tcPr>
          <w:p>
            <w:pPr>
              <w:ind w:left="420"/>
              <w:spacing w:after="0" w:line="176" w:lineRule="exact"/>
              <w:rPr>
                <w:sz w:val="20"/>
                <w:szCs w:val="20"/>
                <w:color w:val="auto"/>
              </w:rPr>
            </w:pPr>
            <w:r>
              <w:rPr>
                <w:rFonts w:ascii="Arial" w:cs="Arial" w:eastAsia="Arial" w:hAnsi="Arial"/>
                <w:sz w:val="18"/>
                <w:szCs w:val="18"/>
                <w:color w:val="auto"/>
                <w:w w:val="98"/>
              </w:rPr>
              <w:t>19.91%</w:t>
            </w:r>
          </w:p>
        </w:tc>
        <w:tc>
          <w:tcPr>
            <w:tcW w:w="160" w:type="dxa"/>
            <w:vAlign w:val="bottom"/>
          </w:tcPr>
          <w:p>
            <w:pPr>
              <w:spacing w:after="0"/>
              <w:rPr>
                <w:sz w:val="15"/>
                <w:szCs w:val="15"/>
                <w:color w:val="auto"/>
              </w:rPr>
            </w:pPr>
          </w:p>
        </w:tc>
        <w:tc>
          <w:tcPr>
            <w:tcW w:w="1400" w:type="dxa"/>
            <w:vAlign w:val="bottom"/>
          </w:tcPr>
          <w:p>
            <w:pPr>
              <w:jc w:val="right"/>
              <w:ind w:right="474"/>
              <w:spacing w:after="0" w:line="176" w:lineRule="exact"/>
              <w:rPr>
                <w:sz w:val="20"/>
                <w:szCs w:val="20"/>
                <w:color w:val="auto"/>
              </w:rPr>
            </w:pPr>
            <w:r>
              <w:rPr>
                <w:rFonts w:ascii="Arial" w:cs="Arial" w:eastAsia="Arial" w:hAnsi="Arial"/>
                <w:sz w:val="18"/>
                <w:szCs w:val="18"/>
                <w:color w:val="auto"/>
              </w:rPr>
              <w:t>24,837</w:t>
            </w:r>
          </w:p>
        </w:tc>
        <w:tc>
          <w:tcPr>
            <w:tcW w:w="360" w:type="dxa"/>
            <w:vAlign w:val="bottom"/>
          </w:tcPr>
          <w:p>
            <w:pPr>
              <w:spacing w:after="0"/>
              <w:rPr>
                <w:sz w:val="15"/>
                <w:szCs w:val="15"/>
                <w:color w:val="auto"/>
              </w:rPr>
            </w:pPr>
          </w:p>
        </w:tc>
        <w:tc>
          <w:tcPr>
            <w:tcW w:w="540" w:type="dxa"/>
            <w:vAlign w:val="bottom"/>
            <w:gridSpan w:val="3"/>
          </w:tcPr>
          <w:p>
            <w:pPr>
              <w:spacing w:after="0" w:line="176" w:lineRule="exact"/>
              <w:rPr>
                <w:sz w:val="20"/>
                <w:szCs w:val="20"/>
                <w:color w:val="auto"/>
              </w:rPr>
            </w:pPr>
            <w:r>
              <w:rPr>
                <w:rFonts w:ascii="Arial" w:cs="Arial" w:eastAsia="Arial" w:hAnsi="Arial"/>
                <w:sz w:val="18"/>
                <w:szCs w:val="18"/>
                <w:color w:val="auto"/>
              </w:rPr>
              <w:t>&gt;4.0%</w:t>
            </w:r>
          </w:p>
        </w:tc>
        <w:tc>
          <w:tcPr>
            <w:tcW w:w="180" w:type="dxa"/>
            <w:vAlign w:val="bottom"/>
          </w:tcPr>
          <w:p>
            <w:pPr>
              <w:spacing w:after="0"/>
              <w:rPr>
                <w:sz w:val="15"/>
                <w:szCs w:val="15"/>
                <w:color w:val="auto"/>
              </w:rPr>
            </w:pPr>
          </w:p>
        </w:tc>
        <w:tc>
          <w:tcPr>
            <w:tcW w:w="1120" w:type="dxa"/>
            <w:vAlign w:val="bottom"/>
          </w:tcPr>
          <w:p>
            <w:pPr>
              <w:jc w:val="right"/>
              <w:ind w:right="193"/>
              <w:spacing w:after="0" w:line="176" w:lineRule="exact"/>
              <w:rPr>
                <w:sz w:val="20"/>
                <w:szCs w:val="20"/>
                <w:color w:val="auto"/>
              </w:rPr>
            </w:pPr>
            <w:r>
              <w:rPr>
                <w:rFonts w:ascii="Arial" w:cs="Arial" w:eastAsia="Arial" w:hAnsi="Arial"/>
                <w:sz w:val="18"/>
                <w:szCs w:val="18"/>
                <w:color w:val="auto"/>
              </w:rPr>
              <w:t>N/A</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gridSpan w:val="3"/>
          </w:tcPr>
          <w:p>
            <w:pPr>
              <w:jc w:val="right"/>
              <w:ind w:right="160"/>
              <w:spacing w:after="0" w:line="176" w:lineRule="exact"/>
              <w:rPr>
                <w:sz w:val="20"/>
                <w:szCs w:val="20"/>
                <w:color w:val="auto"/>
              </w:rPr>
            </w:pPr>
            <w:r>
              <w:rPr>
                <w:rFonts w:ascii="Arial" w:cs="Arial" w:eastAsia="Arial" w:hAnsi="Arial"/>
                <w:sz w:val="18"/>
                <w:szCs w:val="18"/>
                <w:color w:val="auto"/>
                <w:w w:val="93"/>
              </w:rPr>
              <w:t>N/A</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39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Bank</w:t>
            </w: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jc w:val="right"/>
              <w:ind w:right="373"/>
              <w:spacing w:after="0" w:line="176" w:lineRule="exact"/>
              <w:rPr>
                <w:sz w:val="20"/>
                <w:szCs w:val="20"/>
                <w:color w:val="auto"/>
              </w:rPr>
            </w:pPr>
            <w:r>
              <w:rPr>
                <w:rFonts w:ascii="Arial" w:cs="Arial" w:eastAsia="Arial" w:hAnsi="Arial"/>
                <w:sz w:val="18"/>
                <w:szCs w:val="18"/>
                <w:color w:val="auto"/>
              </w:rPr>
              <w:t>70,414</w:t>
            </w:r>
          </w:p>
        </w:tc>
        <w:tc>
          <w:tcPr>
            <w:tcW w:w="1040" w:type="dxa"/>
            <w:vAlign w:val="bottom"/>
            <w:gridSpan w:val="2"/>
            <w:shd w:val="clear" w:color="auto" w:fill="CCEEFF"/>
          </w:tcPr>
          <w:p>
            <w:pPr>
              <w:ind w:left="420"/>
              <w:spacing w:after="0" w:line="176" w:lineRule="exact"/>
              <w:rPr>
                <w:sz w:val="20"/>
                <w:szCs w:val="20"/>
                <w:color w:val="auto"/>
              </w:rPr>
            </w:pPr>
            <w:r>
              <w:rPr>
                <w:rFonts w:ascii="Arial" w:cs="Arial" w:eastAsia="Arial" w:hAnsi="Arial"/>
                <w:sz w:val="18"/>
                <w:szCs w:val="18"/>
                <w:color w:val="auto"/>
                <w:w w:val="98"/>
              </w:rPr>
              <w:t>11.43%</w:t>
            </w:r>
          </w:p>
        </w:tc>
        <w:tc>
          <w:tcPr>
            <w:tcW w:w="160" w:type="dxa"/>
            <w:vAlign w:val="bottom"/>
            <w:shd w:val="clear" w:color="auto" w:fill="CCEEFF"/>
          </w:tcPr>
          <w:p>
            <w:pPr>
              <w:spacing w:after="0"/>
              <w:rPr>
                <w:sz w:val="15"/>
                <w:szCs w:val="15"/>
                <w:color w:val="auto"/>
              </w:rPr>
            </w:pPr>
          </w:p>
        </w:tc>
        <w:tc>
          <w:tcPr>
            <w:tcW w:w="1400" w:type="dxa"/>
            <w:vAlign w:val="bottom"/>
            <w:shd w:val="clear" w:color="auto" w:fill="CCEEFF"/>
          </w:tcPr>
          <w:p>
            <w:pPr>
              <w:jc w:val="right"/>
              <w:ind w:right="474"/>
              <w:spacing w:after="0" w:line="176" w:lineRule="exact"/>
              <w:rPr>
                <w:sz w:val="20"/>
                <w:szCs w:val="20"/>
                <w:color w:val="auto"/>
              </w:rPr>
            </w:pPr>
            <w:r>
              <w:rPr>
                <w:rFonts w:ascii="Arial" w:cs="Arial" w:eastAsia="Arial" w:hAnsi="Arial"/>
                <w:sz w:val="18"/>
                <w:szCs w:val="18"/>
                <w:color w:val="auto"/>
              </w:rPr>
              <w:t>24,642</w:t>
            </w:r>
          </w:p>
        </w:tc>
        <w:tc>
          <w:tcPr>
            <w:tcW w:w="360" w:type="dxa"/>
            <w:vAlign w:val="bottom"/>
            <w:shd w:val="clear" w:color="auto" w:fill="CCEEFF"/>
          </w:tcPr>
          <w:p>
            <w:pPr>
              <w:spacing w:after="0"/>
              <w:rPr>
                <w:sz w:val="15"/>
                <w:szCs w:val="15"/>
                <w:color w:val="auto"/>
              </w:rPr>
            </w:pPr>
          </w:p>
        </w:tc>
        <w:tc>
          <w:tcPr>
            <w:tcW w:w="54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&gt;4.0%</w:t>
            </w: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193"/>
              <w:spacing w:after="0" w:line="176" w:lineRule="exact"/>
              <w:rPr>
                <w:sz w:val="20"/>
                <w:szCs w:val="20"/>
                <w:color w:val="auto"/>
              </w:rPr>
            </w:pPr>
            <w:r>
              <w:rPr>
                <w:rFonts w:ascii="Arial" w:cs="Arial" w:eastAsia="Arial" w:hAnsi="Arial"/>
                <w:sz w:val="18"/>
                <w:szCs w:val="18"/>
                <w:color w:val="auto"/>
              </w:rPr>
              <w:t>30,802</w:t>
            </w:r>
          </w:p>
        </w:tc>
        <w:tc>
          <w:tcPr>
            <w:tcW w:w="1120" w:type="dxa"/>
            <w:vAlign w:val="bottom"/>
            <w:gridSpan w:val="6"/>
            <w:shd w:val="clear" w:color="auto" w:fill="CCEEFF"/>
          </w:tcPr>
          <w:p>
            <w:pPr>
              <w:jc w:val="right"/>
              <w:ind w:right="20"/>
              <w:spacing w:after="0" w:line="176" w:lineRule="exact"/>
              <w:rPr>
                <w:sz w:val="20"/>
                <w:szCs w:val="20"/>
                <w:color w:val="auto"/>
              </w:rPr>
            </w:pPr>
            <w:r>
              <w:rPr>
                <w:rFonts w:ascii="Arial" w:cs="Arial" w:eastAsia="Arial" w:hAnsi="Arial"/>
                <w:sz w:val="18"/>
                <w:szCs w:val="18"/>
                <w:color w:val="auto"/>
              </w:rPr>
              <w:t>&gt;5.0%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9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Financial Instruments</w:t>
      </w:r>
    </w:p>
    <w:p>
      <w:pPr>
        <w:spacing w:after="0" w:line="225"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The Company is a party to financial instruments with off-balance sheet risk in the normal course of business to meet the financing needs of its customers. These financial instruments include commitments to extend credit, unused lines of credit and standby letters of credit. These instruments involve, to varying degrees, elements of credit and interest-rate risk in excess of the amounts recognized in the condensed consolidated balance sheet. The contract or notional amounts of these instruments reflect the extent of the Company’s involvement in particular classes of financial instruments.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See Part I. Item I. “Notes to Unaudited Consolidated Financial Statements — Note 12: Commitments and Contingencies” for further discussion.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Results of Operations — Continuing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Net income was $1.7 million for the quarter ended March 31, 2013, compared to $154 thousand for the quarter ended March 31, 2012. Net income for the nine months ended March 31, 2013 was $4.2 million, compared to a net loss of $22 thousand for the nine months ended March 31, 2012.</w:t>
      </w:r>
    </w:p>
    <w:p>
      <w:pPr>
        <w:spacing w:after="0" w:line="14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both the quarter and nine months ended March 31, 2013, higher average balances in the Company’s purchased loan portfolio and transactional income from unscheduled loan payoffs and asset sales contributed significantly to increased net interest income and overall earnings, compared to the same periods in Fiscal 2012. Increases in both net interest income and noninterest income in the current year periods were partially offset by higher levels of noninterest expense, principally due to increased employee headcount, incentive compensation, and other operating expenses associated with implementation of the Company’s business strategy over the past twelve months.</w:t>
      </w:r>
    </w:p>
    <w:p>
      <w:pPr>
        <w:spacing w:after="0" w:line="188"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following table details the “total return” on purchased loans, which includes transactional income of $4.1 million for the quarter and $7.8 million for the nine months ended March 31, 2013. This compares to transactional income of $493 thousand and $975 for the quarter and nine months ended March 31, 2012, respectively.</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7"/>
          </w:tcPr>
          <w:p>
            <w:pPr>
              <w:jc w:val="right"/>
              <w:ind w:right="148"/>
              <w:spacing w:after="0"/>
              <w:rPr>
                <w:sz w:val="20"/>
                <w:szCs w:val="20"/>
                <w:color w:val="auto"/>
              </w:rPr>
            </w:pPr>
            <w:r>
              <w:rPr>
                <w:rFonts w:ascii="Arial" w:cs="Arial" w:eastAsia="Arial" w:hAnsi="Arial"/>
                <w:sz w:val="14"/>
                <w:szCs w:val="14"/>
                <w:b w:val="1"/>
                <w:bCs w:val="1"/>
                <w:color w:val="auto"/>
                <w:w w:val="94"/>
              </w:rPr>
              <w:t>Total Return on Purchased Loans</w:t>
            </w:r>
          </w:p>
        </w:tc>
        <w:tc>
          <w:tcPr>
            <w:tcW w:w="7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3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440" w:type="dxa"/>
            <w:vAlign w:val="bottom"/>
            <w:tcBorders>
              <w:bottom w:val="single" w:sz="8" w:color="auto"/>
            </w:tcBorders>
            <w:gridSpan w:val="7"/>
          </w:tcPr>
          <w:p>
            <w:pPr>
              <w:jc w:val="right"/>
              <w:ind w:right="188"/>
              <w:spacing w:after="0" w:line="142" w:lineRule="exact"/>
              <w:rPr>
                <w:sz w:val="20"/>
                <w:szCs w:val="20"/>
                <w:color w:val="auto"/>
              </w:rPr>
            </w:pPr>
            <w:r>
              <w:rPr>
                <w:rFonts w:ascii="Arial" w:cs="Arial" w:eastAsia="Arial" w:hAnsi="Arial"/>
                <w:sz w:val="14"/>
                <w:szCs w:val="14"/>
                <w:b w:val="1"/>
                <w:bCs w:val="1"/>
                <w:color w:val="auto"/>
              </w:rPr>
              <w:t>Three Months Ended March 31,</w:t>
            </w:r>
          </w:p>
        </w:tc>
        <w:tc>
          <w:tcPr>
            <w:tcW w:w="74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360" w:type="dxa"/>
            <w:vAlign w:val="bottom"/>
            <w:tcBorders>
              <w:bottom w:val="single" w:sz="8" w:color="auto"/>
            </w:tcBorders>
            <w:gridSpan w:val="8"/>
          </w:tcPr>
          <w:p>
            <w:pPr>
              <w:jc w:val="right"/>
              <w:ind w:right="260"/>
              <w:spacing w:after="0" w:line="142" w:lineRule="exact"/>
              <w:rPr>
                <w:sz w:val="20"/>
                <w:szCs w:val="20"/>
                <w:color w:val="auto"/>
              </w:rPr>
            </w:pPr>
            <w:r>
              <w:rPr>
                <w:rFonts w:ascii="Arial" w:cs="Arial" w:eastAsia="Arial" w:hAnsi="Arial"/>
                <w:sz w:val="14"/>
                <w:szCs w:val="14"/>
                <w:b w:val="1"/>
                <w:bCs w:val="1"/>
                <w:color w:val="auto"/>
              </w:rPr>
              <w:t>Nine Months Ended March 31,</w:t>
            </w:r>
          </w:p>
        </w:tc>
        <w:tc>
          <w:tcPr>
            <w:tcW w:w="7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2"/>
        </w:trPr>
        <w:tc>
          <w:tcPr>
            <w:tcW w:w="3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7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74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74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3"/>
          </w:tcPr>
          <w:p>
            <w:pPr>
              <w:jc w:val="right"/>
              <w:ind w:right="20"/>
              <w:spacing w:after="0" w:line="142" w:lineRule="exact"/>
              <w:rPr>
                <w:sz w:val="20"/>
                <w:szCs w:val="20"/>
                <w:color w:val="auto"/>
              </w:rPr>
            </w:pPr>
            <w:r>
              <w:rPr>
                <w:rFonts w:ascii="Arial" w:cs="Arial" w:eastAsia="Arial" w:hAnsi="Arial"/>
                <w:sz w:val="14"/>
                <w:szCs w:val="14"/>
                <w:b w:val="1"/>
                <w:bCs w:val="1"/>
                <w:color w:val="auto"/>
              </w:rPr>
              <w:t>2012</w:t>
            </w:r>
          </w:p>
        </w:tc>
        <w:tc>
          <w:tcPr>
            <w:tcW w:w="7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2"/>
        </w:trPr>
        <w:tc>
          <w:tcPr>
            <w:tcW w:w="3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2"/>
          </w:tcPr>
          <w:p>
            <w:pPr>
              <w:jc w:val="right"/>
              <w:ind w:right="408"/>
              <w:spacing w:after="0" w:line="142" w:lineRule="exact"/>
              <w:rPr>
                <w:sz w:val="20"/>
                <w:szCs w:val="20"/>
                <w:color w:val="auto"/>
              </w:rPr>
            </w:pPr>
            <w:r>
              <w:rPr>
                <w:rFonts w:ascii="Arial" w:cs="Arial" w:eastAsia="Arial" w:hAnsi="Arial"/>
                <w:sz w:val="14"/>
                <w:szCs w:val="14"/>
                <w:b w:val="1"/>
                <w:bCs w:val="1"/>
                <w:color w:val="auto"/>
                <w:w w:val="97"/>
              </w:rPr>
              <w:t>Income</w:t>
            </w:r>
          </w:p>
        </w:tc>
        <w:tc>
          <w:tcPr>
            <w:tcW w:w="74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Return (1)</w:t>
            </w:r>
          </w:p>
        </w:tc>
        <w:tc>
          <w:tcPr>
            <w:tcW w:w="2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2"/>
          </w:tcPr>
          <w:p>
            <w:pPr>
              <w:jc w:val="right"/>
              <w:ind w:right="388"/>
              <w:spacing w:after="0" w:line="142" w:lineRule="exact"/>
              <w:rPr>
                <w:sz w:val="20"/>
                <w:szCs w:val="20"/>
                <w:color w:val="auto"/>
              </w:rPr>
            </w:pPr>
            <w:r>
              <w:rPr>
                <w:rFonts w:ascii="Arial" w:cs="Arial" w:eastAsia="Arial" w:hAnsi="Arial"/>
                <w:sz w:val="14"/>
                <w:szCs w:val="14"/>
                <w:b w:val="1"/>
                <w:bCs w:val="1"/>
                <w:color w:val="auto"/>
              </w:rPr>
              <w:t>Income</w:t>
            </w:r>
          </w:p>
        </w:tc>
        <w:tc>
          <w:tcPr>
            <w:tcW w:w="74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Return (1)</w:t>
            </w:r>
          </w:p>
        </w:tc>
        <w:tc>
          <w:tcPr>
            <w:tcW w:w="2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2"/>
          </w:tcPr>
          <w:p>
            <w:pPr>
              <w:jc w:val="right"/>
              <w:ind w:right="368"/>
              <w:spacing w:after="0" w:line="142" w:lineRule="exact"/>
              <w:rPr>
                <w:sz w:val="20"/>
                <w:szCs w:val="20"/>
                <w:color w:val="auto"/>
              </w:rPr>
            </w:pPr>
            <w:r>
              <w:rPr>
                <w:rFonts w:ascii="Arial" w:cs="Arial" w:eastAsia="Arial" w:hAnsi="Arial"/>
                <w:sz w:val="14"/>
                <w:szCs w:val="14"/>
                <w:b w:val="1"/>
                <w:bCs w:val="1"/>
                <w:color w:val="auto"/>
                <w:w w:val="97"/>
              </w:rPr>
              <w:t>Income</w:t>
            </w:r>
          </w:p>
        </w:tc>
        <w:tc>
          <w:tcPr>
            <w:tcW w:w="74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Return (1)</w:t>
            </w:r>
          </w:p>
        </w:tc>
        <w:tc>
          <w:tcPr>
            <w:tcW w:w="2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3"/>
          </w:tcPr>
          <w:p>
            <w:pPr>
              <w:jc w:val="right"/>
              <w:ind w:right="440"/>
              <w:spacing w:after="0" w:line="142" w:lineRule="exact"/>
              <w:rPr>
                <w:sz w:val="20"/>
                <w:szCs w:val="20"/>
                <w:color w:val="auto"/>
              </w:rPr>
            </w:pPr>
            <w:r>
              <w:rPr>
                <w:rFonts w:ascii="Arial" w:cs="Arial" w:eastAsia="Arial" w:hAnsi="Arial"/>
                <w:sz w:val="14"/>
                <w:szCs w:val="14"/>
                <w:b w:val="1"/>
                <w:bCs w:val="1"/>
                <w:color w:val="auto"/>
                <w:w w:val="97"/>
              </w:rPr>
              <w:t>Income</w:t>
            </w:r>
          </w:p>
        </w:tc>
        <w:tc>
          <w:tcPr>
            <w:tcW w:w="74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Return (1)</w:t>
            </w:r>
          </w:p>
        </w:tc>
        <w:tc>
          <w:tcPr>
            <w:tcW w:w="120" w:type="dxa"/>
            <w:vAlign w:val="bottom"/>
          </w:tcPr>
          <w:p>
            <w:pPr>
              <w:spacing w:after="0"/>
              <w:rPr>
                <w:sz w:val="12"/>
                <w:szCs w:val="12"/>
                <w:color w:val="auto"/>
              </w:rPr>
            </w:pPr>
          </w:p>
        </w:tc>
      </w:tr>
      <w:tr>
        <w:trPr>
          <w:trHeight w:val="142"/>
        </w:trPr>
        <w:tc>
          <w:tcPr>
            <w:tcW w:w="3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80" w:type="dxa"/>
            <w:vAlign w:val="bottom"/>
            <w:gridSpan w:val="6"/>
          </w:tcPr>
          <w:p>
            <w:pPr>
              <w:jc w:val="right"/>
              <w:ind w:right="508"/>
              <w:spacing w:after="0" w:line="142" w:lineRule="exact"/>
              <w:rPr>
                <w:sz w:val="20"/>
                <w:szCs w:val="20"/>
                <w:color w:val="auto"/>
              </w:rPr>
            </w:pPr>
            <w:r>
              <w:rPr>
                <w:rFonts w:ascii="Arial" w:cs="Arial" w:eastAsia="Arial" w:hAnsi="Arial"/>
                <w:sz w:val="14"/>
                <w:szCs w:val="14"/>
                <w:b w:val="1"/>
                <w:bCs w:val="1"/>
                <w:color w:val="auto"/>
              </w:rPr>
              <w:t>(Dollars in thousands)</w:t>
            </w: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3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Regularly scheduled interest and accretion</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228"/>
              <w:spacing w:after="0" w:line="149" w:lineRule="exact"/>
              <w:rPr>
                <w:sz w:val="20"/>
                <w:szCs w:val="20"/>
                <w:color w:val="auto"/>
              </w:rPr>
            </w:pPr>
            <w:r>
              <w:rPr>
                <w:rFonts w:ascii="Arial" w:cs="Arial" w:eastAsia="Arial" w:hAnsi="Arial"/>
                <w:sz w:val="14"/>
                <w:szCs w:val="14"/>
                <w:color w:val="auto"/>
              </w:rPr>
              <w:t>3,043</w:t>
            </w: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9.40%</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1,298</w:t>
            </w:r>
          </w:p>
        </w:tc>
        <w:tc>
          <w:tcPr>
            <w:tcW w:w="9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10.10%</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7,813</w:t>
            </w:r>
          </w:p>
        </w:tc>
        <w:tc>
          <w:tcPr>
            <w:tcW w:w="10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9.35%</w:t>
            </w:r>
          </w:p>
        </w:tc>
        <w:tc>
          <w:tcPr>
            <w:tcW w:w="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2,374</w:t>
            </w:r>
          </w:p>
        </w:tc>
        <w:tc>
          <w:tcPr>
            <w:tcW w:w="2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10.78%</w:t>
            </w:r>
          </w:p>
        </w:tc>
      </w:tr>
      <w:tr>
        <w:trPr>
          <w:trHeight w:val="149"/>
        </w:trPr>
        <w:tc>
          <w:tcPr>
            <w:tcW w:w="3160" w:type="dxa"/>
            <w:vAlign w:val="bottom"/>
          </w:tcPr>
          <w:p>
            <w:pPr>
              <w:spacing w:after="0" w:line="149" w:lineRule="exact"/>
              <w:rPr>
                <w:sz w:val="20"/>
                <w:szCs w:val="20"/>
                <w:color w:val="auto"/>
              </w:rPr>
            </w:pPr>
            <w:r>
              <w:rPr>
                <w:rFonts w:ascii="Arial" w:cs="Arial" w:eastAsia="Arial" w:hAnsi="Arial"/>
                <w:sz w:val="14"/>
                <w:szCs w:val="14"/>
                <w:color w:val="auto"/>
              </w:rPr>
              <w:t>Transactional income:</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316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Gains on loan sales</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28"/>
              <w:spacing w:after="0" w:line="149" w:lineRule="exact"/>
              <w:rPr>
                <w:sz w:val="20"/>
                <w:szCs w:val="20"/>
                <w:color w:val="auto"/>
              </w:rPr>
            </w:pPr>
            <w:r>
              <w:rPr>
                <w:rFonts w:ascii="Arial" w:cs="Arial" w:eastAsia="Arial" w:hAnsi="Arial"/>
                <w:sz w:val="14"/>
                <w:szCs w:val="14"/>
                <w:color w:val="auto"/>
              </w:rPr>
              <w:t>1,218</w:t>
            </w: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3.76%</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219</w:t>
            </w:r>
          </w:p>
        </w:tc>
        <w:tc>
          <w:tcPr>
            <w:tcW w:w="2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1.70%</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2,035</w:t>
            </w:r>
          </w:p>
        </w:tc>
        <w:tc>
          <w:tcPr>
            <w:tcW w:w="10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2.44%</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219</w:t>
            </w:r>
          </w:p>
        </w:tc>
        <w:tc>
          <w:tcPr>
            <w:tcW w:w="2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0.99%</w:t>
            </w:r>
          </w:p>
        </w:tc>
      </w:tr>
      <w:tr>
        <w:trPr>
          <w:trHeight w:val="149"/>
        </w:trPr>
        <w:tc>
          <w:tcPr>
            <w:tcW w:w="3160" w:type="dxa"/>
            <w:vAlign w:val="bottom"/>
          </w:tcPr>
          <w:p>
            <w:pPr>
              <w:ind w:left="180"/>
              <w:spacing w:after="0" w:line="149" w:lineRule="exact"/>
              <w:rPr>
                <w:sz w:val="20"/>
                <w:szCs w:val="20"/>
                <w:color w:val="auto"/>
              </w:rPr>
            </w:pPr>
            <w:r>
              <w:rPr>
                <w:rFonts w:ascii="Arial" w:cs="Arial" w:eastAsia="Arial" w:hAnsi="Arial"/>
                <w:sz w:val="14"/>
                <w:szCs w:val="14"/>
                <w:color w:val="auto"/>
              </w:rPr>
              <w:t>Gain on sale of real estate owned</w:t>
            </w:r>
          </w:p>
        </w:tc>
        <w:tc>
          <w:tcPr>
            <w:tcW w:w="120" w:type="dxa"/>
            <w:vAlign w:val="bottom"/>
          </w:tcPr>
          <w:p>
            <w:pPr>
              <w:spacing w:after="0"/>
              <w:rPr>
                <w:sz w:val="12"/>
                <w:szCs w:val="12"/>
                <w:color w:val="auto"/>
              </w:rPr>
            </w:pPr>
          </w:p>
        </w:tc>
        <w:tc>
          <w:tcPr>
            <w:tcW w:w="980" w:type="dxa"/>
            <w:vAlign w:val="bottom"/>
            <w:gridSpan w:val="2"/>
          </w:tcPr>
          <w:p>
            <w:pPr>
              <w:jc w:val="right"/>
              <w:ind w:right="228"/>
              <w:spacing w:after="0" w:line="149" w:lineRule="exact"/>
              <w:rPr>
                <w:sz w:val="20"/>
                <w:szCs w:val="20"/>
                <w:color w:val="auto"/>
              </w:rPr>
            </w:pPr>
            <w:r>
              <w:rPr>
                <w:rFonts w:ascii="Arial" w:cs="Arial" w:eastAsia="Arial" w:hAnsi="Arial"/>
                <w:sz w:val="14"/>
                <w:szCs w:val="14"/>
                <w:color w:val="auto"/>
              </w:rPr>
              <w:t>211</w:t>
            </w: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0.65%</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280" w:type="dxa"/>
            <w:vAlign w:val="bottom"/>
          </w:tcPr>
          <w:p>
            <w:pPr>
              <w:spacing w:after="0"/>
              <w:rPr>
                <w:sz w:val="12"/>
                <w:szCs w:val="12"/>
                <w:color w:val="auto"/>
              </w:rPr>
            </w:pPr>
          </w:p>
        </w:tc>
        <w:tc>
          <w:tcPr>
            <w:tcW w:w="9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0.00%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208"/>
              <w:spacing w:after="0" w:line="149" w:lineRule="exact"/>
              <w:rPr>
                <w:sz w:val="20"/>
                <w:szCs w:val="20"/>
                <w:color w:val="auto"/>
              </w:rPr>
            </w:pPr>
            <w:r>
              <w:rPr>
                <w:rFonts w:ascii="Arial" w:cs="Arial" w:eastAsia="Arial" w:hAnsi="Arial"/>
                <w:sz w:val="14"/>
                <w:szCs w:val="14"/>
                <w:color w:val="auto"/>
              </w:rPr>
              <w:t>684</w:t>
            </w:r>
          </w:p>
        </w:tc>
        <w:tc>
          <w:tcPr>
            <w:tcW w:w="10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0.82%</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0</w:t>
            </w:r>
          </w:p>
        </w:tc>
        <w:tc>
          <w:tcPr>
            <w:tcW w:w="26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0.00%</w:t>
            </w:r>
          </w:p>
        </w:tc>
      </w:tr>
      <w:tr>
        <w:trPr>
          <w:trHeight w:val="149"/>
        </w:trPr>
        <w:tc>
          <w:tcPr>
            <w:tcW w:w="316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Other noninterest income</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3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0.00%</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2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0.00%</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36</w:t>
            </w:r>
          </w:p>
        </w:tc>
        <w:tc>
          <w:tcPr>
            <w:tcW w:w="10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0.04%</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w:t>
            </w:r>
          </w:p>
        </w:tc>
        <w:tc>
          <w:tcPr>
            <w:tcW w:w="2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0.00%</w:t>
            </w:r>
          </w:p>
        </w:tc>
      </w:tr>
      <w:tr>
        <w:trPr>
          <w:trHeight w:val="149"/>
        </w:trPr>
        <w:tc>
          <w:tcPr>
            <w:tcW w:w="3160" w:type="dxa"/>
            <w:vAlign w:val="bottom"/>
          </w:tcPr>
          <w:p>
            <w:pPr>
              <w:ind w:left="180"/>
              <w:spacing w:after="0" w:line="149" w:lineRule="exact"/>
              <w:rPr>
                <w:sz w:val="20"/>
                <w:szCs w:val="20"/>
                <w:color w:val="auto"/>
              </w:rPr>
            </w:pPr>
            <w:r>
              <w:rPr>
                <w:rFonts w:ascii="Arial" w:cs="Arial" w:eastAsia="Arial" w:hAnsi="Arial"/>
                <w:sz w:val="14"/>
                <w:szCs w:val="14"/>
                <w:color w:val="auto"/>
              </w:rPr>
              <w:t>Accelerated accretion and loan fees</w:t>
            </w:r>
          </w:p>
        </w:tc>
        <w:tc>
          <w:tcPr>
            <w:tcW w:w="120" w:type="dxa"/>
            <w:vAlign w:val="bottom"/>
          </w:tcPr>
          <w:p>
            <w:pPr>
              <w:spacing w:after="0"/>
              <w:rPr>
                <w:sz w:val="12"/>
                <w:szCs w:val="12"/>
                <w:color w:val="auto"/>
              </w:rPr>
            </w:pPr>
          </w:p>
        </w:tc>
        <w:tc>
          <w:tcPr>
            <w:tcW w:w="980" w:type="dxa"/>
            <w:vAlign w:val="bottom"/>
            <w:gridSpan w:val="2"/>
          </w:tcPr>
          <w:p>
            <w:pPr>
              <w:jc w:val="right"/>
              <w:ind w:right="228"/>
              <w:spacing w:after="0" w:line="149" w:lineRule="exact"/>
              <w:rPr>
                <w:sz w:val="20"/>
                <w:szCs w:val="20"/>
                <w:color w:val="auto"/>
              </w:rPr>
            </w:pPr>
            <w:r>
              <w:rPr>
                <w:rFonts w:ascii="Arial" w:cs="Arial" w:eastAsia="Arial" w:hAnsi="Arial"/>
                <w:sz w:val="14"/>
                <w:szCs w:val="14"/>
                <w:color w:val="auto"/>
              </w:rPr>
              <w:t>2,653</w:t>
            </w: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8.20%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274</w:t>
            </w:r>
          </w:p>
        </w:tc>
        <w:tc>
          <w:tcPr>
            <w:tcW w:w="280" w:type="dxa"/>
            <w:vAlign w:val="bottom"/>
          </w:tcPr>
          <w:p>
            <w:pPr>
              <w:spacing w:after="0"/>
              <w:rPr>
                <w:sz w:val="12"/>
                <w:szCs w:val="12"/>
                <w:color w:val="auto"/>
              </w:rPr>
            </w:pPr>
          </w:p>
        </w:tc>
        <w:tc>
          <w:tcPr>
            <w:tcW w:w="9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2.13%</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208"/>
              <w:spacing w:after="0" w:line="149" w:lineRule="exact"/>
              <w:rPr>
                <w:sz w:val="20"/>
                <w:szCs w:val="20"/>
                <w:color w:val="auto"/>
              </w:rPr>
            </w:pPr>
            <w:r>
              <w:rPr>
                <w:rFonts w:ascii="Arial" w:cs="Arial" w:eastAsia="Arial" w:hAnsi="Arial"/>
                <w:sz w:val="14"/>
                <w:szCs w:val="14"/>
                <w:color w:val="auto"/>
              </w:rPr>
              <w:t>5,017</w:t>
            </w:r>
          </w:p>
        </w:tc>
        <w:tc>
          <w:tcPr>
            <w:tcW w:w="10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6.01%</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756</w:t>
            </w:r>
          </w:p>
        </w:tc>
        <w:tc>
          <w:tcPr>
            <w:tcW w:w="26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3.43%</w:t>
            </w:r>
          </w:p>
        </w:tc>
      </w:tr>
      <w:tr>
        <w:trPr>
          <w:trHeight w:val="142"/>
        </w:trPr>
        <w:tc>
          <w:tcPr>
            <w:tcW w:w="3160" w:type="dxa"/>
            <w:vAlign w:val="bottom"/>
            <w:tcBorders>
              <w:top w:val="single" w:sz="8" w:color="CCEEFF"/>
            </w:tcBorders>
            <w:shd w:val="clear" w:color="auto" w:fill="CCEEFF"/>
          </w:tcPr>
          <w:p>
            <w:pPr>
              <w:ind w:left="360"/>
              <w:spacing w:after="0" w:line="142" w:lineRule="exact"/>
              <w:rPr>
                <w:sz w:val="20"/>
                <w:szCs w:val="20"/>
                <w:color w:val="auto"/>
              </w:rPr>
            </w:pPr>
            <w:r>
              <w:rPr>
                <w:rFonts w:ascii="Arial" w:cs="Arial" w:eastAsia="Arial" w:hAnsi="Arial"/>
                <w:sz w:val="14"/>
                <w:szCs w:val="14"/>
                <w:color w:val="auto"/>
              </w:rPr>
              <w:t>Total transactional income</w:t>
            </w: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4,082</w:t>
            </w:r>
          </w:p>
        </w:tc>
        <w:tc>
          <w:tcPr>
            <w:tcW w:w="30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CCEEFF"/>
            </w:tcBorders>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12.61%</w:t>
            </w: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493</w:t>
            </w:r>
          </w:p>
        </w:tc>
        <w:tc>
          <w:tcPr>
            <w:tcW w:w="28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CCEEFF"/>
            </w:tcBorders>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3.83%</w:t>
            </w: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7,772</w:t>
            </w:r>
          </w:p>
        </w:tc>
        <w:tc>
          <w:tcPr>
            <w:tcW w:w="28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CCEEFF"/>
            </w:tcBorders>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9.30%</w:t>
            </w: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975</w:t>
            </w:r>
          </w:p>
        </w:tc>
        <w:tc>
          <w:tcPr>
            <w:tcW w:w="2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CCEEFF"/>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4.42%</w:t>
            </w:r>
          </w:p>
        </w:tc>
      </w:tr>
      <w:tr>
        <w:trPr>
          <w:trHeight w:val="142"/>
        </w:trPr>
        <w:tc>
          <w:tcPr>
            <w:tcW w:w="3160" w:type="dxa"/>
            <w:vAlign w:val="bottom"/>
          </w:tcPr>
          <w:p>
            <w:pPr>
              <w:ind w:left="540"/>
              <w:spacing w:after="0" w:line="142" w:lineRule="exact"/>
              <w:rPr>
                <w:sz w:val="20"/>
                <w:szCs w:val="20"/>
                <w:color w:val="auto"/>
              </w:rPr>
            </w:pPr>
            <w:r>
              <w:rPr>
                <w:rFonts w:ascii="Arial" w:cs="Arial" w:eastAsia="Arial" w:hAnsi="Arial"/>
                <w:sz w:val="14"/>
                <w:szCs w:val="14"/>
                <w:color w:val="auto"/>
              </w:rPr>
              <w:t>Total</w:t>
            </w: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7,125</w:t>
            </w:r>
          </w:p>
        </w:tc>
        <w:tc>
          <w:tcPr>
            <w:tcW w:w="300" w:type="dxa"/>
            <w:vAlign w:val="bottom"/>
          </w:tcPr>
          <w:p>
            <w:pPr>
              <w:spacing w:after="0"/>
              <w:rPr>
                <w:sz w:val="12"/>
                <w:szCs w:val="12"/>
                <w:color w:val="auto"/>
              </w:rPr>
            </w:pPr>
          </w:p>
        </w:tc>
        <w:tc>
          <w:tcPr>
            <w:tcW w:w="96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22.02%</w:t>
            </w:r>
          </w:p>
        </w:tc>
        <w:tc>
          <w:tcPr>
            <w:tcW w:w="80" w:type="dxa"/>
            <w:vAlign w:val="bottom"/>
          </w:tcPr>
          <w:p>
            <w:pPr>
              <w:spacing w:after="0"/>
              <w:rPr>
                <w:sz w:val="12"/>
                <w:szCs w:val="12"/>
                <w:color w:val="auto"/>
              </w:rPr>
            </w:pPr>
          </w:p>
        </w:tc>
        <w:tc>
          <w:tcPr>
            <w:tcW w:w="1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1,791</w:t>
            </w:r>
          </w:p>
        </w:tc>
        <w:tc>
          <w:tcPr>
            <w:tcW w:w="280" w:type="dxa"/>
            <w:vAlign w:val="bottom"/>
          </w:tcPr>
          <w:p>
            <w:pPr>
              <w:spacing w:after="0"/>
              <w:rPr>
                <w:sz w:val="12"/>
                <w:szCs w:val="12"/>
                <w:color w:val="auto"/>
              </w:rPr>
            </w:pPr>
          </w:p>
        </w:tc>
        <w:tc>
          <w:tcPr>
            <w:tcW w:w="940" w:type="dxa"/>
            <w:vAlign w:val="bottom"/>
            <w:gridSpan w:val="2"/>
          </w:tcPr>
          <w:p>
            <w:pPr>
              <w:jc w:val="right"/>
              <w:ind w:right="80"/>
              <w:spacing w:after="0" w:line="142" w:lineRule="exact"/>
              <w:rPr>
                <w:sz w:val="20"/>
                <w:szCs w:val="20"/>
                <w:color w:val="auto"/>
              </w:rPr>
            </w:pPr>
            <w:r>
              <w:rPr>
                <w:rFonts w:ascii="Arial" w:cs="Arial" w:eastAsia="Arial" w:hAnsi="Arial"/>
                <w:sz w:val="14"/>
                <w:szCs w:val="14"/>
                <w:color w:val="auto"/>
              </w:rPr>
              <w:t>13.94%</w:t>
            </w:r>
          </w:p>
        </w:tc>
        <w:tc>
          <w:tcPr>
            <w:tcW w:w="80" w:type="dxa"/>
            <w:vAlign w:val="bottom"/>
          </w:tcPr>
          <w:p>
            <w:pPr>
              <w:spacing w:after="0"/>
              <w:rPr>
                <w:sz w:val="12"/>
                <w:szCs w:val="12"/>
                <w:color w:val="auto"/>
              </w:rPr>
            </w:pPr>
          </w:p>
        </w:tc>
        <w:tc>
          <w:tcPr>
            <w:tcW w:w="1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15,585</w:t>
            </w:r>
          </w:p>
        </w:tc>
        <w:tc>
          <w:tcPr>
            <w:tcW w:w="280" w:type="dxa"/>
            <w:vAlign w:val="bottom"/>
          </w:tcPr>
          <w:p>
            <w:pPr>
              <w:spacing w:after="0"/>
              <w:rPr>
                <w:sz w:val="12"/>
                <w:szCs w:val="12"/>
                <w:color w:val="auto"/>
              </w:rPr>
            </w:pPr>
          </w:p>
        </w:tc>
        <w:tc>
          <w:tcPr>
            <w:tcW w:w="1020" w:type="dxa"/>
            <w:vAlign w:val="bottom"/>
            <w:gridSpan w:val="2"/>
          </w:tcPr>
          <w:p>
            <w:pPr>
              <w:jc w:val="right"/>
              <w:ind w:right="160"/>
              <w:spacing w:after="0" w:line="142" w:lineRule="exact"/>
              <w:rPr>
                <w:sz w:val="20"/>
                <w:szCs w:val="20"/>
                <w:color w:val="auto"/>
              </w:rPr>
            </w:pPr>
            <w:r>
              <w:rPr>
                <w:rFonts w:ascii="Arial" w:cs="Arial" w:eastAsia="Arial" w:hAnsi="Arial"/>
                <w:sz w:val="14"/>
                <w:szCs w:val="14"/>
                <w:color w:val="auto"/>
              </w:rPr>
              <w:t>18.66%</w:t>
            </w: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3,349</w:t>
            </w:r>
          </w:p>
        </w:tc>
        <w:tc>
          <w:tcPr>
            <w:tcW w:w="2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15.20%</w:t>
            </w:r>
          </w:p>
        </w:tc>
      </w:tr>
      <w:tr>
        <w:trPr>
          <w:trHeight w:val="20"/>
        </w:trPr>
        <w:tc>
          <w:tcPr>
            <w:tcW w:w="3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right="260" w:firstLine="8"/>
        <w:spacing w:after="0" w:line="253" w:lineRule="auto"/>
        <w:tabs>
          <w:tab w:leader="none" w:pos="201"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total return on purchased loans represents scheduled accretion, accelerated accretion, gains on asset sales, and other noninterest income recorded during the period divided by the average invested balance, on an annualized basis.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118" w:right="239" w:bottom="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Net Interest Income</w:t>
      </w:r>
    </w:p>
    <w:p>
      <w:pPr>
        <w:sectPr>
          <w:pgSz w:w="11900" w:h="16838" w:orient="portrait"/>
          <w:cols w:equalWidth="0" w:num="1">
            <w:col w:w="11420"/>
          </w:cols>
          <w:pgMar w:left="240" w:top="118" w:right="239" w:bottom="0" w:gutter="0" w:footer="0" w:header="0"/>
          <w:type w:val="continuous"/>
        </w:sectPr>
      </w:pPr>
    </w:p>
    <w:bookmarkStart w:id="30" w:name="page31"/>
    <w:bookmarkEnd w:id="30"/>
    <w:p>
      <w:pPr>
        <w:spacing w:after="0"/>
        <w:rPr>
          <w:sz w:val="20"/>
          <w:szCs w:val="20"/>
          <w:color w:val="auto"/>
        </w:rPr>
      </w:pPr>
      <w:r>
        <w:rPr>
          <w:rFonts w:ascii="Arial" w:cs="Arial" w:eastAsia="Arial" w:hAnsi="Arial"/>
          <w:sz w:val="18"/>
          <w:szCs w:val="18"/>
          <w:i w:val="1"/>
          <w:iCs w:val="1"/>
          <w:color w:val="auto"/>
        </w:rPr>
        <w:t>Three Months Ended March 31, 2013 and 2012</w:t>
      </w:r>
    </w:p>
    <w:p>
      <w:pPr>
        <w:spacing w:after="0" w:line="225"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Net interest income for the three months ended March 31, 2013 and 2012 was $8.3 million and $4.8 million, respectively. The increase of $3.5 million was largely attributable to growth in the LASG loan portfolio, which earned an average yield of 16.8% for the quarter ended March 31, 2013 on an average outstanding balance of $146.2 million. The following table summarizes interest income and related yields recognized on the Company’s loans.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5"/>
          </w:tcPr>
          <w:p>
            <w:pPr>
              <w:jc w:val="center"/>
              <w:ind w:right="160"/>
              <w:spacing w:after="0"/>
              <w:rPr>
                <w:sz w:val="20"/>
                <w:szCs w:val="20"/>
                <w:color w:val="auto"/>
              </w:rPr>
            </w:pPr>
            <w:r>
              <w:rPr>
                <w:rFonts w:ascii="Arial" w:cs="Arial" w:eastAsia="Arial" w:hAnsi="Arial"/>
                <w:sz w:val="14"/>
                <w:szCs w:val="14"/>
                <w:b w:val="1"/>
                <w:bCs w:val="1"/>
                <w:color w:val="auto"/>
                <w:w w:val="95"/>
              </w:rPr>
              <w:t>Three Months Ended March 31,</w:t>
            </w: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6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center"/>
              <w:ind w:right="97"/>
              <w:spacing w:after="0" w:line="142" w:lineRule="exact"/>
              <w:rPr>
                <w:sz w:val="20"/>
                <w:szCs w:val="20"/>
                <w:color w:val="auto"/>
              </w:rPr>
            </w:pPr>
            <w:r>
              <w:rPr>
                <w:rFonts w:ascii="Arial" w:cs="Arial" w:eastAsia="Arial" w:hAnsi="Arial"/>
                <w:sz w:val="14"/>
                <w:szCs w:val="14"/>
                <w:b w:val="1"/>
                <w:bCs w:val="1"/>
                <w:color w:val="auto"/>
                <w:w w:val="89"/>
              </w:rPr>
              <w:t>2013</w:t>
            </w:r>
          </w:p>
        </w:tc>
        <w:tc>
          <w:tcPr>
            <w:tcW w:w="2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7"/>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6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gridSpan w:val="2"/>
          </w:tcPr>
          <w:p>
            <w:pPr>
              <w:jc w:val="right"/>
              <w:ind w:right="480"/>
              <w:spacing w:after="0" w:line="119" w:lineRule="exact"/>
              <w:rPr>
                <w:sz w:val="20"/>
                <w:szCs w:val="20"/>
                <w:color w:val="auto"/>
              </w:rPr>
            </w:pPr>
            <w:r>
              <w:rPr>
                <w:rFonts w:ascii="Arial" w:cs="Arial" w:eastAsia="Arial" w:hAnsi="Arial"/>
                <w:sz w:val="13"/>
                <w:szCs w:val="13"/>
                <w:b w:val="1"/>
                <w:bCs w:val="1"/>
                <w:color w:val="auto"/>
              </w:rPr>
              <w:t>Average</w:t>
            </w:r>
          </w:p>
        </w:tc>
        <w:tc>
          <w:tcPr>
            <w:tcW w:w="180" w:type="dxa"/>
            <w:vAlign w:val="bottom"/>
          </w:tcPr>
          <w:p>
            <w:pPr>
              <w:spacing w:after="0"/>
              <w:rPr>
                <w:sz w:val="10"/>
                <w:szCs w:val="10"/>
                <w:color w:val="auto"/>
              </w:rPr>
            </w:pPr>
          </w:p>
        </w:tc>
        <w:tc>
          <w:tcPr>
            <w:tcW w:w="1040" w:type="dxa"/>
            <w:vAlign w:val="bottom"/>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rPr>
              <w:t>Interest</w:t>
            </w:r>
          </w:p>
        </w:tc>
        <w:tc>
          <w:tcPr>
            <w:tcW w:w="1340" w:type="dxa"/>
            <w:vAlign w:val="bottom"/>
            <w:gridSpan w:val="2"/>
            <w:vMerge w:val="restart"/>
          </w:tcPr>
          <w:p>
            <w:pPr>
              <w:jc w:val="right"/>
              <w:ind w:right="660"/>
              <w:spacing w:after="0"/>
              <w:rPr>
                <w:sz w:val="20"/>
                <w:szCs w:val="20"/>
                <w:color w:val="auto"/>
              </w:rPr>
            </w:pPr>
            <w:r>
              <w:rPr>
                <w:rFonts w:ascii="Arial" w:cs="Arial" w:eastAsia="Arial" w:hAnsi="Arial"/>
                <w:sz w:val="14"/>
                <w:szCs w:val="14"/>
                <w:b w:val="1"/>
                <w:bCs w:val="1"/>
                <w:color w:val="auto"/>
              </w:rPr>
              <w:t>Yield</w:t>
            </w:r>
          </w:p>
        </w:tc>
        <w:tc>
          <w:tcPr>
            <w:tcW w:w="180" w:type="dxa"/>
            <w:vAlign w:val="bottom"/>
          </w:tcPr>
          <w:p>
            <w:pPr>
              <w:spacing w:after="0"/>
              <w:rPr>
                <w:sz w:val="10"/>
                <w:szCs w:val="10"/>
                <w:color w:val="auto"/>
              </w:rPr>
            </w:pPr>
          </w:p>
        </w:tc>
        <w:tc>
          <w:tcPr>
            <w:tcW w:w="1060" w:type="dxa"/>
            <w:vAlign w:val="bottom"/>
            <w:gridSpan w:val="2"/>
          </w:tcPr>
          <w:p>
            <w:pPr>
              <w:ind w:left="80"/>
              <w:spacing w:after="0" w:line="119" w:lineRule="exact"/>
              <w:rPr>
                <w:sz w:val="20"/>
                <w:szCs w:val="20"/>
                <w:color w:val="auto"/>
              </w:rPr>
            </w:pPr>
            <w:r>
              <w:rPr>
                <w:rFonts w:ascii="Arial" w:cs="Arial" w:eastAsia="Arial" w:hAnsi="Arial"/>
                <w:sz w:val="13"/>
                <w:szCs w:val="13"/>
                <w:b w:val="1"/>
                <w:bCs w:val="1"/>
                <w:color w:val="auto"/>
              </w:rPr>
              <w:t>Average</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gridSpan w:val="3"/>
          </w:tcPr>
          <w:p>
            <w:pPr>
              <w:ind w:left="80"/>
              <w:spacing w:after="0" w:line="119" w:lineRule="exact"/>
              <w:rPr>
                <w:sz w:val="20"/>
                <w:szCs w:val="20"/>
                <w:color w:val="auto"/>
              </w:rPr>
            </w:pPr>
            <w:r>
              <w:rPr>
                <w:rFonts w:ascii="Arial" w:cs="Arial" w:eastAsia="Arial" w:hAnsi="Arial"/>
                <w:sz w:val="13"/>
                <w:szCs w:val="13"/>
                <w:b w:val="1"/>
                <w:bCs w:val="1"/>
                <w:color w:val="auto"/>
              </w:rPr>
              <w:t>Interest</w:t>
            </w:r>
          </w:p>
        </w:tc>
        <w:tc>
          <w:tcPr>
            <w:tcW w:w="120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Yield</w:t>
            </w:r>
          </w:p>
        </w:tc>
        <w:tc>
          <w:tcPr>
            <w:tcW w:w="0" w:type="dxa"/>
            <w:vAlign w:val="bottom"/>
          </w:tcPr>
          <w:p>
            <w:pPr>
              <w:spacing w:after="0"/>
              <w:rPr>
                <w:sz w:val="1"/>
                <w:szCs w:val="1"/>
                <w:color w:val="auto"/>
              </w:rPr>
            </w:pPr>
          </w:p>
        </w:tc>
      </w:tr>
      <w:tr>
        <w:trPr>
          <w:trHeight w:val="171"/>
        </w:trPr>
        <w:tc>
          <w:tcPr>
            <w:tcW w:w="2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Balance</w:t>
            </w:r>
          </w:p>
        </w:tc>
        <w:tc>
          <w:tcPr>
            <w:tcW w:w="180" w:type="dxa"/>
            <w:vAlign w:val="bottom"/>
          </w:tcPr>
          <w:p>
            <w:pPr>
              <w:spacing w:after="0"/>
              <w:rPr>
                <w:sz w:val="14"/>
                <w:szCs w:val="14"/>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Income</w:t>
            </w:r>
          </w:p>
        </w:tc>
        <w:tc>
          <w:tcPr>
            <w:tcW w:w="13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Balance</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3"/>
          </w:tcPr>
          <w:p>
            <w:pPr>
              <w:ind w:left="100"/>
              <w:spacing w:after="0"/>
              <w:rPr>
                <w:sz w:val="20"/>
                <w:szCs w:val="20"/>
                <w:color w:val="auto"/>
              </w:rPr>
            </w:pPr>
            <w:r>
              <w:rPr>
                <w:rFonts w:ascii="Arial" w:cs="Arial" w:eastAsia="Arial" w:hAnsi="Arial"/>
                <w:sz w:val="14"/>
                <w:szCs w:val="14"/>
                <w:b w:val="1"/>
                <w:bCs w:val="1"/>
                <w:color w:val="auto"/>
              </w:rPr>
              <w:t>Income</w:t>
            </w:r>
          </w:p>
        </w:tc>
        <w:tc>
          <w:tcPr>
            <w:tcW w:w="12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6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580" w:type="dxa"/>
            <w:vAlign w:val="bottom"/>
            <w:tcBorders>
              <w:top w:val="single" w:sz="8" w:color="auto"/>
            </w:tcBorders>
            <w:gridSpan w:val="5"/>
          </w:tcPr>
          <w:p>
            <w:pPr>
              <w:jc w:val="center"/>
              <w:ind w:right="14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Community Banking Division</w:t>
            </w:r>
          </w:p>
        </w:tc>
        <w:tc>
          <w:tcPr>
            <w:tcW w:w="64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244,397</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3,529</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293,413</w:t>
            </w:r>
          </w:p>
        </w:tc>
        <w:tc>
          <w:tcPr>
            <w:tcW w:w="2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50"/>
              <w:spacing w:after="0"/>
              <w:rPr>
                <w:sz w:val="20"/>
                <w:szCs w:val="20"/>
                <w:color w:val="auto"/>
              </w:rPr>
            </w:pPr>
            <w:r>
              <w:rPr>
                <w:rFonts w:ascii="Arial" w:cs="Arial" w:eastAsia="Arial" w:hAnsi="Arial"/>
                <w:sz w:val="15"/>
                <w:szCs w:val="15"/>
                <w:color w:val="auto"/>
                <w:w w:val="71"/>
              </w:rPr>
              <w:t>$</w:t>
            </w:r>
          </w:p>
        </w:tc>
        <w:tc>
          <w:tcPr>
            <w:tcW w:w="11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4,211</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LASG:</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Originated</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16,167</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376</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9.43%</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3,687</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9.49%</w:t>
            </w:r>
          </w:p>
        </w:tc>
        <w:tc>
          <w:tcPr>
            <w:tcW w:w="0" w:type="dxa"/>
            <w:vAlign w:val="bottom"/>
          </w:tcPr>
          <w:p>
            <w:pPr>
              <w:spacing w:after="0"/>
              <w:rPr>
                <w:sz w:val="1"/>
                <w:szCs w:val="1"/>
                <w:color w:val="auto"/>
              </w:rPr>
            </w:pPr>
          </w:p>
        </w:tc>
      </w:tr>
      <w:tr>
        <w:trPr>
          <w:trHeight w:val="216"/>
        </w:trPr>
        <w:tc>
          <w:tcPr>
            <w:tcW w:w="2660" w:type="dxa"/>
            <w:vAlign w:val="bottom"/>
          </w:tcPr>
          <w:p>
            <w:pPr>
              <w:ind w:left="180"/>
              <w:spacing w:after="0"/>
              <w:rPr>
                <w:sz w:val="20"/>
                <w:szCs w:val="20"/>
                <w:color w:val="auto"/>
              </w:rPr>
            </w:pPr>
            <w:r>
              <w:rPr>
                <w:rFonts w:ascii="Arial" w:cs="Arial" w:eastAsia="Arial" w:hAnsi="Arial"/>
                <w:sz w:val="18"/>
                <w:szCs w:val="18"/>
                <w:color w:val="auto"/>
              </w:rPr>
              <w:t>Purchased</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130,045</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5,696</w:t>
            </w:r>
          </w:p>
        </w:tc>
        <w:tc>
          <w:tcPr>
            <w:tcW w:w="22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17.76%</w:t>
            </w:r>
          </w:p>
        </w:tc>
        <w:tc>
          <w:tcPr>
            <w:tcW w:w="1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51,677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1,572</w:t>
            </w:r>
          </w:p>
        </w:tc>
        <w:tc>
          <w:tcPr>
            <w:tcW w:w="28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12.23%</w:t>
            </w:r>
          </w:p>
        </w:tc>
        <w:tc>
          <w:tcPr>
            <w:tcW w:w="0" w:type="dxa"/>
            <w:vAlign w:val="bottom"/>
          </w:tcPr>
          <w:p>
            <w:pPr>
              <w:spacing w:after="0"/>
              <w:rPr>
                <w:sz w:val="1"/>
                <w:szCs w:val="1"/>
                <w:color w:val="auto"/>
              </w:rPr>
            </w:pPr>
          </w:p>
        </w:tc>
      </w:tr>
      <w:tr>
        <w:trPr>
          <w:trHeight w:val="210"/>
        </w:trPr>
        <w:tc>
          <w:tcPr>
            <w:tcW w:w="266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LASG</w:t>
            </w:r>
          </w:p>
        </w:tc>
        <w:tc>
          <w:tcPr>
            <w:tcW w:w="4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146,212</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6,072</w:t>
            </w:r>
          </w:p>
        </w:tc>
        <w:tc>
          <w:tcPr>
            <w:tcW w:w="2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16.84%</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55,364</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1,659</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12.05%</w:t>
            </w:r>
          </w:p>
        </w:tc>
        <w:tc>
          <w:tcPr>
            <w:tcW w:w="0" w:type="dxa"/>
            <w:vAlign w:val="bottom"/>
          </w:tcPr>
          <w:p>
            <w:pPr>
              <w:spacing w:after="0"/>
              <w:rPr>
                <w:sz w:val="1"/>
                <w:szCs w:val="1"/>
                <w:color w:val="auto"/>
              </w:rPr>
            </w:pPr>
          </w:p>
        </w:tc>
      </w:tr>
      <w:tr>
        <w:trPr>
          <w:trHeight w:val="210"/>
        </w:trPr>
        <w:tc>
          <w:tcPr>
            <w:tcW w:w="2660" w:type="dxa"/>
            <w:vAlign w:val="bottom"/>
          </w:tcPr>
          <w:p>
            <w:pPr>
              <w:ind w:left="540"/>
              <w:spacing w:after="0"/>
              <w:rPr>
                <w:sz w:val="20"/>
                <w:szCs w:val="20"/>
                <w:color w:val="auto"/>
              </w:rPr>
            </w:pPr>
            <w:r>
              <w:rPr>
                <w:rFonts w:ascii="Arial" w:cs="Arial" w:eastAsia="Arial" w:hAnsi="Arial"/>
                <w:sz w:val="18"/>
                <w:szCs w:val="18"/>
                <w:color w:val="auto"/>
              </w:rPr>
              <w:t>Total</w:t>
            </w:r>
          </w:p>
        </w:tc>
        <w:tc>
          <w:tcPr>
            <w:tcW w:w="460" w:type="dxa"/>
            <w:vAlign w:val="bottom"/>
          </w:tcPr>
          <w:p>
            <w:pPr>
              <w:spacing w:after="0"/>
              <w:rPr>
                <w:sz w:val="18"/>
                <w:szCs w:val="18"/>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390,609</w:t>
            </w:r>
          </w:p>
        </w:tc>
        <w:tc>
          <w:tcPr>
            <w:tcW w:w="220" w:type="dxa"/>
            <w:vAlign w:val="bottom"/>
          </w:tcPr>
          <w:p>
            <w:pPr>
              <w:spacing w:after="0"/>
              <w:rPr>
                <w:sz w:val="18"/>
                <w:szCs w:val="18"/>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9,601</w:t>
            </w:r>
          </w:p>
        </w:tc>
        <w:tc>
          <w:tcPr>
            <w:tcW w:w="22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9.97%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348,777</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5,870</w:t>
            </w:r>
          </w:p>
        </w:tc>
        <w:tc>
          <w:tcPr>
            <w:tcW w:w="2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6.77%</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the quarter ended March 31, 2013, net interest income was negatively affected by a lower level of noncash accretion of fair value adjustments resulting from the merger than in the comparable Fiscal 2012 quarter. The effect of such accretion will continue to diminish as financial instruments held at the merger mature or prepay. The following table summarizes the effects of such accretion.</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6"/>
          </w:tcPr>
          <w:p>
            <w:pPr>
              <w:ind w:left="180"/>
              <w:spacing w:after="0"/>
              <w:rPr>
                <w:sz w:val="20"/>
                <w:szCs w:val="20"/>
                <w:color w:val="auto"/>
              </w:rPr>
            </w:pPr>
            <w:r>
              <w:rPr>
                <w:rFonts w:ascii="Arial" w:cs="Arial" w:eastAsia="Arial" w:hAnsi="Arial"/>
                <w:sz w:val="14"/>
                <w:szCs w:val="14"/>
                <w:b w:val="1"/>
                <w:bCs w:val="1"/>
                <w:color w:val="auto"/>
              </w:rPr>
              <w:t>Three Months Ended March 31,</w:t>
            </w: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center"/>
              <w:ind w:right="54"/>
              <w:spacing w:after="0" w:line="142" w:lineRule="exact"/>
              <w:rPr>
                <w:sz w:val="20"/>
                <w:szCs w:val="20"/>
                <w:color w:val="auto"/>
              </w:rPr>
            </w:pPr>
            <w:r>
              <w:rPr>
                <w:rFonts w:ascii="Arial" w:cs="Arial" w:eastAsia="Arial" w:hAnsi="Arial"/>
                <w:sz w:val="14"/>
                <w:szCs w:val="14"/>
                <w:b w:val="1"/>
                <w:bCs w:val="1"/>
                <w:color w:val="auto"/>
                <w:w w:val="96"/>
              </w:rPr>
              <w:t>2013</w:t>
            </w:r>
          </w:p>
        </w:tc>
        <w:tc>
          <w:tcPr>
            <w:tcW w:w="2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2012</w:t>
            </w:r>
          </w:p>
        </w:tc>
        <w:tc>
          <w:tcPr>
            <w:tcW w:w="2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gridSpan w:val="2"/>
          </w:tcPr>
          <w:p>
            <w:pPr>
              <w:jc w:val="right"/>
              <w:ind w:right="380"/>
              <w:spacing w:after="0" w:line="119" w:lineRule="exact"/>
              <w:rPr>
                <w:sz w:val="20"/>
                <w:szCs w:val="20"/>
                <w:color w:val="auto"/>
              </w:rPr>
            </w:pPr>
            <w:r>
              <w:rPr>
                <w:rFonts w:ascii="Arial" w:cs="Arial" w:eastAsia="Arial" w:hAnsi="Arial"/>
                <w:sz w:val="13"/>
                <w:szCs w:val="13"/>
                <w:b w:val="1"/>
                <w:bCs w:val="1"/>
                <w:color w:val="auto"/>
              </w:rPr>
              <w:t>Average</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rPr>
              <w:t>Income</w:t>
            </w:r>
          </w:p>
        </w:tc>
        <w:tc>
          <w:tcPr>
            <w:tcW w:w="980" w:type="dxa"/>
            <w:vAlign w:val="bottom"/>
          </w:tcPr>
          <w:p>
            <w:pPr>
              <w:ind w:left="180"/>
              <w:spacing w:after="0" w:line="119" w:lineRule="exact"/>
              <w:rPr>
                <w:sz w:val="20"/>
                <w:szCs w:val="20"/>
                <w:color w:val="auto"/>
              </w:rPr>
            </w:pPr>
            <w:r>
              <w:rPr>
                <w:rFonts w:ascii="Arial" w:cs="Arial" w:eastAsia="Arial" w:hAnsi="Arial"/>
                <w:sz w:val="13"/>
                <w:szCs w:val="13"/>
                <w:b w:val="1"/>
                <w:bCs w:val="1"/>
                <w:color w:val="auto"/>
              </w:rPr>
              <w:t>Effect on</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gridSpan w:val="2"/>
          </w:tcPr>
          <w:p>
            <w:pPr>
              <w:jc w:val="right"/>
              <w:ind w:right="460"/>
              <w:spacing w:after="0" w:line="119" w:lineRule="exact"/>
              <w:rPr>
                <w:sz w:val="20"/>
                <w:szCs w:val="20"/>
                <w:color w:val="auto"/>
              </w:rPr>
            </w:pPr>
            <w:r>
              <w:rPr>
                <w:rFonts w:ascii="Arial" w:cs="Arial" w:eastAsia="Arial" w:hAnsi="Arial"/>
                <w:sz w:val="13"/>
                <w:szCs w:val="13"/>
                <w:b w:val="1"/>
                <w:bCs w:val="1"/>
                <w:color w:val="auto"/>
              </w:rPr>
              <w:t>Average</w:t>
            </w:r>
          </w:p>
        </w:tc>
        <w:tc>
          <w:tcPr>
            <w:tcW w:w="160" w:type="dxa"/>
            <w:vAlign w:val="bottom"/>
          </w:tcPr>
          <w:p>
            <w:pPr>
              <w:spacing w:after="0"/>
              <w:rPr>
                <w:sz w:val="10"/>
                <w:szCs w:val="10"/>
                <w:color w:val="auto"/>
              </w:rPr>
            </w:pPr>
          </w:p>
        </w:tc>
        <w:tc>
          <w:tcPr>
            <w:tcW w:w="1140" w:type="dxa"/>
            <w:vAlign w:val="bottom"/>
            <w:gridSpan w:val="2"/>
          </w:tcPr>
          <w:p>
            <w:pPr>
              <w:jc w:val="right"/>
              <w:ind w:right="560"/>
              <w:spacing w:after="0" w:line="119" w:lineRule="exact"/>
              <w:rPr>
                <w:sz w:val="20"/>
                <w:szCs w:val="20"/>
                <w:color w:val="auto"/>
              </w:rPr>
            </w:pPr>
            <w:r>
              <w:rPr>
                <w:rFonts w:ascii="Arial" w:cs="Arial" w:eastAsia="Arial" w:hAnsi="Arial"/>
                <w:sz w:val="13"/>
                <w:szCs w:val="13"/>
                <w:b w:val="1"/>
                <w:bCs w:val="1"/>
                <w:color w:val="auto"/>
              </w:rPr>
              <w:t>Income</w:t>
            </w:r>
          </w:p>
        </w:tc>
        <w:tc>
          <w:tcPr>
            <w:tcW w:w="1020" w:type="dxa"/>
            <w:vAlign w:val="bottom"/>
          </w:tcPr>
          <w:p>
            <w:pPr>
              <w:jc w:val="right"/>
              <w:ind w:right="174"/>
              <w:spacing w:after="0" w:line="119" w:lineRule="exact"/>
              <w:rPr>
                <w:sz w:val="20"/>
                <w:szCs w:val="20"/>
                <w:color w:val="auto"/>
              </w:rPr>
            </w:pPr>
            <w:r>
              <w:rPr>
                <w:rFonts w:ascii="Arial" w:cs="Arial" w:eastAsia="Arial" w:hAnsi="Arial"/>
                <w:sz w:val="13"/>
                <w:szCs w:val="13"/>
                <w:b w:val="1"/>
                <w:bCs w:val="1"/>
                <w:color w:val="auto"/>
              </w:rPr>
              <w:t>Effect on</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Balance</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(Expense)</w:t>
            </w:r>
          </w:p>
        </w:tc>
        <w:tc>
          <w:tcPr>
            <w:tcW w:w="12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Yield / Rate</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Balance</w:t>
            </w:r>
          </w:p>
        </w:tc>
        <w:tc>
          <w:tcPr>
            <w:tcW w:w="160" w:type="dxa"/>
            <w:vAlign w:val="bottom"/>
          </w:tcPr>
          <w:p>
            <w:pPr>
              <w:spacing w:after="0"/>
              <w:rPr>
                <w:sz w:val="14"/>
                <w:szCs w:val="14"/>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5"/>
              </w:rPr>
              <w:t>(Expense)</w:t>
            </w:r>
          </w:p>
        </w:tc>
        <w:tc>
          <w:tcPr>
            <w:tcW w:w="12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Yield / Rate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540" w:type="dxa"/>
            <w:vAlign w:val="bottom"/>
            <w:tcBorders>
              <w:top w:val="single" w:sz="8" w:color="auto"/>
            </w:tcBorders>
            <w:gridSpan w:val="6"/>
          </w:tcPr>
          <w:p>
            <w:pPr>
              <w:jc w:val="right"/>
              <w:ind w:right="700"/>
              <w:spacing w:after="0" w:line="142" w:lineRule="exact"/>
              <w:rPr>
                <w:sz w:val="20"/>
                <w:szCs w:val="20"/>
                <w:color w:val="auto"/>
              </w:rPr>
            </w:pPr>
            <w:r>
              <w:rPr>
                <w:rFonts w:ascii="Arial" w:cs="Arial" w:eastAsia="Arial" w:hAnsi="Arial"/>
                <w:sz w:val="14"/>
                <w:szCs w:val="14"/>
                <w:b w:val="1"/>
                <w:bCs w:val="1"/>
                <w:color w:val="auto"/>
              </w:rPr>
              <w:t>(Dollars in thousands)</w:t>
            </w:r>
          </w:p>
        </w:tc>
        <w:tc>
          <w:tcPr>
            <w:tcW w:w="1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Interest-earning assets:</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ind w:left="160"/>
              <w:spacing w:after="0"/>
              <w:rPr>
                <w:sz w:val="20"/>
                <w:szCs w:val="20"/>
                <w:color w:val="auto"/>
              </w:rPr>
            </w:pPr>
            <w:r>
              <w:rPr>
                <w:rFonts w:ascii="Arial" w:cs="Arial" w:eastAsia="Arial" w:hAnsi="Arial"/>
                <w:sz w:val="18"/>
                <w:szCs w:val="18"/>
                <w:color w:val="auto"/>
              </w:rPr>
              <w:t>Investment securities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131,006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0.00%</w:t>
            </w:r>
          </w:p>
        </w:tc>
        <w:tc>
          <w:tcPr>
            <w:tcW w:w="2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132,681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(8)</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Loans</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390,609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66</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348,777</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ind w:left="160"/>
              <w:spacing w:after="0"/>
              <w:rPr>
                <w:sz w:val="20"/>
                <w:szCs w:val="20"/>
                <w:color w:val="auto"/>
              </w:rPr>
            </w:pPr>
            <w:r>
              <w:rPr>
                <w:rFonts w:ascii="Arial" w:cs="Arial" w:eastAsia="Arial" w:hAnsi="Arial"/>
                <w:sz w:val="18"/>
                <w:szCs w:val="18"/>
                <w:color w:val="auto"/>
              </w:rPr>
              <w:t>Other interest-earning assets</w:t>
            </w:r>
          </w:p>
        </w:tc>
        <w:tc>
          <w:tcPr>
            <w:tcW w:w="1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138,416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73,584</w:t>
            </w:r>
          </w:p>
        </w:tc>
        <w:tc>
          <w:tcPr>
            <w:tcW w:w="16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0</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interest-earning assets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660,031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22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555,042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2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Interest-bearing liabilities:</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ind w:left="160"/>
              <w:spacing w:after="0"/>
              <w:rPr>
                <w:sz w:val="20"/>
                <w:szCs w:val="20"/>
                <w:color w:val="auto"/>
              </w:rPr>
            </w:pPr>
            <w:r>
              <w:rPr>
                <w:rFonts w:ascii="Arial" w:cs="Arial" w:eastAsia="Arial" w:hAnsi="Arial"/>
                <w:sz w:val="18"/>
                <w:szCs w:val="18"/>
                <w:color w:val="auto"/>
              </w:rPr>
              <w:t>Interest-bearing deposits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455,700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221</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0.20%</w:t>
            </w:r>
          </w:p>
        </w:tc>
        <w:tc>
          <w:tcPr>
            <w:tcW w:w="2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357,949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286</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Short-term borrowings</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1,889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1,321</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ind w:left="160"/>
              <w:spacing w:after="0"/>
              <w:rPr>
                <w:sz w:val="20"/>
                <w:szCs w:val="20"/>
                <w:color w:val="auto"/>
              </w:rPr>
            </w:pPr>
            <w:r>
              <w:rPr>
                <w:rFonts w:ascii="Arial" w:cs="Arial" w:eastAsia="Arial" w:hAnsi="Arial"/>
                <w:sz w:val="18"/>
                <w:szCs w:val="18"/>
                <w:color w:val="auto"/>
              </w:rPr>
              <w:t>Borrowed funds</w:t>
            </w:r>
          </w:p>
        </w:tc>
        <w:tc>
          <w:tcPr>
            <w:tcW w:w="1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64,212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216</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112,468</w:t>
            </w:r>
          </w:p>
        </w:tc>
        <w:tc>
          <w:tcPr>
            <w:tcW w:w="16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570</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Junior subordinated debentures</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8,205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8,047</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50"/>
        </w:trPr>
        <w:tc>
          <w:tcPr>
            <w:tcW w:w="3100" w:type="dxa"/>
            <w:vAlign w:val="bottom"/>
            <w:gridSpan w:val="2"/>
          </w:tcPr>
          <w:p>
            <w:pPr>
              <w:spacing w:after="0"/>
              <w:rPr>
                <w:sz w:val="20"/>
                <w:szCs w:val="20"/>
                <w:color w:val="auto"/>
              </w:rPr>
            </w:pPr>
            <w:r>
              <w:rPr>
                <w:rFonts w:ascii="Arial" w:cs="Arial" w:eastAsia="Arial" w:hAnsi="Arial"/>
                <w:sz w:val="18"/>
                <w:szCs w:val="18"/>
                <w:color w:val="auto"/>
              </w:rPr>
              <w:t>Total interest-bearing liabilities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530,006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396</w:t>
            </w:r>
          </w:p>
        </w:tc>
        <w:tc>
          <w:tcPr>
            <w:tcW w:w="260" w:type="dxa"/>
            <w:vAlign w:val="bottom"/>
          </w:tcPr>
          <w:p>
            <w:pPr>
              <w:spacing w:after="0"/>
              <w:rPr>
                <w:sz w:val="21"/>
                <w:szCs w:val="21"/>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0.30%</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479,785</w:t>
            </w:r>
          </w:p>
        </w:tc>
        <w:tc>
          <w:tcPr>
            <w:tcW w:w="2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819</w:t>
            </w:r>
          </w:p>
        </w:tc>
        <w:tc>
          <w:tcPr>
            <w:tcW w:w="260" w:type="dxa"/>
            <w:vAlign w:val="bottom"/>
          </w:tcPr>
          <w:p>
            <w:pPr>
              <w:spacing w:after="0"/>
              <w:rPr>
                <w:sz w:val="21"/>
                <w:szCs w:val="21"/>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0.69%</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0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Total effect of noncash accretion on:</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interest income</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462</w:t>
            </w: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819</w:t>
            </w: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tcPr>
          <w:p>
            <w:pPr>
              <w:ind w:left="160"/>
              <w:spacing w:after="0"/>
              <w:rPr>
                <w:sz w:val="20"/>
                <w:szCs w:val="20"/>
                <w:color w:val="auto"/>
              </w:rPr>
            </w:pPr>
            <w:r>
              <w:rPr>
                <w:rFonts w:ascii="Arial" w:cs="Arial" w:eastAsia="Arial" w:hAnsi="Arial"/>
                <w:sz w:val="18"/>
                <w:szCs w:val="18"/>
                <w:color w:val="auto"/>
              </w:rPr>
              <w:t>Net interest margin</w:t>
            </w: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0.28%</w:t>
            </w: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0.59%</w:t>
            </w: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In the quarter ended March 31, 2013 and 2012, interest expense was $1.7 million and $1.6 million, respectively. The increase of $69 thousand was principally volume related, as total average interest-bearing liabilities increased $50.2 million offset by a 6 basis point decrease in the cost of such liabilities.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Company’s interest rate spread and net interest margin increased by 156 basis points and 163 basis points, respectively, for the quarter ended March 31, 2013 compared to the quarter ended March 31, 2012. These increases were principally the result of the aforementioned increase in purchased loans. The following sets forth the average balance sheets, interest income and interest expense, and average yields and costs for the three months ended March 31, 2013 and 2012.</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5"/>
          </w:tcPr>
          <w:p>
            <w:pPr>
              <w:jc w:val="right"/>
              <w:ind w:right="440"/>
              <w:spacing w:after="0"/>
              <w:rPr>
                <w:sz w:val="20"/>
                <w:szCs w:val="20"/>
                <w:color w:val="auto"/>
              </w:rPr>
            </w:pPr>
            <w:r>
              <w:rPr>
                <w:rFonts w:ascii="Arial" w:cs="Arial" w:eastAsia="Arial" w:hAnsi="Arial"/>
                <w:sz w:val="14"/>
                <w:szCs w:val="14"/>
                <w:b w:val="1"/>
                <w:bCs w:val="1"/>
                <w:color w:val="auto"/>
              </w:rPr>
              <w:t>Three Months Ended March 31,</w:t>
            </w: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center"/>
              <w:ind w:right="117"/>
              <w:spacing w:after="0" w:line="142" w:lineRule="exact"/>
              <w:rPr>
                <w:sz w:val="20"/>
                <w:szCs w:val="20"/>
                <w:color w:val="auto"/>
              </w:rPr>
            </w:pPr>
            <w:r>
              <w:rPr>
                <w:rFonts w:ascii="Arial" w:cs="Arial" w:eastAsia="Arial" w:hAnsi="Arial"/>
                <w:sz w:val="14"/>
                <w:szCs w:val="14"/>
                <w:b w:val="1"/>
                <w:bCs w:val="1"/>
                <w:color w:val="auto"/>
                <w:w w:val="96"/>
              </w:rPr>
              <w:t>2013</w:t>
            </w:r>
          </w:p>
        </w:tc>
        <w:tc>
          <w:tcPr>
            <w:tcW w:w="2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center"/>
              <w:ind w:right="77"/>
              <w:spacing w:after="0" w:line="142" w:lineRule="exact"/>
              <w:rPr>
                <w:sz w:val="20"/>
                <w:szCs w:val="20"/>
                <w:color w:val="auto"/>
              </w:rPr>
            </w:pPr>
            <w:r>
              <w:rPr>
                <w:rFonts w:ascii="Arial" w:cs="Arial" w:eastAsia="Arial" w:hAnsi="Arial"/>
                <w:sz w:val="14"/>
                <w:szCs w:val="14"/>
                <w:b w:val="1"/>
                <w:bCs w:val="1"/>
                <w:color w:val="auto"/>
                <w:w w:val="89"/>
              </w:rPr>
              <w:t>2012</w:t>
            </w:r>
          </w:p>
        </w:tc>
        <w:tc>
          <w:tcPr>
            <w:tcW w:w="2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8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Average</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rPr>
              <w:t>Interest</w:t>
            </w:r>
          </w:p>
        </w:tc>
        <w:tc>
          <w:tcPr>
            <w:tcW w:w="10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7"/>
              </w:rPr>
              <w:t>Average</w:t>
            </w: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Average</w:t>
            </w:r>
          </w:p>
        </w:tc>
        <w:tc>
          <w:tcPr>
            <w:tcW w:w="180" w:type="dxa"/>
            <w:vAlign w:val="bottom"/>
          </w:tcPr>
          <w:p>
            <w:pPr>
              <w:spacing w:after="0"/>
              <w:rPr>
                <w:sz w:val="10"/>
                <w:szCs w:val="10"/>
                <w:color w:val="auto"/>
              </w:rPr>
            </w:pPr>
          </w:p>
        </w:tc>
        <w:tc>
          <w:tcPr>
            <w:tcW w:w="1080" w:type="dxa"/>
            <w:vAlign w:val="bottom"/>
            <w:gridSpan w:val="2"/>
          </w:tcPr>
          <w:p>
            <w:pPr>
              <w:jc w:val="center"/>
              <w:ind w:right="420"/>
              <w:spacing w:after="0" w:line="119" w:lineRule="exact"/>
              <w:rPr>
                <w:sz w:val="20"/>
                <w:szCs w:val="20"/>
                <w:color w:val="auto"/>
              </w:rPr>
            </w:pPr>
            <w:r>
              <w:rPr>
                <w:rFonts w:ascii="Arial" w:cs="Arial" w:eastAsia="Arial" w:hAnsi="Arial"/>
                <w:sz w:val="13"/>
                <w:szCs w:val="13"/>
                <w:b w:val="1"/>
                <w:bCs w:val="1"/>
                <w:color w:val="auto"/>
                <w:w w:val="97"/>
              </w:rPr>
              <w:t>Interest</w:t>
            </w:r>
          </w:p>
        </w:tc>
        <w:tc>
          <w:tcPr>
            <w:tcW w:w="10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7"/>
              </w:rPr>
              <w:t>Average</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Income/</w:t>
            </w:r>
          </w:p>
        </w:tc>
        <w:tc>
          <w:tcPr>
            <w:tcW w:w="13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Yield/</w:t>
            </w: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4"/>
              </w:rPr>
              <w:t>Income/</w:t>
            </w:r>
          </w:p>
        </w:tc>
        <w:tc>
          <w:tcPr>
            <w:tcW w:w="11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Yield/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ind w:left="100"/>
              <w:spacing w:after="0"/>
              <w:rPr>
                <w:sz w:val="20"/>
                <w:szCs w:val="20"/>
                <w:color w:val="auto"/>
              </w:rPr>
            </w:pPr>
            <w:r>
              <w:rPr>
                <w:rFonts w:ascii="Arial" w:cs="Arial" w:eastAsia="Arial" w:hAnsi="Arial"/>
                <w:sz w:val="14"/>
                <w:szCs w:val="14"/>
                <w:b w:val="1"/>
                <w:bCs w:val="1"/>
                <w:color w:val="auto"/>
              </w:rPr>
              <w:t>Balance</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Expense</w:t>
            </w:r>
          </w:p>
        </w:tc>
        <w:tc>
          <w:tcPr>
            <w:tcW w:w="13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Rate</w:t>
            </w:r>
          </w:p>
        </w:tc>
        <w:tc>
          <w:tcPr>
            <w:tcW w:w="160" w:type="dxa"/>
            <w:vAlign w:val="bottom"/>
          </w:tcPr>
          <w:p>
            <w:pPr>
              <w:spacing w:after="0"/>
              <w:rPr>
                <w:sz w:val="14"/>
                <w:szCs w:val="14"/>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Balance</w:t>
            </w:r>
          </w:p>
        </w:tc>
        <w:tc>
          <w:tcPr>
            <w:tcW w:w="180" w:type="dxa"/>
            <w:vAlign w:val="bottom"/>
          </w:tcPr>
          <w:p>
            <w:pPr>
              <w:spacing w:after="0"/>
              <w:rPr>
                <w:sz w:val="14"/>
                <w:szCs w:val="14"/>
                <w:color w:val="auto"/>
              </w:rPr>
            </w:pPr>
          </w:p>
        </w:tc>
        <w:tc>
          <w:tcPr>
            <w:tcW w:w="10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6"/>
              </w:rPr>
              <w:t>Expense</w:t>
            </w: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Rate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600" w:type="dxa"/>
            <w:vAlign w:val="bottom"/>
            <w:tcBorders>
              <w:top w:val="single" w:sz="8" w:color="auto"/>
            </w:tcBorders>
            <w:gridSpan w:val="5"/>
          </w:tcPr>
          <w:p>
            <w:pPr>
              <w:jc w:val="right"/>
              <w:ind w:right="740"/>
              <w:spacing w:after="0" w:line="142" w:lineRule="exact"/>
              <w:rPr>
                <w:sz w:val="20"/>
                <w:szCs w:val="20"/>
                <w:color w:val="auto"/>
              </w:rPr>
            </w:pPr>
            <w:r>
              <w:rPr>
                <w:rFonts w:ascii="Arial" w:cs="Arial" w:eastAsia="Arial" w:hAnsi="Arial"/>
                <w:sz w:val="14"/>
                <w:szCs w:val="14"/>
                <w:b w:val="1"/>
                <w:bCs w:val="1"/>
                <w:color w:val="auto"/>
              </w:rPr>
              <w:t>(Dollars in thousands)</w:t>
            </w:r>
          </w:p>
        </w:tc>
        <w:tc>
          <w:tcPr>
            <w:tcW w:w="1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Interest-earning assets:</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Investment securities (1)</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131,006</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234</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0.72%</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132,681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422</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160"/>
              <w:spacing w:after="0"/>
              <w:rPr>
                <w:sz w:val="20"/>
                <w:szCs w:val="20"/>
                <w:color w:val="auto"/>
              </w:rPr>
            </w:pPr>
            <w:r>
              <w:rPr>
                <w:rFonts w:ascii="Arial" w:cs="Arial" w:eastAsia="Arial" w:hAnsi="Arial"/>
                <w:sz w:val="18"/>
                <w:szCs w:val="18"/>
                <w:color w:val="auto"/>
              </w:rPr>
              <w:t>Loans (2) (3)</w:t>
            </w:r>
          </w:p>
        </w:tc>
        <w:tc>
          <w:tcPr>
            <w:tcW w:w="1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390,609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9,601</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9.97%</w:t>
            </w:r>
          </w:p>
        </w:tc>
        <w:tc>
          <w:tcPr>
            <w:tcW w:w="1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348,777</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5,870</w:t>
            </w:r>
          </w:p>
        </w:tc>
        <w:tc>
          <w:tcPr>
            <w:tcW w:w="24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6.77%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Regulatory stock</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5,391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0.30%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5,697</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160"/>
              <w:spacing w:after="0"/>
              <w:rPr>
                <w:sz w:val="20"/>
                <w:szCs w:val="20"/>
                <w:color w:val="auto"/>
              </w:rPr>
            </w:pPr>
            <w:r>
              <w:rPr>
                <w:rFonts w:ascii="Arial" w:cs="Arial" w:eastAsia="Arial" w:hAnsi="Arial"/>
                <w:sz w:val="18"/>
                <w:szCs w:val="18"/>
                <w:color w:val="auto"/>
              </w:rPr>
              <w:t>Short-term investments (4)</w:t>
            </w:r>
          </w:p>
        </w:tc>
        <w:tc>
          <w:tcPr>
            <w:tcW w:w="1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133,025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81</w:t>
            </w:r>
          </w:p>
        </w:tc>
        <w:tc>
          <w:tcPr>
            <w:tcW w:w="20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0.25%</w:t>
            </w:r>
          </w:p>
        </w:tc>
        <w:tc>
          <w:tcPr>
            <w:tcW w:w="1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67,887</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w:t>
            </w:r>
          </w:p>
        </w:tc>
        <w:tc>
          <w:tcPr>
            <w:tcW w:w="24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interest-earning assets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660,031</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9,920</w:t>
            </w:r>
          </w:p>
        </w:tc>
        <w:tc>
          <w:tcPr>
            <w:tcW w:w="2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6.10%</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555,042</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6,352</w:t>
            </w:r>
          </w:p>
        </w:tc>
        <w:tc>
          <w:tcPr>
            <w:tcW w:w="2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Cash and due from banks</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3,184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2,881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Other non-interest earning assets</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36,694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35,651</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90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699,909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593,574</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8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Liabilities &amp; Stockholders’ Equity:</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Interest-bearing liabilities:</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160"/>
              <w:spacing w:after="0"/>
              <w:rPr>
                <w:sz w:val="20"/>
                <w:szCs w:val="20"/>
                <w:color w:val="auto"/>
              </w:rPr>
            </w:pPr>
            <w:r>
              <w:rPr>
                <w:rFonts w:ascii="Arial" w:cs="Arial" w:eastAsia="Arial" w:hAnsi="Arial"/>
                <w:sz w:val="18"/>
                <w:szCs w:val="18"/>
                <w:color w:val="auto"/>
              </w:rPr>
              <w:t>NOW accounts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55,068</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36</w:t>
            </w:r>
          </w:p>
        </w:tc>
        <w:tc>
          <w:tcPr>
            <w:tcW w:w="20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0.27%</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54,242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48</w:t>
            </w:r>
          </w:p>
        </w:tc>
        <w:tc>
          <w:tcPr>
            <w:tcW w:w="24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Money market accounts</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70,613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102</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0.59%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43,602</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bl>
    <w:p>
      <w:pPr>
        <w:sectPr>
          <w:pgSz w:w="11900" w:h="16838" w:orient="portrait"/>
          <w:cols w:equalWidth="0" w:num="1">
            <w:col w:w="11420"/>
          </w:cols>
          <w:pgMar w:left="240" w:top="341" w:right="239" w:bottom="0" w:gutter="0" w:footer="0" w:header="0"/>
        </w:sectPr>
      </w:pPr>
    </w:p>
    <w:bookmarkStart w:id="31" w:name="page32"/>
    <w:bookmarkEnd w:id="31"/>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880" w:type="dxa"/>
            <w:vAlign w:val="bottom"/>
          </w:tcPr>
          <w:p>
            <w:pPr>
              <w:ind w:left="160"/>
              <w:spacing w:after="0"/>
              <w:rPr>
                <w:sz w:val="20"/>
                <w:szCs w:val="20"/>
                <w:color w:val="auto"/>
              </w:rPr>
            </w:pPr>
            <w:r>
              <w:rPr>
                <w:rFonts w:ascii="Arial" w:cs="Arial" w:eastAsia="Arial" w:hAnsi="Arial"/>
                <w:sz w:val="18"/>
                <w:szCs w:val="18"/>
                <w:color w:val="auto"/>
              </w:rPr>
              <w:t>Savings accounts</w:t>
            </w:r>
          </w:p>
        </w:tc>
        <w:tc>
          <w:tcPr>
            <w:tcW w:w="28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32,464</w:t>
            </w:r>
          </w:p>
        </w:tc>
        <w:tc>
          <w:tcPr>
            <w:tcW w:w="360" w:type="dxa"/>
            <w:vAlign w:val="bottom"/>
          </w:tcPr>
          <w:p>
            <w:pPr>
              <w:spacing w:after="0"/>
              <w:rPr>
                <w:sz w:val="20"/>
                <w:szCs w:val="20"/>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11</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0.14%</w:t>
            </w:r>
          </w:p>
        </w:tc>
        <w:tc>
          <w:tcPr>
            <w:tcW w:w="2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32,923</w:t>
            </w:r>
          </w:p>
        </w:tc>
        <w:tc>
          <w:tcPr>
            <w:tcW w:w="3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w:t>
            </w:r>
          </w:p>
        </w:tc>
        <w:tc>
          <w:tcPr>
            <w:tcW w:w="4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Time deposits</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297,555</w:t>
            </w:r>
          </w:p>
        </w:tc>
        <w:tc>
          <w:tcPr>
            <w:tcW w:w="3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935</w:t>
            </w:r>
          </w:p>
        </w:tc>
        <w:tc>
          <w:tcPr>
            <w:tcW w:w="11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1.27%</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227,182</w:t>
            </w:r>
          </w:p>
        </w:tc>
        <w:tc>
          <w:tcPr>
            <w:tcW w:w="3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777</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Pr>
          <w:p>
            <w:pPr>
              <w:ind w:left="160"/>
              <w:spacing w:after="0"/>
              <w:rPr>
                <w:sz w:val="20"/>
                <w:szCs w:val="20"/>
                <w:color w:val="auto"/>
              </w:rPr>
            </w:pPr>
            <w:r>
              <w:rPr>
                <w:rFonts w:ascii="Arial" w:cs="Arial" w:eastAsia="Arial" w:hAnsi="Arial"/>
                <w:sz w:val="18"/>
                <w:szCs w:val="18"/>
                <w:color w:val="auto"/>
              </w:rPr>
              <w:t>Total interest-bearing deposits</w:t>
            </w:r>
          </w:p>
        </w:tc>
        <w:tc>
          <w:tcPr>
            <w:tcW w:w="2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455,700</w:t>
            </w:r>
          </w:p>
        </w:tc>
        <w:tc>
          <w:tcPr>
            <w:tcW w:w="2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1,084</w:t>
            </w:r>
          </w:p>
        </w:tc>
        <w:tc>
          <w:tcPr>
            <w:tcW w:w="460" w:type="dxa"/>
            <w:vAlign w:val="bottom"/>
          </w:tcPr>
          <w:p>
            <w:pPr>
              <w:spacing w:after="0"/>
              <w:rPr>
                <w:sz w:val="18"/>
                <w:szCs w:val="18"/>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0.96%</w:t>
            </w:r>
          </w:p>
        </w:tc>
        <w:tc>
          <w:tcPr>
            <w:tcW w:w="2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357,949</w:t>
            </w:r>
          </w:p>
        </w:tc>
        <w:tc>
          <w:tcPr>
            <w:tcW w:w="2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875</w:t>
            </w: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Short-term borrowings</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1,889</w:t>
            </w:r>
          </w:p>
        </w:tc>
        <w:tc>
          <w:tcPr>
            <w:tcW w:w="3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w:t>
            </w:r>
          </w:p>
        </w:tc>
        <w:tc>
          <w:tcPr>
            <w:tcW w:w="11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0.86%</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1,321</w:t>
            </w:r>
          </w:p>
        </w:tc>
        <w:tc>
          <w:tcPr>
            <w:tcW w:w="3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160"/>
              <w:spacing w:after="0"/>
              <w:rPr>
                <w:sz w:val="20"/>
                <w:szCs w:val="20"/>
                <w:color w:val="auto"/>
              </w:rPr>
            </w:pPr>
            <w:r>
              <w:rPr>
                <w:rFonts w:ascii="Arial" w:cs="Arial" w:eastAsia="Arial" w:hAnsi="Arial"/>
                <w:sz w:val="18"/>
                <w:szCs w:val="18"/>
                <w:color w:val="auto"/>
              </w:rPr>
              <w:t>Borrowed funds</w:t>
            </w:r>
          </w:p>
        </w:tc>
        <w:tc>
          <w:tcPr>
            <w:tcW w:w="28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64,212</w:t>
            </w:r>
          </w:p>
        </w:tc>
        <w:tc>
          <w:tcPr>
            <w:tcW w:w="36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389</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2.46%</w:t>
            </w:r>
          </w:p>
        </w:tc>
        <w:tc>
          <w:tcPr>
            <w:tcW w:w="2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112,468</w:t>
            </w:r>
          </w:p>
        </w:tc>
        <w:tc>
          <w:tcPr>
            <w:tcW w:w="36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528</w:t>
            </w:r>
          </w:p>
        </w:tc>
        <w:tc>
          <w:tcPr>
            <w:tcW w:w="940" w:type="dxa"/>
            <w:vAlign w:val="bottom"/>
          </w:tcPr>
          <w:p>
            <w:pPr>
              <w:jc w:val="right"/>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Junior subordinated debentures</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8,205</w:t>
            </w:r>
          </w:p>
        </w:tc>
        <w:tc>
          <w:tcPr>
            <w:tcW w:w="3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190</w:t>
            </w:r>
          </w:p>
        </w:tc>
        <w:tc>
          <w:tcPr>
            <w:tcW w:w="11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9.39%</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8,047</w:t>
            </w:r>
          </w:p>
        </w:tc>
        <w:tc>
          <w:tcPr>
            <w:tcW w:w="3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188</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interest-bearing liabilities</w:t>
            </w:r>
          </w:p>
        </w:tc>
        <w:tc>
          <w:tcPr>
            <w:tcW w:w="2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530,006</w:t>
            </w:r>
          </w:p>
        </w:tc>
        <w:tc>
          <w:tcPr>
            <w:tcW w:w="22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1,667</w:t>
            </w:r>
          </w:p>
        </w:tc>
        <w:tc>
          <w:tcPr>
            <w:tcW w:w="46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jc w:val="right"/>
              <w:ind w:right="110"/>
              <w:spacing w:after="0"/>
              <w:rPr>
                <w:sz w:val="20"/>
                <w:szCs w:val="20"/>
                <w:color w:val="auto"/>
              </w:rPr>
            </w:pPr>
            <w:r>
              <w:rPr>
                <w:rFonts w:ascii="Arial" w:cs="Arial" w:eastAsia="Arial" w:hAnsi="Arial"/>
                <w:sz w:val="18"/>
                <w:szCs w:val="18"/>
                <w:color w:val="auto"/>
              </w:rPr>
              <w:t>1.28%</w:t>
            </w:r>
          </w:p>
        </w:tc>
        <w:tc>
          <w:tcPr>
            <w:tcW w:w="26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479,785</w:t>
            </w:r>
          </w:p>
        </w:tc>
        <w:tc>
          <w:tcPr>
            <w:tcW w:w="22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1,598</w:t>
            </w:r>
          </w:p>
        </w:tc>
        <w:tc>
          <w:tcPr>
            <w:tcW w:w="46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880" w:type="dxa"/>
            <w:vAlign w:val="bottom"/>
          </w:tcPr>
          <w:p>
            <w:pPr>
              <w:spacing w:after="0" w:line="201" w:lineRule="exact"/>
              <w:rPr>
                <w:sz w:val="20"/>
                <w:szCs w:val="20"/>
                <w:color w:val="auto"/>
              </w:rPr>
            </w:pPr>
            <w:r>
              <w:rPr>
                <w:rFonts w:ascii="Arial" w:cs="Arial" w:eastAsia="Arial" w:hAnsi="Arial"/>
                <w:sz w:val="18"/>
                <w:szCs w:val="18"/>
                <w:color w:val="auto"/>
              </w:rPr>
              <w:t>Interest-bearing liabilities of discontinued</w:t>
            </w: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80" w:type="dxa"/>
            <w:vAlign w:val="bottom"/>
          </w:tcPr>
          <w:p>
            <w:pPr>
              <w:ind w:left="160"/>
              <w:spacing w:after="0"/>
              <w:rPr>
                <w:sz w:val="20"/>
                <w:szCs w:val="20"/>
                <w:color w:val="auto"/>
              </w:rPr>
            </w:pPr>
            <w:r>
              <w:rPr>
                <w:rFonts w:ascii="Arial" w:cs="Arial" w:eastAsia="Arial" w:hAnsi="Arial"/>
                <w:sz w:val="18"/>
                <w:szCs w:val="18"/>
                <w:color w:val="auto"/>
              </w:rPr>
              <w:t>operations (5)</w:t>
            </w:r>
          </w:p>
        </w:tc>
        <w:tc>
          <w:tcPr>
            <w:tcW w:w="28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Non-interest bearing liabilities:</w:t>
            </w: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Demand deposits and escrow accounts</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48,426</w:t>
            </w: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44,249</w:t>
            </w: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Other liabilities</w:t>
            </w:r>
          </w:p>
        </w:tc>
        <w:tc>
          <w:tcPr>
            <w:tcW w:w="28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5,921</w:t>
            </w: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3,972</w:t>
            </w: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584,353</w:t>
            </w: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528,006</w:t>
            </w: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Stockholders’ equity</w:t>
            </w:r>
          </w:p>
        </w:tc>
        <w:tc>
          <w:tcPr>
            <w:tcW w:w="28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115,556</w:t>
            </w: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65,568</w:t>
            </w: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699,909</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593,574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interest income</w:t>
            </w:r>
          </w:p>
        </w:tc>
        <w:tc>
          <w:tcPr>
            <w:tcW w:w="2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8,253</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4,754</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spread</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4.82%</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Net interest margin (6)</w:t>
            </w: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5.07%</w:t>
            </w: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82689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7"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Interest income and yield are stated on a fully tax-equivalent basis using a 34% tax rate.</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Includes loans held for sale.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Nonaccrual loans are included in the computation of average, but unpaid interest has not been included for purposes of determining interest income.</w:t>
      </w:r>
    </w:p>
    <w:p>
      <w:pPr>
        <w:spacing w:after="0" w:line="32" w:lineRule="exact"/>
        <w:rPr>
          <w:rFonts w:ascii="Arial" w:cs="Arial" w:eastAsia="Arial" w:hAnsi="Arial"/>
          <w:sz w:val="16"/>
          <w:szCs w:val="16"/>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Short term investments include FRB reserves, FHLB Ideal Way and other interest-bearing deposits.</w:t>
      </w:r>
    </w:p>
    <w:p>
      <w:pPr>
        <w:spacing w:after="0" w:line="9" w:lineRule="exact"/>
        <w:rPr>
          <w:rFonts w:ascii="Arial" w:cs="Arial" w:eastAsia="Arial" w:hAnsi="Arial"/>
          <w:sz w:val="18"/>
          <w:szCs w:val="18"/>
          <w:color w:val="auto"/>
        </w:rPr>
      </w:pPr>
    </w:p>
    <w:p>
      <w:pPr>
        <w:ind w:left="340" w:right="20" w:hanging="332"/>
        <w:spacing w:after="0" w:line="250" w:lineRule="auto"/>
        <w:tabs>
          <w:tab w:leader="none" w:pos="347"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effect of interest-bearing liabilities associated with discontinued operations has been excluded from the calculation of average rates paid, interest rate spread, and net interest margin.</w:t>
      </w: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Net interest margin is calculated as net interest income divided by total interest-earning assets.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following table presents the extent to which changes in volume and interest rates of interest earning assets and interest bearing liabilities have affected the Company’s interest income and interest expense during the periods indicated. Information is provided in each category with respect to (i) changes attributable to changes in volume (changes in volume multiplied by prior period rate), (ii) changes attributable to changes in rates (changes in rates multiplied by prior period volume) and (iii) changes attributable to a combination of changes in rate and volume (change in rates multiplied by the changes in volume). Changes attributable to the combined impact of volume and rate have been allocated proportionately to the changes due to volume and the changes due to rate.</w:t>
      </w:r>
    </w:p>
    <w:p>
      <w:pPr>
        <w:spacing w:after="0" w:line="137"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360" w:type="dxa"/>
            <w:vAlign w:val="bottom"/>
            <w:gridSpan w:val="7"/>
          </w:tcPr>
          <w:p>
            <w:pPr>
              <w:jc w:val="center"/>
              <w:ind w:left="895"/>
              <w:spacing w:after="0"/>
              <w:rPr>
                <w:sz w:val="20"/>
                <w:szCs w:val="20"/>
                <w:color w:val="auto"/>
              </w:rPr>
            </w:pPr>
            <w:r>
              <w:rPr>
                <w:rFonts w:ascii="Arial" w:cs="Arial" w:eastAsia="Arial" w:hAnsi="Arial"/>
                <w:sz w:val="14"/>
                <w:szCs w:val="14"/>
                <w:b w:val="1"/>
                <w:bCs w:val="1"/>
                <w:color w:val="auto"/>
                <w:w w:val="95"/>
              </w:rPr>
              <w:t>Three Months Ended March 31, 2013</w:t>
            </w: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500" w:type="dxa"/>
            <w:vAlign w:val="bottom"/>
            <w:tcBorders>
              <w:bottom w:val="single" w:sz="8" w:color="auto"/>
            </w:tcBorders>
            <w:gridSpan w:val="8"/>
          </w:tcPr>
          <w:p>
            <w:pPr>
              <w:jc w:val="center"/>
              <w:ind w:right="51"/>
              <w:spacing w:after="0"/>
              <w:rPr>
                <w:sz w:val="20"/>
                <w:szCs w:val="20"/>
                <w:color w:val="auto"/>
              </w:rPr>
            </w:pPr>
            <w:r>
              <w:rPr>
                <w:rFonts w:ascii="Arial" w:cs="Arial" w:eastAsia="Arial" w:hAnsi="Arial"/>
                <w:sz w:val="14"/>
                <w:szCs w:val="14"/>
                <w:b w:val="1"/>
                <w:bCs w:val="1"/>
                <w:color w:val="auto"/>
                <w:w w:val="94"/>
              </w:rPr>
              <w:t>Compared to the Three Months Ended March 31, 2012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00" w:type="dxa"/>
            <w:vAlign w:val="bottom"/>
            <w:gridSpan w:val="2"/>
          </w:tcPr>
          <w:p>
            <w:pPr>
              <w:jc w:val="right"/>
              <w:ind w:right="520"/>
              <w:spacing w:after="0" w:line="119" w:lineRule="exact"/>
              <w:rPr>
                <w:sz w:val="20"/>
                <w:szCs w:val="20"/>
                <w:color w:val="auto"/>
              </w:rPr>
            </w:pPr>
            <w:r>
              <w:rPr>
                <w:rFonts w:ascii="Arial" w:cs="Arial" w:eastAsia="Arial" w:hAnsi="Arial"/>
                <w:sz w:val="13"/>
                <w:szCs w:val="13"/>
                <w:b w:val="1"/>
                <w:bCs w:val="1"/>
                <w:color w:val="auto"/>
              </w:rPr>
              <w:t>Change Due to</w:t>
            </w:r>
          </w:p>
        </w:tc>
        <w:tc>
          <w:tcPr>
            <w:tcW w:w="160" w:type="dxa"/>
            <w:vAlign w:val="bottom"/>
          </w:tcPr>
          <w:p>
            <w:pPr>
              <w:spacing w:after="0"/>
              <w:rPr>
                <w:sz w:val="10"/>
                <w:szCs w:val="10"/>
                <w:color w:val="auto"/>
              </w:rPr>
            </w:pPr>
          </w:p>
        </w:tc>
        <w:tc>
          <w:tcPr>
            <w:tcW w:w="138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rPr>
              <w:t>Change Due to</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6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6"/>
              </w:rPr>
              <w:t>Total Change</w:t>
            </w:r>
          </w:p>
        </w:tc>
        <w:tc>
          <w:tcPr>
            <w:tcW w:w="0" w:type="dxa"/>
            <w:vAlign w:val="bottom"/>
          </w:tcPr>
          <w:p>
            <w:pPr>
              <w:spacing w:after="0"/>
              <w:rPr>
                <w:sz w:val="1"/>
                <w:szCs w:val="1"/>
                <w:color w:val="auto"/>
              </w:rPr>
            </w:pPr>
          </w:p>
        </w:tc>
      </w:tr>
      <w:tr>
        <w:trPr>
          <w:trHeight w:val="171"/>
        </w:trPr>
        <w:tc>
          <w:tcPr>
            <w:tcW w:w="5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Volume</w:t>
            </w:r>
          </w:p>
        </w:tc>
        <w:tc>
          <w:tcPr>
            <w:tcW w:w="160" w:type="dxa"/>
            <w:vAlign w:val="bottom"/>
          </w:tcPr>
          <w:p>
            <w:pPr>
              <w:spacing w:after="0"/>
              <w:rPr>
                <w:sz w:val="14"/>
                <w:szCs w:val="14"/>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Rate</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8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gridSpan w:val="3"/>
          </w:tcPr>
          <w:p>
            <w:pPr>
              <w:jc w:val="center"/>
              <w:ind w:right="18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1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Interest earning assets:</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180"/>
              <w:spacing w:after="0"/>
              <w:rPr>
                <w:sz w:val="20"/>
                <w:szCs w:val="20"/>
                <w:color w:val="auto"/>
              </w:rPr>
            </w:pPr>
            <w:r>
              <w:rPr>
                <w:rFonts w:ascii="Arial" w:cs="Arial" w:eastAsia="Arial" w:hAnsi="Arial"/>
                <w:sz w:val="18"/>
                <w:szCs w:val="18"/>
                <w:color w:val="auto"/>
              </w:rPr>
              <w:t>Investments securities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(183)</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Loans</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755</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3,731</w:t>
            </w:r>
          </w:p>
        </w:tc>
        <w:tc>
          <w:tcPr>
            <w:tcW w:w="0" w:type="dxa"/>
            <w:vAlign w:val="bottom"/>
          </w:tcPr>
          <w:p>
            <w:pPr>
              <w:spacing w:after="0"/>
              <w:rPr>
                <w:sz w:val="1"/>
                <w:szCs w:val="1"/>
                <w:color w:val="auto"/>
              </w:rPr>
            </w:pPr>
          </w:p>
        </w:tc>
      </w:tr>
      <w:tr>
        <w:trPr>
          <w:trHeight w:val="216"/>
        </w:trPr>
        <w:tc>
          <w:tcPr>
            <w:tcW w:w="5860" w:type="dxa"/>
            <w:vAlign w:val="bottom"/>
          </w:tcPr>
          <w:p>
            <w:pPr>
              <w:ind w:left="180"/>
              <w:spacing w:after="0"/>
              <w:rPr>
                <w:sz w:val="20"/>
                <w:szCs w:val="20"/>
                <w:color w:val="auto"/>
              </w:rPr>
            </w:pPr>
            <w:r>
              <w:rPr>
                <w:rFonts w:ascii="Arial" w:cs="Arial" w:eastAsia="Arial" w:hAnsi="Arial"/>
                <w:sz w:val="18"/>
                <w:szCs w:val="18"/>
                <w:color w:val="auto"/>
              </w:rPr>
              <w:t>Regulatory stock</w:t>
            </w:r>
          </w:p>
        </w:tc>
        <w:tc>
          <w:tcPr>
            <w:tcW w:w="16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Short-term investments</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increase in interest income</w:t>
            </w:r>
          </w:p>
        </w:tc>
        <w:tc>
          <w:tcPr>
            <w:tcW w:w="1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789</w:t>
            </w:r>
          </w:p>
        </w:tc>
        <w:tc>
          <w:tcPr>
            <w:tcW w:w="2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2,779</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3,568</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8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Interest bearing liabilities:</w:t>
            </w: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180"/>
              <w:spacing w:after="0"/>
              <w:rPr>
                <w:sz w:val="20"/>
                <w:szCs w:val="20"/>
                <w:color w:val="auto"/>
              </w:rPr>
            </w:pPr>
            <w:r>
              <w:rPr>
                <w:rFonts w:ascii="Arial" w:cs="Arial" w:eastAsia="Arial" w:hAnsi="Arial"/>
                <w:sz w:val="18"/>
                <w:szCs w:val="18"/>
                <w:color w:val="auto"/>
              </w:rPr>
              <w:t>Interest bearing deposits</w:t>
            </w:r>
          </w:p>
        </w:tc>
        <w:tc>
          <w:tcPr>
            <w:tcW w:w="16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258</w:t>
            </w:r>
          </w:p>
        </w:tc>
        <w:tc>
          <w:tcPr>
            <w:tcW w:w="1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Short-term borrowings</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5860" w:type="dxa"/>
            <w:vAlign w:val="bottom"/>
          </w:tcPr>
          <w:p>
            <w:pPr>
              <w:ind w:left="180"/>
              <w:spacing w:after="0"/>
              <w:rPr>
                <w:sz w:val="20"/>
                <w:szCs w:val="20"/>
                <w:color w:val="auto"/>
              </w:rPr>
            </w:pPr>
            <w:r>
              <w:rPr>
                <w:rFonts w:ascii="Arial" w:cs="Arial" w:eastAsia="Arial" w:hAnsi="Arial"/>
                <w:sz w:val="18"/>
                <w:szCs w:val="18"/>
                <w:color w:val="auto"/>
              </w:rPr>
              <w:t>Borrowed funds</w:t>
            </w:r>
          </w:p>
        </w:tc>
        <w:tc>
          <w:tcPr>
            <w:tcW w:w="16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(267)</w:t>
            </w:r>
          </w:p>
        </w:tc>
        <w:tc>
          <w:tcPr>
            <w:tcW w:w="16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Junior subordinated debentures</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5860" w:type="dxa"/>
            <w:vAlign w:val="bottom"/>
            <w:vMerge w:val="restart"/>
          </w:tcPr>
          <w:p>
            <w:pPr>
              <w:ind w:left="180"/>
              <w:spacing w:after="0"/>
              <w:rPr>
                <w:sz w:val="20"/>
                <w:szCs w:val="20"/>
                <w:color w:val="auto"/>
              </w:rPr>
            </w:pPr>
            <w:r>
              <w:rPr>
                <w:rFonts w:ascii="Arial" w:cs="Arial" w:eastAsia="Arial" w:hAnsi="Arial"/>
                <w:sz w:val="18"/>
                <w:szCs w:val="18"/>
                <w:color w:val="auto"/>
              </w:rPr>
              <w:t>Total increase in interest expense</w:t>
            </w:r>
          </w:p>
        </w:tc>
        <w:tc>
          <w:tcPr>
            <w:tcW w:w="1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increase in net interest and dividend income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March 31, 2013 and 2012</w:t>
      </w:r>
    </w:p>
    <w:p>
      <w:pPr>
        <w:spacing w:after="0" w:line="225"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Net interest income for the nine months ended March 31, 2013 and 2012 was $21.4 million and $13.9 million, respectively. The increase of $7.5 million was largely attributable to growth in the LASG loan portfolio, which earned an average yield of 14.9% for the nine months ended March 31, 2013 on an average outstanding balance of $123.1 million. The following table summarizes interest income and related yields recognized on the Company’s loans.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6"/>
          </w:tcPr>
          <w:p>
            <w:pPr>
              <w:jc w:val="center"/>
              <w:ind w:right="120"/>
              <w:spacing w:after="0"/>
              <w:rPr>
                <w:sz w:val="20"/>
                <w:szCs w:val="20"/>
                <w:color w:val="auto"/>
              </w:rPr>
            </w:pPr>
            <w:r>
              <w:rPr>
                <w:rFonts w:ascii="Arial" w:cs="Arial" w:eastAsia="Arial" w:hAnsi="Arial"/>
                <w:sz w:val="14"/>
                <w:szCs w:val="14"/>
                <w:b w:val="1"/>
                <w:bCs w:val="1"/>
                <w:color w:val="auto"/>
                <w:w w:val="92"/>
              </w:rPr>
              <w:t>Interest Income and Yield on Loans</w:t>
            </w: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660" w:type="dxa"/>
            <w:vAlign w:val="bottom"/>
            <w:tcBorders>
              <w:bottom w:val="single" w:sz="8" w:color="auto"/>
            </w:tcBorders>
            <w:gridSpan w:val="6"/>
          </w:tcPr>
          <w:p>
            <w:pPr>
              <w:jc w:val="center"/>
              <w:ind w:right="120"/>
              <w:spacing w:after="0" w:line="142" w:lineRule="exact"/>
              <w:rPr>
                <w:sz w:val="20"/>
                <w:szCs w:val="20"/>
                <w:color w:val="auto"/>
              </w:rPr>
            </w:pPr>
            <w:r>
              <w:rPr>
                <w:rFonts w:ascii="Arial" w:cs="Arial" w:eastAsia="Arial" w:hAnsi="Arial"/>
                <w:sz w:val="14"/>
                <w:szCs w:val="14"/>
                <w:b w:val="1"/>
                <w:bCs w:val="1"/>
                <w:color w:val="auto"/>
                <w:w w:val="95"/>
              </w:rPr>
              <w:t>Nine Months Ended March 31,</w:t>
            </w: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40"/>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center"/>
              <w:ind w:right="60"/>
              <w:spacing w:after="0" w:line="142" w:lineRule="exact"/>
              <w:rPr>
                <w:sz w:val="20"/>
                <w:szCs w:val="20"/>
                <w:color w:val="auto"/>
              </w:rPr>
            </w:pPr>
            <w:r>
              <w:rPr>
                <w:rFonts w:ascii="Arial" w:cs="Arial" w:eastAsia="Arial" w:hAnsi="Arial"/>
                <w:sz w:val="14"/>
                <w:szCs w:val="14"/>
                <w:b w:val="1"/>
                <w:bCs w:val="1"/>
                <w:color w:val="auto"/>
                <w:w w:val="96"/>
              </w:rPr>
              <w:t>2012</w:t>
            </w:r>
          </w:p>
        </w:tc>
        <w:tc>
          <w:tcPr>
            <w:tcW w:w="3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gridSpan w:val="2"/>
          </w:tcPr>
          <w:p>
            <w:pPr>
              <w:jc w:val="right"/>
              <w:ind w:right="340"/>
              <w:spacing w:after="0" w:line="119" w:lineRule="exact"/>
              <w:rPr>
                <w:sz w:val="20"/>
                <w:szCs w:val="20"/>
                <w:color w:val="auto"/>
              </w:rPr>
            </w:pPr>
            <w:r>
              <w:rPr>
                <w:rFonts w:ascii="Arial" w:cs="Arial" w:eastAsia="Arial" w:hAnsi="Arial"/>
                <w:sz w:val="13"/>
                <w:szCs w:val="13"/>
                <w:b w:val="1"/>
                <w:bCs w:val="1"/>
                <w:color w:val="auto"/>
              </w:rPr>
              <w:t>Average</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gridSpan w:val="2"/>
          </w:tcPr>
          <w:p>
            <w:pPr>
              <w:jc w:val="right"/>
              <w:ind w:right="460"/>
              <w:spacing w:after="0" w:line="119" w:lineRule="exact"/>
              <w:rPr>
                <w:sz w:val="20"/>
                <w:szCs w:val="20"/>
                <w:color w:val="auto"/>
              </w:rPr>
            </w:pPr>
            <w:r>
              <w:rPr>
                <w:rFonts w:ascii="Arial" w:cs="Arial" w:eastAsia="Arial" w:hAnsi="Arial"/>
                <w:sz w:val="13"/>
                <w:szCs w:val="13"/>
                <w:b w:val="1"/>
                <w:bCs w:val="1"/>
                <w:color w:val="auto"/>
              </w:rPr>
              <w:t>Interest</w:t>
            </w:r>
          </w:p>
        </w:tc>
        <w:tc>
          <w:tcPr>
            <w:tcW w:w="132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Yield</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gridSpan w:val="2"/>
          </w:tcPr>
          <w:p>
            <w:pPr>
              <w:jc w:val="right"/>
              <w:ind w:right="480"/>
              <w:spacing w:after="0" w:line="119" w:lineRule="exact"/>
              <w:rPr>
                <w:sz w:val="20"/>
                <w:szCs w:val="20"/>
                <w:color w:val="auto"/>
              </w:rPr>
            </w:pPr>
            <w:r>
              <w:rPr>
                <w:rFonts w:ascii="Arial" w:cs="Arial" w:eastAsia="Arial" w:hAnsi="Arial"/>
                <w:sz w:val="13"/>
                <w:szCs w:val="13"/>
                <w:b w:val="1"/>
                <w:bCs w:val="1"/>
                <w:color w:val="auto"/>
              </w:rPr>
              <w:t>Average</w:t>
            </w:r>
          </w:p>
        </w:tc>
        <w:tc>
          <w:tcPr>
            <w:tcW w:w="180" w:type="dxa"/>
            <w:vAlign w:val="bottom"/>
          </w:tcPr>
          <w:p>
            <w:pPr>
              <w:spacing w:after="0"/>
              <w:rPr>
                <w:sz w:val="10"/>
                <w:szCs w:val="10"/>
                <w:color w:val="auto"/>
              </w:rPr>
            </w:pPr>
          </w:p>
        </w:tc>
        <w:tc>
          <w:tcPr>
            <w:tcW w:w="1140" w:type="dxa"/>
            <w:vAlign w:val="bottom"/>
            <w:gridSpan w:val="2"/>
          </w:tcPr>
          <w:p>
            <w:pPr>
              <w:jc w:val="center"/>
              <w:ind w:right="460"/>
              <w:spacing w:after="0" w:line="119" w:lineRule="exact"/>
              <w:rPr>
                <w:sz w:val="20"/>
                <w:szCs w:val="20"/>
                <w:color w:val="auto"/>
              </w:rPr>
            </w:pPr>
            <w:r>
              <w:rPr>
                <w:rFonts w:ascii="Arial" w:cs="Arial" w:eastAsia="Arial" w:hAnsi="Arial"/>
                <w:sz w:val="13"/>
                <w:szCs w:val="13"/>
                <w:b w:val="1"/>
                <w:bCs w:val="1"/>
                <w:color w:val="auto"/>
              </w:rPr>
              <w:t>Interest</w:t>
            </w:r>
          </w:p>
        </w:tc>
        <w:tc>
          <w:tcPr>
            <w:tcW w:w="116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Yield</w:t>
            </w:r>
          </w:p>
        </w:tc>
        <w:tc>
          <w:tcPr>
            <w:tcW w:w="0" w:type="dxa"/>
            <w:vAlign w:val="bottom"/>
          </w:tcPr>
          <w:p>
            <w:pPr>
              <w:spacing w:after="0"/>
              <w:rPr>
                <w:sz w:val="1"/>
                <w:szCs w:val="1"/>
                <w:color w:val="auto"/>
              </w:rPr>
            </w:pPr>
          </w:p>
        </w:tc>
      </w:tr>
      <w:tr>
        <w:trPr>
          <w:trHeight w:val="171"/>
        </w:trPr>
        <w:tc>
          <w:tcPr>
            <w:tcW w:w="3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Balance</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Income</w:t>
            </w:r>
          </w:p>
        </w:tc>
        <w:tc>
          <w:tcPr>
            <w:tcW w:w="13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Balance</w:t>
            </w:r>
          </w:p>
        </w:tc>
        <w:tc>
          <w:tcPr>
            <w:tcW w:w="180" w:type="dxa"/>
            <w:vAlign w:val="bottom"/>
          </w:tcPr>
          <w:p>
            <w:pPr>
              <w:spacing w:after="0"/>
              <w:rPr>
                <w:sz w:val="14"/>
                <w:szCs w:val="14"/>
                <w:color w:val="auto"/>
              </w:rPr>
            </w:pPr>
          </w:p>
        </w:tc>
        <w:tc>
          <w:tcPr>
            <w:tcW w:w="11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3"/>
              </w:rPr>
              <w:t>Income</w:t>
            </w:r>
          </w:p>
        </w:tc>
        <w:tc>
          <w:tcPr>
            <w:tcW w:w="1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660" w:type="dxa"/>
            <w:vAlign w:val="bottom"/>
            <w:tcBorders>
              <w:top w:val="single" w:sz="8" w:color="auto"/>
            </w:tcBorders>
            <w:gridSpan w:val="6"/>
          </w:tcPr>
          <w:p>
            <w:pPr>
              <w:jc w:val="center"/>
              <w:ind w:right="10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1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Community Banking Division</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257,760</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11,449</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5.92%</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303,064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13,557</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LASG:</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Originated</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12,974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930</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194</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9.79%</w:t>
            </w:r>
          </w:p>
        </w:tc>
        <w:tc>
          <w:tcPr>
            <w:tcW w:w="0" w:type="dxa"/>
            <w:vAlign w:val="bottom"/>
          </w:tcPr>
          <w:p>
            <w:pPr>
              <w:spacing w:after="0"/>
              <w:rPr>
                <w:sz w:val="1"/>
                <w:szCs w:val="1"/>
                <w:color w:val="auto"/>
              </w:rPr>
            </w:pPr>
          </w:p>
        </w:tc>
      </w:tr>
      <w:tr>
        <w:trPr>
          <w:trHeight w:val="216"/>
        </w:trPr>
        <w:tc>
          <w:tcPr>
            <w:tcW w:w="3100" w:type="dxa"/>
            <w:vAlign w:val="bottom"/>
          </w:tcPr>
          <w:p>
            <w:pPr>
              <w:ind w:left="180"/>
              <w:spacing w:after="0"/>
              <w:rPr>
                <w:sz w:val="20"/>
                <w:szCs w:val="20"/>
                <w:color w:val="auto"/>
              </w:rPr>
            </w:pPr>
            <w:r>
              <w:rPr>
                <w:rFonts w:ascii="Arial" w:cs="Arial" w:eastAsia="Arial" w:hAnsi="Arial"/>
                <w:sz w:val="18"/>
                <w:szCs w:val="18"/>
                <w:color w:val="auto"/>
              </w:rPr>
              <w:t>Purchased</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110,151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12,830</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15.52%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29,315</w:t>
            </w:r>
          </w:p>
        </w:tc>
        <w:tc>
          <w:tcPr>
            <w:tcW w:w="18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3,130</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14.21%</w:t>
            </w:r>
          </w:p>
        </w:tc>
        <w:tc>
          <w:tcPr>
            <w:tcW w:w="0" w:type="dxa"/>
            <w:vAlign w:val="bottom"/>
          </w:tcPr>
          <w:p>
            <w:pPr>
              <w:spacing w:after="0"/>
              <w:rPr>
                <w:sz w:val="1"/>
                <w:szCs w:val="1"/>
                <w:color w:val="auto"/>
              </w:rPr>
            </w:pPr>
          </w:p>
        </w:tc>
      </w:tr>
      <w:tr>
        <w:trPr>
          <w:trHeight w:val="37"/>
        </w:trPr>
        <w:tc>
          <w:tcPr>
            <w:tcW w:w="310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auto"/>
            </w:tcBorders>
            <w:shd w:val="clear" w:color="auto" w:fill="CCEEFF"/>
          </w:tcPr>
          <w:p>
            <w:pPr>
              <w:spacing w:after="0"/>
              <w:rPr>
                <w:sz w:val="3"/>
                <w:szCs w:val="3"/>
                <w:color w:val="auto"/>
              </w:rPr>
            </w:pPr>
          </w:p>
        </w:tc>
        <w:tc>
          <w:tcPr>
            <w:tcW w:w="820" w:type="dxa"/>
            <w:vAlign w:val="bottom"/>
            <w:tcBorders>
              <w:top w:val="single" w:sz="8" w:color="auto"/>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auto"/>
            </w:tcBorders>
            <w:shd w:val="clear" w:color="auto" w:fill="CCEEFF"/>
          </w:tcPr>
          <w:p>
            <w:pPr>
              <w:spacing w:after="0"/>
              <w:rPr>
                <w:sz w:val="3"/>
                <w:szCs w:val="3"/>
                <w:color w:val="auto"/>
              </w:rPr>
            </w:pPr>
          </w:p>
        </w:tc>
        <w:tc>
          <w:tcPr>
            <w:tcW w:w="820" w:type="dxa"/>
            <w:vAlign w:val="bottom"/>
            <w:tcBorders>
              <w:top w:val="single" w:sz="8" w:color="auto"/>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108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auto"/>
            </w:tcBorders>
            <w:shd w:val="clear" w:color="auto" w:fill="CCEEFF"/>
          </w:tcPr>
          <w:p>
            <w:pPr>
              <w:spacing w:after="0"/>
              <w:rPr>
                <w:sz w:val="3"/>
                <w:szCs w:val="3"/>
                <w:color w:val="auto"/>
              </w:rPr>
            </w:pPr>
          </w:p>
        </w:tc>
        <w:tc>
          <w:tcPr>
            <w:tcW w:w="840" w:type="dxa"/>
            <w:vAlign w:val="bottom"/>
            <w:tcBorders>
              <w:top w:val="single" w:sz="8" w:color="auto"/>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auto"/>
            </w:tcBorders>
            <w:shd w:val="clear" w:color="auto" w:fill="CCEEFF"/>
          </w:tcPr>
          <w:p>
            <w:pPr>
              <w:spacing w:after="0"/>
              <w:rPr>
                <w:sz w:val="3"/>
                <w:szCs w:val="3"/>
                <w:color w:val="auto"/>
              </w:rPr>
            </w:pPr>
          </w:p>
        </w:tc>
        <w:tc>
          <w:tcPr>
            <w:tcW w:w="840" w:type="dxa"/>
            <w:vAlign w:val="bottom"/>
            <w:tcBorders>
              <w:top w:val="single" w:sz="8" w:color="auto"/>
            </w:tcBorders>
            <w:shd w:val="clear" w:color="auto" w:fill="CCEEFF"/>
          </w:tcPr>
          <w:p>
            <w:pPr>
              <w:spacing w:after="0"/>
              <w:rPr>
                <w:sz w:val="3"/>
                <w:szCs w:val="3"/>
                <w:color w:val="auto"/>
              </w:rPr>
            </w:pPr>
          </w:p>
        </w:tc>
        <w:tc>
          <w:tcPr>
            <w:tcW w:w="300" w:type="dxa"/>
            <w:vAlign w:val="bottom"/>
            <w:tcBorders>
              <w:top w:val="single" w:sz="8" w:color="CCEEFF"/>
            </w:tcBorders>
            <w:shd w:val="clear" w:color="auto" w:fill="CCEEFF"/>
          </w:tcPr>
          <w:p>
            <w:pPr>
              <w:spacing w:after="0"/>
              <w:rPr>
                <w:sz w:val="3"/>
                <w:szCs w:val="3"/>
                <w:color w:val="auto"/>
              </w:rPr>
            </w:pPr>
          </w:p>
        </w:tc>
        <w:tc>
          <w:tcPr>
            <w:tcW w:w="98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CCEEFF"/>
            </w:tcBorders>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ectPr>
          <w:pgSz w:w="11900" w:h="16900" w:orient="portrait"/>
          <w:cols w:equalWidth="0" w:num="1">
            <w:col w:w="11420"/>
          </w:cols>
          <w:pgMar w:left="240" w:top="125" w:right="239" w:bottom="0" w:gutter="0" w:footer="0" w:header="0"/>
        </w:sectPr>
      </w:pPr>
    </w:p>
    <w:bookmarkStart w:id="32" w:name="page33"/>
    <w:bookmarkEnd w:id="32"/>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LASG</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123,125</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13,760</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14.89%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31,952</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3,324</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13.85%</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00" w:type="dxa"/>
            <w:vAlign w:val="bottom"/>
          </w:tcPr>
          <w:p>
            <w:pPr>
              <w:ind w:left="540"/>
              <w:spacing w:after="0"/>
              <w:rPr>
                <w:sz w:val="20"/>
                <w:szCs w:val="20"/>
                <w:color w:val="auto"/>
              </w:rPr>
            </w:pPr>
            <w:r>
              <w:rPr>
                <w:rFonts w:ascii="Arial" w:cs="Arial" w:eastAsia="Arial" w:hAnsi="Arial"/>
                <w:sz w:val="18"/>
                <w:szCs w:val="18"/>
                <w:color w:val="auto"/>
              </w:rPr>
              <w:t>Total</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380,885</w:t>
            </w:r>
          </w:p>
        </w:tc>
        <w:tc>
          <w:tcPr>
            <w:tcW w:w="2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color w:val="auto"/>
                <w:w w:val="83"/>
              </w:rPr>
              <w:t>25,209</w:t>
            </w:r>
          </w:p>
        </w:tc>
        <w:tc>
          <w:tcPr>
            <w:tcW w:w="16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8.82%</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335,016</w:t>
            </w:r>
          </w:p>
        </w:tc>
        <w:tc>
          <w:tcPr>
            <w:tcW w:w="2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16,881</w:t>
            </w: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6.71%</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vMerge w:val="restart"/>
          </w:tcPr>
          <w:p>
            <w:pPr>
              <w:jc w:val="right"/>
              <w:ind w:right="95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100" w:type="dxa"/>
            <w:vAlign w:val="bottom"/>
            <w:tcBorders>
              <w:bottom w:val="single" w:sz="8" w:color="010101"/>
            </w:tcBorders>
          </w:tcPr>
          <w:p>
            <w:pPr>
              <w:spacing w:after="0"/>
              <w:rPr>
                <w:sz w:val="11"/>
                <w:szCs w:val="11"/>
                <w:color w:val="auto"/>
              </w:rPr>
            </w:pPr>
          </w:p>
        </w:tc>
        <w:tc>
          <w:tcPr>
            <w:tcW w:w="10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70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3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76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72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1020" w:type="dxa"/>
            <w:vAlign w:val="bottom"/>
            <w:tcBorders>
              <w:bottom w:val="single" w:sz="8" w:color="010101"/>
            </w:tcBorders>
          </w:tcPr>
          <w:p>
            <w:pPr>
              <w:spacing w:after="0"/>
              <w:rPr>
                <w:sz w:val="11"/>
                <w:szCs w:val="11"/>
                <w:color w:val="auto"/>
              </w:rPr>
            </w:pPr>
          </w:p>
        </w:tc>
        <w:tc>
          <w:tcPr>
            <w:tcW w:w="80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In the nine months ended March 31, 2013, net interest income was negatively affected by a lower level of noncash accretion of fair value adjustments resulting from the merger than in the comparable Fiscal 2012 period. The effect of such accretion will continue to diminish as financial instruments held at the merger mature or prepay. The following table summarizes the effects of such accretion.</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5"/>
          </w:tcPr>
          <w:p>
            <w:pPr>
              <w:jc w:val="right"/>
              <w:ind w:right="320"/>
              <w:spacing w:after="0"/>
              <w:rPr>
                <w:sz w:val="20"/>
                <w:szCs w:val="20"/>
                <w:color w:val="auto"/>
              </w:rPr>
            </w:pPr>
            <w:r>
              <w:rPr>
                <w:rFonts w:ascii="Arial" w:cs="Arial" w:eastAsia="Arial" w:hAnsi="Arial"/>
                <w:sz w:val="14"/>
                <w:szCs w:val="14"/>
                <w:b w:val="1"/>
                <w:bCs w:val="1"/>
                <w:color w:val="auto"/>
              </w:rPr>
              <w:t>Nine Months Ended March 31,</w:t>
            </w: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gridSpan w:val="2"/>
          </w:tcPr>
          <w:p>
            <w:pPr>
              <w:jc w:val="right"/>
              <w:ind w:right="460"/>
              <w:spacing w:after="0" w:line="119" w:lineRule="exact"/>
              <w:rPr>
                <w:sz w:val="20"/>
                <w:szCs w:val="20"/>
                <w:color w:val="auto"/>
              </w:rPr>
            </w:pPr>
            <w:r>
              <w:rPr>
                <w:rFonts w:ascii="Arial" w:cs="Arial" w:eastAsia="Arial" w:hAnsi="Arial"/>
                <w:sz w:val="13"/>
                <w:szCs w:val="13"/>
                <w:b w:val="1"/>
                <w:bCs w:val="1"/>
                <w:color w:val="auto"/>
              </w:rPr>
              <w:t>Average</w:t>
            </w:r>
          </w:p>
        </w:tc>
        <w:tc>
          <w:tcPr>
            <w:tcW w:w="160" w:type="dxa"/>
            <w:vAlign w:val="bottom"/>
          </w:tcPr>
          <w:p>
            <w:pPr>
              <w:spacing w:after="0"/>
              <w:rPr>
                <w:sz w:val="10"/>
                <w:szCs w:val="10"/>
                <w:color w:val="auto"/>
              </w:rPr>
            </w:pPr>
          </w:p>
        </w:tc>
        <w:tc>
          <w:tcPr>
            <w:tcW w:w="1140" w:type="dxa"/>
            <w:vAlign w:val="bottom"/>
            <w:gridSpan w:val="2"/>
          </w:tcPr>
          <w:p>
            <w:pPr>
              <w:jc w:val="right"/>
              <w:ind w:right="560"/>
              <w:spacing w:after="0" w:line="119" w:lineRule="exact"/>
              <w:rPr>
                <w:sz w:val="20"/>
                <w:szCs w:val="20"/>
                <w:color w:val="auto"/>
              </w:rPr>
            </w:pPr>
            <w:r>
              <w:rPr>
                <w:rFonts w:ascii="Arial" w:cs="Arial" w:eastAsia="Arial" w:hAnsi="Arial"/>
                <w:sz w:val="13"/>
                <w:szCs w:val="13"/>
                <w:b w:val="1"/>
                <w:bCs w:val="1"/>
                <w:color w:val="auto"/>
              </w:rPr>
              <w:t>Income</w:t>
            </w:r>
          </w:p>
        </w:tc>
        <w:tc>
          <w:tcPr>
            <w:tcW w:w="1000" w:type="dxa"/>
            <w:vAlign w:val="bottom"/>
          </w:tcPr>
          <w:p>
            <w:pPr>
              <w:jc w:val="right"/>
              <w:ind w:right="156"/>
              <w:spacing w:after="0" w:line="119" w:lineRule="exact"/>
              <w:rPr>
                <w:sz w:val="20"/>
                <w:szCs w:val="20"/>
                <w:color w:val="auto"/>
              </w:rPr>
            </w:pPr>
            <w:r>
              <w:rPr>
                <w:rFonts w:ascii="Arial" w:cs="Arial" w:eastAsia="Arial" w:hAnsi="Arial"/>
                <w:sz w:val="13"/>
                <w:szCs w:val="13"/>
                <w:b w:val="1"/>
                <w:bCs w:val="1"/>
                <w:color w:val="auto"/>
              </w:rPr>
              <w:t>Effect on</w:t>
            </w: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gridSpan w:val="2"/>
          </w:tcPr>
          <w:p>
            <w:pPr>
              <w:jc w:val="right"/>
              <w:ind w:right="360"/>
              <w:spacing w:after="0" w:line="119" w:lineRule="exact"/>
              <w:rPr>
                <w:sz w:val="20"/>
                <w:szCs w:val="20"/>
                <w:color w:val="auto"/>
              </w:rPr>
            </w:pPr>
            <w:r>
              <w:rPr>
                <w:rFonts w:ascii="Arial" w:cs="Arial" w:eastAsia="Arial" w:hAnsi="Arial"/>
                <w:sz w:val="13"/>
                <w:szCs w:val="13"/>
                <w:b w:val="1"/>
                <w:bCs w:val="1"/>
                <w:color w:val="auto"/>
              </w:rPr>
              <w:t>Average</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gridSpan w:val="2"/>
          </w:tcPr>
          <w:p>
            <w:pPr>
              <w:jc w:val="right"/>
              <w:ind w:right="560"/>
              <w:spacing w:after="0" w:line="119" w:lineRule="exact"/>
              <w:rPr>
                <w:sz w:val="20"/>
                <w:szCs w:val="20"/>
                <w:color w:val="auto"/>
              </w:rPr>
            </w:pPr>
            <w:r>
              <w:rPr>
                <w:rFonts w:ascii="Arial" w:cs="Arial" w:eastAsia="Arial" w:hAnsi="Arial"/>
                <w:sz w:val="13"/>
                <w:szCs w:val="13"/>
                <w:b w:val="1"/>
                <w:bCs w:val="1"/>
                <w:color w:val="auto"/>
              </w:rPr>
              <w:t>Income</w:t>
            </w:r>
          </w:p>
        </w:tc>
        <w:tc>
          <w:tcPr>
            <w:tcW w:w="1040" w:type="dxa"/>
            <w:vAlign w:val="bottom"/>
          </w:tcPr>
          <w:p>
            <w:pPr>
              <w:jc w:val="right"/>
              <w:ind w:right="174"/>
              <w:spacing w:after="0" w:line="119" w:lineRule="exact"/>
              <w:rPr>
                <w:sz w:val="20"/>
                <w:szCs w:val="20"/>
                <w:color w:val="auto"/>
              </w:rPr>
            </w:pPr>
            <w:r>
              <w:rPr>
                <w:rFonts w:ascii="Arial" w:cs="Arial" w:eastAsia="Arial" w:hAnsi="Arial"/>
                <w:sz w:val="13"/>
                <w:szCs w:val="13"/>
                <w:b w:val="1"/>
                <w:bCs w:val="1"/>
                <w:color w:val="auto"/>
              </w:rPr>
              <w:t>Effect on</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Balance</w:t>
            </w:r>
          </w:p>
        </w:tc>
        <w:tc>
          <w:tcPr>
            <w:tcW w:w="160" w:type="dxa"/>
            <w:vAlign w:val="bottom"/>
          </w:tcPr>
          <w:p>
            <w:pPr>
              <w:spacing w:after="0"/>
              <w:rPr>
                <w:sz w:val="14"/>
                <w:szCs w:val="14"/>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5"/>
              </w:rPr>
              <w:t>(Expense)</w:t>
            </w:r>
          </w:p>
        </w:tc>
        <w:tc>
          <w:tcPr>
            <w:tcW w:w="13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Yield / Rate</w:t>
            </w:r>
          </w:p>
        </w:tc>
        <w:tc>
          <w:tcPr>
            <w:tcW w:w="160" w:type="dxa"/>
            <w:vAlign w:val="bottom"/>
          </w:tcPr>
          <w:p>
            <w:pPr>
              <w:spacing w:after="0"/>
              <w:rPr>
                <w:sz w:val="14"/>
                <w:szCs w:val="14"/>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Balance</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5"/>
              </w:rPr>
              <w:t>(Expense)</w:t>
            </w:r>
          </w:p>
        </w:tc>
        <w:tc>
          <w:tcPr>
            <w:tcW w:w="12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Yield / Rate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460" w:type="dxa"/>
            <w:vAlign w:val="bottom"/>
            <w:tcBorders>
              <w:top w:val="single" w:sz="8" w:color="auto"/>
            </w:tcBorders>
            <w:gridSpan w:val="5"/>
          </w:tcPr>
          <w:p>
            <w:pPr>
              <w:jc w:val="right"/>
              <w:ind w:right="580"/>
              <w:spacing w:after="0" w:line="142" w:lineRule="exact"/>
              <w:rPr>
                <w:sz w:val="20"/>
                <w:szCs w:val="20"/>
                <w:color w:val="auto"/>
              </w:rPr>
            </w:pPr>
            <w:r>
              <w:rPr>
                <w:rFonts w:ascii="Arial" w:cs="Arial" w:eastAsia="Arial" w:hAnsi="Arial"/>
                <w:sz w:val="14"/>
                <w:szCs w:val="14"/>
                <w:b w:val="1"/>
                <w:bCs w:val="1"/>
                <w:color w:val="auto"/>
              </w:rPr>
              <w:t>(Dollars in thousands)</w:t>
            </w: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Interest-earning assets:</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ind w:left="160"/>
              <w:spacing w:after="0"/>
              <w:rPr>
                <w:sz w:val="20"/>
                <w:szCs w:val="20"/>
                <w:color w:val="auto"/>
              </w:rPr>
            </w:pPr>
            <w:r>
              <w:rPr>
                <w:rFonts w:ascii="Arial" w:cs="Arial" w:eastAsia="Arial" w:hAnsi="Arial"/>
                <w:sz w:val="18"/>
                <w:szCs w:val="18"/>
                <w:color w:val="auto"/>
              </w:rPr>
              <w:t>Investment securities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132,835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0.00%</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139,834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(91)</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Loans</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380,885</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443</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0.15%</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335,016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497</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ind w:left="160"/>
              <w:spacing w:after="0"/>
              <w:rPr>
                <w:sz w:val="20"/>
                <w:szCs w:val="20"/>
                <w:color w:val="auto"/>
              </w:rPr>
            </w:pPr>
            <w:r>
              <w:rPr>
                <w:rFonts w:ascii="Arial" w:cs="Arial" w:eastAsia="Arial" w:hAnsi="Arial"/>
                <w:sz w:val="18"/>
                <w:szCs w:val="18"/>
                <w:color w:val="auto"/>
              </w:rPr>
              <w:t>Other interest-earning assets</w:t>
            </w: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136,437</w:t>
            </w:r>
          </w:p>
        </w:tc>
        <w:tc>
          <w:tcPr>
            <w:tcW w:w="16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0</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0.00%</w:t>
            </w:r>
          </w:p>
        </w:tc>
        <w:tc>
          <w:tcPr>
            <w:tcW w:w="1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76,983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0</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interest-earning assets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650,157</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40" w:type="dxa"/>
            <w:vAlign w:val="bottom"/>
            <w:tcBorders>
              <w:top w:val="single" w:sz="8" w:color="CCEEFF"/>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0.09%</w:t>
            </w: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551,833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22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Interest-bearing liabilities:</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ind w:left="160"/>
              <w:spacing w:after="0"/>
              <w:rPr>
                <w:sz w:val="20"/>
                <w:szCs w:val="20"/>
                <w:color w:val="auto"/>
              </w:rPr>
            </w:pPr>
            <w:r>
              <w:rPr>
                <w:rFonts w:ascii="Arial" w:cs="Arial" w:eastAsia="Arial" w:hAnsi="Arial"/>
                <w:sz w:val="18"/>
                <w:szCs w:val="18"/>
                <w:color w:val="auto"/>
              </w:rPr>
              <w:t>Interest-bearing deposits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427,125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758</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0.24%</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353,727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1,002</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Short-term borrowings</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1,397</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0.00%</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1,030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ind w:left="160"/>
              <w:spacing w:after="0"/>
              <w:rPr>
                <w:sz w:val="20"/>
                <w:szCs w:val="20"/>
                <w:color w:val="auto"/>
              </w:rPr>
            </w:pPr>
            <w:r>
              <w:rPr>
                <w:rFonts w:ascii="Arial" w:cs="Arial" w:eastAsia="Arial" w:hAnsi="Arial"/>
                <w:sz w:val="18"/>
                <w:szCs w:val="18"/>
                <w:color w:val="auto"/>
              </w:rPr>
              <w:t>Borrowed funds</w:t>
            </w: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81,183</w:t>
            </w:r>
          </w:p>
        </w:tc>
        <w:tc>
          <w:tcPr>
            <w:tcW w:w="16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999</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1.64%</w:t>
            </w:r>
          </w:p>
        </w:tc>
        <w:tc>
          <w:tcPr>
            <w:tcW w:w="1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113,109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1,729</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Junior subordinated debentures</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8,164</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-1.97%</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8,009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50"/>
        </w:trPr>
        <w:tc>
          <w:tcPr>
            <w:tcW w:w="3040" w:type="dxa"/>
            <w:vAlign w:val="bottom"/>
            <w:gridSpan w:val="2"/>
          </w:tcPr>
          <w:p>
            <w:pPr>
              <w:spacing w:after="0"/>
              <w:rPr>
                <w:sz w:val="20"/>
                <w:szCs w:val="20"/>
                <w:color w:val="auto"/>
              </w:rPr>
            </w:pPr>
            <w:r>
              <w:rPr>
                <w:rFonts w:ascii="Arial" w:cs="Arial" w:eastAsia="Arial" w:hAnsi="Arial"/>
                <w:sz w:val="18"/>
                <w:szCs w:val="18"/>
                <w:color w:val="auto"/>
              </w:rPr>
              <w:t>Total interest-bearing liabilities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517,869</w:t>
            </w:r>
          </w:p>
        </w:tc>
        <w:tc>
          <w:tcPr>
            <w:tcW w:w="2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1,636</w:t>
            </w:r>
          </w:p>
        </w:tc>
        <w:tc>
          <w:tcPr>
            <w:tcW w:w="28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0.42%</w:t>
            </w: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475,875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2,622</w:t>
            </w:r>
          </w:p>
        </w:tc>
        <w:tc>
          <w:tcPr>
            <w:tcW w:w="280" w:type="dxa"/>
            <w:vAlign w:val="bottom"/>
          </w:tcPr>
          <w:p>
            <w:pPr>
              <w:spacing w:after="0"/>
              <w:rPr>
                <w:sz w:val="21"/>
                <w:szCs w:val="21"/>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0.73%</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0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Total effect of noncash accretion on:</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interest income</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2,076</w:t>
            </w: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3,028</w:t>
            </w: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20" w:type="dxa"/>
            <w:vAlign w:val="bottom"/>
          </w:tcPr>
          <w:p>
            <w:pPr>
              <w:ind w:left="160"/>
              <w:spacing w:after="0"/>
              <w:rPr>
                <w:sz w:val="20"/>
                <w:szCs w:val="20"/>
                <w:color w:val="auto"/>
              </w:rPr>
            </w:pPr>
            <w:r>
              <w:rPr>
                <w:rFonts w:ascii="Arial" w:cs="Arial" w:eastAsia="Arial" w:hAnsi="Arial"/>
                <w:sz w:val="18"/>
                <w:szCs w:val="18"/>
                <w:color w:val="auto"/>
              </w:rPr>
              <w:t>Net interest margin</w:t>
            </w: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0.43%</w:t>
            </w: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0.73%</w:t>
            </w: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In the nine months ended March 31, 2013 and 2012, interest expense was $5.0 million and $4.7 million, respectively. The increase of $302 thousand was principally volume related, as total average interest-bearing liabilities increased $50.0 million offset by a 3 basis point decrease in the cost of such liabilities.</w:t>
      </w:r>
    </w:p>
    <w:p>
      <w:pPr>
        <w:spacing w:after="0" w:line="12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20"/>
        <w:spacing w:after="0" w:line="264" w:lineRule="auto"/>
        <w:rPr>
          <w:sz w:val="20"/>
          <w:szCs w:val="20"/>
          <w:color w:val="auto"/>
        </w:rPr>
      </w:pPr>
      <w:r>
        <w:rPr>
          <w:rFonts w:ascii="Arial" w:cs="Arial" w:eastAsia="Arial" w:hAnsi="Arial"/>
          <w:sz w:val="18"/>
          <w:szCs w:val="18"/>
          <w:color w:val="auto"/>
        </w:rPr>
        <w:t>The Company’s interest rate spread and net interest margin increased by 94 basis points and 103 basis points, respectively, for the nine months ended March 31, 2013 compared to the nine months ended March 31, 2012. The following sets forth the average balance sheets, interest income and interest expense, and average yields and costs for nine months ended March 31, 2013 and 2012.</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5"/>
          </w:tcPr>
          <w:p>
            <w:pPr>
              <w:jc w:val="right"/>
              <w:ind w:right="480"/>
              <w:spacing w:after="0"/>
              <w:rPr>
                <w:sz w:val="20"/>
                <w:szCs w:val="20"/>
                <w:color w:val="auto"/>
              </w:rPr>
            </w:pPr>
            <w:r>
              <w:rPr>
                <w:rFonts w:ascii="Arial" w:cs="Arial" w:eastAsia="Arial" w:hAnsi="Arial"/>
                <w:sz w:val="14"/>
                <w:szCs w:val="14"/>
                <w:b w:val="1"/>
                <w:bCs w:val="1"/>
                <w:color w:val="auto"/>
              </w:rPr>
              <w:t>Nine Months Ended March 31,</w:t>
            </w: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center"/>
              <w:ind w:right="114"/>
              <w:spacing w:after="0" w:line="142" w:lineRule="exact"/>
              <w:rPr>
                <w:sz w:val="20"/>
                <w:szCs w:val="20"/>
                <w:color w:val="auto"/>
              </w:rPr>
            </w:pPr>
            <w:r>
              <w:rPr>
                <w:rFonts w:ascii="Arial" w:cs="Arial" w:eastAsia="Arial" w:hAnsi="Arial"/>
                <w:sz w:val="14"/>
                <w:szCs w:val="14"/>
                <w:b w:val="1"/>
                <w:bCs w:val="1"/>
                <w:color w:val="auto"/>
                <w:w w:val="96"/>
              </w:rPr>
              <w:t>2013</w:t>
            </w:r>
          </w:p>
        </w:tc>
        <w:tc>
          <w:tcPr>
            <w:tcW w:w="2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center"/>
              <w:ind w:right="74"/>
              <w:spacing w:after="0" w:line="142" w:lineRule="exact"/>
              <w:rPr>
                <w:sz w:val="20"/>
                <w:szCs w:val="20"/>
                <w:color w:val="auto"/>
              </w:rPr>
            </w:pPr>
            <w:r>
              <w:rPr>
                <w:rFonts w:ascii="Arial" w:cs="Arial" w:eastAsia="Arial" w:hAnsi="Arial"/>
                <w:sz w:val="14"/>
                <w:szCs w:val="14"/>
                <w:b w:val="1"/>
                <w:bCs w:val="1"/>
                <w:color w:val="auto"/>
                <w:w w:val="89"/>
              </w:rPr>
              <w:t>2012</w:t>
            </w:r>
          </w:p>
        </w:tc>
        <w:tc>
          <w:tcPr>
            <w:tcW w:w="2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8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Average</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rPr>
              <w:t>Interest</w:t>
            </w:r>
          </w:p>
        </w:tc>
        <w:tc>
          <w:tcPr>
            <w:tcW w:w="10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7"/>
              </w:rPr>
              <w:t>Average</w:t>
            </w: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Average</w:t>
            </w:r>
          </w:p>
        </w:tc>
        <w:tc>
          <w:tcPr>
            <w:tcW w:w="180" w:type="dxa"/>
            <w:vAlign w:val="bottom"/>
          </w:tcPr>
          <w:p>
            <w:pPr>
              <w:spacing w:after="0"/>
              <w:rPr>
                <w:sz w:val="10"/>
                <w:szCs w:val="10"/>
                <w:color w:val="auto"/>
              </w:rPr>
            </w:pPr>
          </w:p>
        </w:tc>
        <w:tc>
          <w:tcPr>
            <w:tcW w:w="1080" w:type="dxa"/>
            <w:vAlign w:val="bottom"/>
            <w:gridSpan w:val="2"/>
          </w:tcPr>
          <w:p>
            <w:pPr>
              <w:jc w:val="center"/>
              <w:ind w:right="420"/>
              <w:spacing w:after="0" w:line="119" w:lineRule="exact"/>
              <w:rPr>
                <w:sz w:val="20"/>
                <w:szCs w:val="20"/>
                <w:color w:val="auto"/>
              </w:rPr>
            </w:pPr>
            <w:r>
              <w:rPr>
                <w:rFonts w:ascii="Arial" w:cs="Arial" w:eastAsia="Arial" w:hAnsi="Arial"/>
                <w:sz w:val="13"/>
                <w:szCs w:val="13"/>
                <w:b w:val="1"/>
                <w:bCs w:val="1"/>
                <w:color w:val="auto"/>
                <w:w w:val="97"/>
              </w:rPr>
              <w:t>Interest</w:t>
            </w:r>
          </w:p>
        </w:tc>
        <w:tc>
          <w:tcPr>
            <w:tcW w:w="10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7"/>
              </w:rPr>
              <w:t>Average</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Income/</w:t>
            </w:r>
          </w:p>
        </w:tc>
        <w:tc>
          <w:tcPr>
            <w:tcW w:w="13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Yield/</w:t>
            </w: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4"/>
              </w:rPr>
              <w:t>Income/</w:t>
            </w:r>
          </w:p>
        </w:tc>
        <w:tc>
          <w:tcPr>
            <w:tcW w:w="11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Yield/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ind w:left="100"/>
              <w:spacing w:after="0"/>
              <w:rPr>
                <w:sz w:val="20"/>
                <w:szCs w:val="20"/>
                <w:color w:val="auto"/>
              </w:rPr>
            </w:pPr>
            <w:r>
              <w:rPr>
                <w:rFonts w:ascii="Arial" w:cs="Arial" w:eastAsia="Arial" w:hAnsi="Arial"/>
                <w:sz w:val="14"/>
                <w:szCs w:val="14"/>
                <w:b w:val="1"/>
                <w:bCs w:val="1"/>
                <w:color w:val="auto"/>
              </w:rPr>
              <w:t>Balance</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Expense</w:t>
            </w:r>
          </w:p>
        </w:tc>
        <w:tc>
          <w:tcPr>
            <w:tcW w:w="13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Rate</w:t>
            </w:r>
          </w:p>
        </w:tc>
        <w:tc>
          <w:tcPr>
            <w:tcW w:w="160" w:type="dxa"/>
            <w:vAlign w:val="bottom"/>
          </w:tcPr>
          <w:p>
            <w:pPr>
              <w:spacing w:after="0"/>
              <w:rPr>
                <w:sz w:val="14"/>
                <w:szCs w:val="14"/>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Balance</w:t>
            </w:r>
          </w:p>
        </w:tc>
        <w:tc>
          <w:tcPr>
            <w:tcW w:w="180" w:type="dxa"/>
            <w:vAlign w:val="bottom"/>
          </w:tcPr>
          <w:p>
            <w:pPr>
              <w:spacing w:after="0"/>
              <w:rPr>
                <w:sz w:val="14"/>
                <w:szCs w:val="14"/>
                <w:color w:val="auto"/>
              </w:rPr>
            </w:pPr>
          </w:p>
        </w:tc>
        <w:tc>
          <w:tcPr>
            <w:tcW w:w="10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6"/>
              </w:rPr>
              <w:t>Expense</w:t>
            </w: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Rate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580" w:type="dxa"/>
            <w:vAlign w:val="bottom"/>
            <w:tcBorders>
              <w:top w:val="single" w:sz="8" w:color="auto"/>
            </w:tcBorders>
            <w:gridSpan w:val="5"/>
          </w:tcPr>
          <w:p>
            <w:pPr>
              <w:jc w:val="right"/>
              <w:ind w:right="740"/>
              <w:spacing w:after="0" w:line="142" w:lineRule="exact"/>
              <w:rPr>
                <w:sz w:val="20"/>
                <w:szCs w:val="20"/>
                <w:color w:val="auto"/>
              </w:rPr>
            </w:pPr>
            <w:r>
              <w:rPr>
                <w:rFonts w:ascii="Arial" w:cs="Arial" w:eastAsia="Arial" w:hAnsi="Arial"/>
                <w:sz w:val="14"/>
                <w:szCs w:val="14"/>
                <w:b w:val="1"/>
                <w:bCs w:val="1"/>
                <w:color w:val="auto"/>
              </w:rPr>
              <w:t>(Dollars in thousands)</w:t>
            </w:r>
          </w:p>
        </w:tc>
        <w:tc>
          <w:tcPr>
            <w:tcW w:w="1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Interest-earning assets:</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Investment securities (1)</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132,835</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929</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0.93%</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139,834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1,602</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160"/>
              <w:spacing w:after="0"/>
              <w:rPr>
                <w:sz w:val="20"/>
                <w:szCs w:val="20"/>
                <w:color w:val="auto"/>
              </w:rPr>
            </w:pPr>
            <w:r>
              <w:rPr>
                <w:rFonts w:ascii="Arial" w:cs="Arial" w:eastAsia="Arial" w:hAnsi="Arial"/>
                <w:sz w:val="18"/>
                <w:szCs w:val="18"/>
                <w:color w:val="auto"/>
              </w:rPr>
              <w:t>Loans (2) (3)</w:t>
            </w:r>
          </w:p>
        </w:tc>
        <w:tc>
          <w:tcPr>
            <w:tcW w:w="1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380,885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25,209</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8.82%</w:t>
            </w:r>
          </w:p>
        </w:tc>
        <w:tc>
          <w:tcPr>
            <w:tcW w:w="1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335,016</w:t>
            </w:r>
          </w:p>
        </w:tc>
        <w:tc>
          <w:tcPr>
            <w:tcW w:w="18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16,881</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Regulatory stock</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5,446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5,740</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160"/>
              <w:spacing w:after="0"/>
              <w:rPr>
                <w:sz w:val="20"/>
                <w:szCs w:val="20"/>
                <w:color w:val="auto"/>
              </w:rPr>
            </w:pPr>
            <w:r>
              <w:rPr>
                <w:rFonts w:ascii="Arial" w:cs="Arial" w:eastAsia="Arial" w:hAnsi="Arial"/>
                <w:sz w:val="18"/>
                <w:szCs w:val="18"/>
                <w:color w:val="auto"/>
              </w:rPr>
              <w:t>Short-term investments (4)</w:t>
            </w:r>
          </w:p>
        </w:tc>
        <w:tc>
          <w:tcPr>
            <w:tcW w:w="1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130,991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241</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0.25%</w:t>
            </w:r>
          </w:p>
        </w:tc>
        <w:tc>
          <w:tcPr>
            <w:tcW w:w="1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71,243</w:t>
            </w:r>
          </w:p>
        </w:tc>
        <w:tc>
          <w:tcPr>
            <w:tcW w:w="18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128</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interest-earning assets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650,157</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26,421</w:t>
            </w:r>
          </w:p>
        </w:tc>
        <w:tc>
          <w:tcPr>
            <w:tcW w:w="2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5.41%</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551,833</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18,659</w:t>
            </w:r>
          </w:p>
        </w:tc>
        <w:tc>
          <w:tcPr>
            <w:tcW w:w="2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Cash and due from banks</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3,094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2,927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Other non-interest earning assets</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37,571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37,143</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90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690,822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591,903</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8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Liabilities &amp; Stockholders’ Equity:</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Interest-bearing liabilities:</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160"/>
              <w:spacing w:after="0"/>
              <w:rPr>
                <w:sz w:val="20"/>
                <w:szCs w:val="20"/>
                <w:color w:val="auto"/>
              </w:rPr>
            </w:pPr>
            <w:r>
              <w:rPr>
                <w:rFonts w:ascii="Arial" w:cs="Arial" w:eastAsia="Arial" w:hAnsi="Arial"/>
                <w:sz w:val="18"/>
                <w:szCs w:val="18"/>
                <w:color w:val="auto"/>
              </w:rPr>
              <w:t>NOW accounts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55,468</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116</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0.28%</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55,080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170</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Money market accounts</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56,739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221</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0.52%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44,613</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130</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160"/>
              <w:spacing w:after="0"/>
              <w:rPr>
                <w:sz w:val="20"/>
                <w:szCs w:val="20"/>
                <w:color w:val="auto"/>
              </w:rPr>
            </w:pPr>
            <w:r>
              <w:rPr>
                <w:rFonts w:ascii="Arial" w:cs="Arial" w:eastAsia="Arial" w:hAnsi="Arial"/>
                <w:sz w:val="18"/>
                <w:szCs w:val="18"/>
                <w:color w:val="auto"/>
              </w:rPr>
              <w:t>Savings accounts</w:t>
            </w:r>
          </w:p>
        </w:tc>
        <w:tc>
          <w:tcPr>
            <w:tcW w:w="1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31,631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0.13%</w:t>
            </w:r>
          </w:p>
        </w:tc>
        <w:tc>
          <w:tcPr>
            <w:tcW w:w="1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32,907</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56</w:t>
            </w:r>
          </w:p>
        </w:tc>
        <w:tc>
          <w:tcPr>
            <w:tcW w:w="24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Time deposits</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283,287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2,721</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221,127</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2,192</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Pr>
          <w:p>
            <w:pPr>
              <w:ind w:left="160"/>
              <w:spacing w:after="0"/>
              <w:rPr>
                <w:sz w:val="20"/>
                <w:szCs w:val="20"/>
                <w:color w:val="auto"/>
              </w:rPr>
            </w:pPr>
            <w:r>
              <w:rPr>
                <w:rFonts w:ascii="Arial" w:cs="Arial" w:eastAsia="Arial" w:hAnsi="Arial"/>
                <w:sz w:val="18"/>
                <w:szCs w:val="18"/>
                <w:color w:val="auto"/>
              </w:rPr>
              <w:t>Total interest-bearing deposits</w:t>
            </w: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427,125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3,090</w:t>
            </w:r>
          </w:p>
        </w:tc>
        <w:tc>
          <w:tcPr>
            <w:tcW w:w="22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0.96%</w:t>
            </w: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353,727</w:t>
            </w: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2,548</w:t>
            </w:r>
          </w:p>
        </w:tc>
        <w:tc>
          <w:tcPr>
            <w:tcW w:w="24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0.96%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Short-term borrowings</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1,397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1,030</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160"/>
              <w:spacing w:after="0"/>
              <w:rPr>
                <w:sz w:val="20"/>
                <w:szCs w:val="20"/>
                <w:color w:val="auto"/>
              </w:rPr>
            </w:pPr>
            <w:r>
              <w:rPr>
                <w:rFonts w:ascii="Arial" w:cs="Arial" w:eastAsia="Arial" w:hAnsi="Arial"/>
                <w:sz w:val="18"/>
                <w:szCs w:val="18"/>
                <w:color w:val="auto"/>
              </w:rPr>
              <w:t>Borrowed funds</w:t>
            </w:r>
          </w:p>
        </w:tc>
        <w:tc>
          <w:tcPr>
            <w:tcW w:w="1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81,183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1,334</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2.19%</w:t>
            </w:r>
          </w:p>
        </w:tc>
        <w:tc>
          <w:tcPr>
            <w:tcW w:w="1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113,109</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1,592</w:t>
            </w:r>
          </w:p>
        </w:tc>
        <w:tc>
          <w:tcPr>
            <w:tcW w:w="24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Junior subordinated debentures</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8,164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574</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9.37%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8,009</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556</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interest-bearing liabilities</w:t>
            </w:r>
          </w:p>
        </w:tc>
        <w:tc>
          <w:tcPr>
            <w:tcW w:w="1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517,869</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5,013</w:t>
            </w:r>
          </w:p>
        </w:tc>
        <w:tc>
          <w:tcPr>
            <w:tcW w:w="220" w:type="dxa"/>
            <w:vAlign w:val="bottom"/>
            <w:tcBorders>
              <w:bottom w:val="single" w:sz="8" w:color="CCEEFF"/>
            </w:tcBorders>
          </w:tcPr>
          <w:p>
            <w:pPr>
              <w:spacing w:after="0"/>
              <w:rPr>
                <w:sz w:val="18"/>
                <w:szCs w:val="18"/>
                <w:color w:val="auto"/>
              </w:rPr>
            </w:pPr>
          </w:p>
        </w:tc>
        <w:tc>
          <w:tcPr>
            <w:tcW w:w="1360" w:type="dxa"/>
            <w:vAlign w:val="bottom"/>
            <w:tcBorders>
              <w:bottom w:val="single" w:sz="8" w:color="CCEEFF"/>
            </w:tcBorders>
            <w:gridSpan w:val="2"/>
          </w:tcPr>
          <w:p>
            <w:pPr>
              <w:jc w:val="right"/>
              <w:ind w:right="200"/>
              <w:spacing w:after="0"/>
              <w:rPr>
                <w:sz w:val="20"/>
                <w:szCs w:val="20"/>
                <w:color w:val="auto"/>
              </w:rPr>
            </w:pPr>
            <w:r>
              <w:rPr>
                <w:rFonts w:ascii="Arial" w:cs="Arial" w:eastAsia="Arial" w:hAnsi="Arial"/>
                <w:sz w:val="18"/>
                <w:szCs w:val="18"/>
                <w:color w:val="auto"/>
              </w:rPr>
              <w:t>1.29%</w:t>
            </w:r>
          </w:p>
        </w:tc>
        <w:tc>
          <w:tcPr>
            <w:tcW w:w="16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475,875</w:t>
            </w:r>
          </w:p>
        </w:tc>
        <w:tc>
          <w:tcPr>
            <w:tcW w:w="2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4,711</w:t>
            </w:r>
          </w:p>
        </w:tc>
        <w:tc>
          <w:tcPr>
            <w:tcW w:w="24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880" w:type="dxa"/>
            <w:vAlign w:val="bottom"/>
          </w:tcPr>
          <w:p>
            <w:pPr>
              <w:spacing w:after="0" w:line="201" w:lineRule="exact"/>
              <w:rPr>
                <w:sz w:val="20"/>
                <w:szCs w:val="20"/>
                <w:color w:val="auto"/>
              </w:rPr>
            </w:pPr>
            <w:r>
              <w:rPr>
                <w:rFonts w:ascii="Arial" w:cs="Arial" w:eastAsia="Arial" w:hAnsi="Arial"/>
                <w:sz w:val="18"/>
                <w:szCs w:val="18"/>
                <w:color w:val="auto"/>
              </w:rPr>
              <w:t>Interest-bearing liabilities of discontinued</w:t>
            </w: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80" w:type="dxa"/>
            <w:vAlign w:val="bottom"/>
          </w:tcPr>
          <w:p>
            <w:pPr>
              <w:ind w:left="160"/>
              <w:spacing w:after="0"/>
              <w:rPr>
                <w:sz w:val="20"/>
                <w:szCs w:val="20"/>
                <w:color w:val="auto"/>
              </w:rPr>
            </w:pPr>
            <w:r>
              <w:rPr>
                <w:rFonts w:ascii="Arial" w:cs="Arial" w:eastAsia="Arial" w:hAnsi="Arial"/>
                <w:sz w:val="18"/>
                <w:szCs w:val="18"/>
                <w:color w:val="auto"/>
              </w:rPr>
              <w:t>operations (5)</w:t>
            </w:r>
          </w:p>
        </w:tc>
        <w:tc>
          <w:tcPr>
            <w:tcW w:w="18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380</w:t>
            </w: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8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ectPr>
          <w:pgSz w:w="11900" w:h="16900" w:orient="portrait"/>
          <w:cols w:equalWidth="0" w:num="1">
            <w:col w:w="11460"/>
          </w:cols>
          <w:pgMar w:left="240" w:top="140" w:right="199" w:bottom="0" w:gutter="0" w:footer="0" w:header="0"/>
        </w:sectPr>
      </w:pPr>
    </w:p>
    <w:bookmarkStart w:id="33" w:name="page34"/>
    <w:bookmarkEnd w:id="3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Non-interest bearing liabilities:</w:t>
            </w: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Demand deposits and escrow accounts</w:t>
            </w:r>
          </w:p>
        </w:tc>
        <w:tc>
          <w:tcPr>
            <w:tcW w:w="280" w:type="dxa"/>
            <w:vAlign w:val="bottom"/>
            <w:shd w:val="clear" w:color="auto" w:fill="CCEEFF"/>
          </w:tcPr>
          <w:p>
            <w:pPr>
              <w:spacing w:after="0"/>
              <w:rPr>
                <w:sz w:val="18"/>
                <w:szCs w:val="18"/>
                <w:color w:val="auto"/>
              </w:rPr>
            </w:pPr>
          </w:p>
        </w:tc>
        <w:tc>
          <w:tcPr>
            <w:tcW w:w="3600" w:type="dxa"/>
            <w:vAlign w:val="bottom"/>
            <w:gridSpan w:val="2"/>
            <w:shd w:val="clear" w:color="auto" w:fill="CCEEFF"/>
          </w:tcPr>
          <w:p>
            <w:pPr>
              <w:jc w:val="right"/>
              <w:ind w:right="2840"/>
              <w:spacing w:after="0"/>
              <w:rPr>
                <w:sz w:val="20"/>
                <w:szCs w:val="20"/>
                <w:color w:val="auto"/>
              </w:rPr>
            </w:pPr>
            <w:r>
              <w:rPr>
                <w:rFonts w:ascii="Arial" w:cs="Arial" w:eastAsia="Arial" w:hAnsi="Arial"/>
                <w:sz w:val="18"/>
                <w:szCs w:val="18"/>
                <w:color w:val="auto"/>
              </w:rPr>
              <w:t>50,192</w:t>
            </w:r>
          </w:p>
        </w:tc>
        <w:tc>
          <w:tcPr>
            <w:tcW w:w="260" w:type="dxa"/>
            <w:vAlign w:val="bottom"/>
            <w:shd w:val="clear" w:color="auto" w:fill="CCEEFF"/>
          </w:tcPr>
          <w:p>
            <w:pPr>
              <w:spacing w:after="0"/>
              <w:rPr>
                <w:sz w:val="18"/>
                <w:szCs w:val="18"/>
                <w:color w:val="auto"/>
              </w:rPr>
            </w:pPr>
          </w:p>
        </w:tc>
        <w:tc>
          <w:tcPr>
            <w:tcW w:w="3380" w:type="dxa"/>
            <w:vAlign w:val="bottom"/>
            <w:gridSpan w:val="2"/>
            <w:shd w:val="clear" w:color="auto" w:fill="CCEEFF"/>
          </w:tcPr>
          <w:p>
            <w:pPr>
              <w:jc w:val="right"/>
              <w:ind w:right="2640"/>
              <w:spacing w:after="0"/>
              <w:rPr>
                <w:sz w:val="20"/>
                <w:szCs w:val="20"/>
                <w:color w:val="auto"/>
              </w:rPr>
            </w:pPr>
            <w:r>
              <w:rPr>
                <w:rFonts w:ascii="Arial" w:cs="Arial" w:eastAsia="Arial" w:hAnsi="Arial"/>
                <w:sz w:val="18"/>
                <w:szCs w:val="18"/>
                <w:color w:val="auto"/>
              </w:rPr>
              <w:t>45,771</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Other liabilities</w:t>
            </w:r>
          </w:p>
        </w:tc>
        <w:tc>
          <w:tcPr>
            <w:tcW w:w="280" w:type="dxa"/>
            <w:vAlign w:val="bottom"/>
          </w:tcPr>
          <w:p>
            <w:pPr>
              <w:spacing w:after="0"/>
              <w:rPr>
                <w:sz w:val="18"/>
                <w:szCs w:val="18"/>
                <w:color w:val="auto"/>
              </w:rPr>
            </w:pPr>
          </w:p>
        </w:tc>
        <w:tc>
          <w:tcPr>
            <w:tcW w:w="3600" w:type="dxa"/>
            <w:vAlign w:val="bottom"/>
            <w:gridSpan w:val="2"/>
          </w:tcPr>
          <w:p>
            <w:pPr>
              <w:jc w:val="right"/>
              <w:ind w:right="2840"/>
              <w:spacing w:after="0"/>
              <w:rPr>
                <w:sz w:val="20"/>
                <w:szCs w:val="20"/>
                <w:color w:val="auto"/>
              </w:rPr>
            </w:pPr>
            <w:r>
              <w:rPr>
                <w:rFonts w:ascii="Arial" w:cs="Arial" w:eastAsia="Arial" w:hAnsi="Arial"/>
                <w:sz w:val="18"/>
                <w:szCs w:val="18"/>
                <w:color w:val="auto"/>
              </w:rPr>
              <w:t>5,636</w:t>
            </w:r>
          </w:p>
        </w:tc>
        <w:tc>
          <w:tcPr>
            <w:tcW w:w="260" w:type="dxa"/>
            <w:vAlign w:val="bottom"/>
          </w:tcPr>
          <w:p>
            <w:pPr>
              <w:spacing w:after="0"/>
              <w:rPr>
                <w:sz w:val="18"/>
                <w:szCs w:val="18"/>
                <w:color w:val="auto"/>
              </w:rPr>
            </w:pPr>
          </w:p>
        </w:tc>
        <w:tc>
          <w:tcPr>
            <w:tcW w:w="3380" w:type="dxa"/>
            <w:vAlign w:val="bottom"/>
            <w:gridSpan w:val="2"/>
          </w:tcPr>
          <w:p>
            <w:pPr>
              <w:jc w:val="right"/>
              <w:ind w:right="2640"/>
              <w:spacing w:after="0"/>
              <w:rPr>
                <w:sz w:val="20"/>
                <w:szCs w:val="20"/>
                <w:color w:val="auto"/>
              </w:rPr>
            </w:pPr>
            <w:r>
              <w:rPr>
                <w:rFonts w:ascii="Arial" w:cs="Arial" w:eastAsia="Arial" w:hAnsi="Arial"/>
                <w:sz w:val="18"/>
                <w:szCs w:val="18"/>
                <w:color w:val="auto"/>
              </w:rPr>
              <w:t>4,267</w:t>
            </w:r>
          </w:p>
        </w:tc>
      </w:tr>
      <w:tr>
        <w:trPr>
          <w:trHeight w:val="210"/>
        </w:trPr>
        <w:tc>
          <w:tcPr>
            <w:tcW w:w="3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573,697</w:t>
            </w:r>
          </w:p>
        </w:tc>
        <w:tc>
          <w:tcPr>
            <w:tcW w:w="28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526,293</w:t>
            </w:r>
          </w:p>
        </w:tc>
        <w:tc>
          <w:tcPr>
            <w:tcW w:w="2640" w:type="dxa"/>
            <w:vAlign w:val="bottom"/>
            <w:tcBorders>
              <w:top w:val="single" w:sz="8" w:color="CCEEFF"/>
            </w:tcBorders>
            <w:shd w:val="clear" w:color="auto" w:fill="CCEEFF"/>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Stockholders’ equity</w:t>
            </w:r>
          </w:p>
        </w:tc>
        <w:tc>
          <w:tcPr>
            <w:tcW w:w="280" w:type="dxa"/>
            <w:vAlign w:val="bottom"/>
          </w:tcPr>
          <w:p>
            <w:pPr>
              <w:spacing w:after="0"/>
              <w:rPr>
                <w:sz w:val="18"/>
                <w:szCs w:val="18"/>
                <w:color w:val="auto"/>
              </w:rPr>
            </w:pPr>
          </w:p>
        </w:tc>
        <w:tc>
          <w:tcPr>
            <w:tcW w:w="3600" w:type="dxa"/>
            <w:vAlign w:val="bottom"/>
            <w:gridSpan w:val="2"/>
          </w:tcPr>
          <w:p>
            <w:pPr>
              <w:jc w:val="right"/>
              <w:ind w:right="2840"/>
              <w:spacing w:after="0"/>
              <w:rPr>
                <w:sz w:val="20"/>
                <w:szCs w:val="20"/>
                <w:color w:val="auto"/>
              </w:rPr>
            </w:pPr>
            <w:r>
              <w:rPr>
                <w:rFonts w:ascii="Arial" w:cs="Arial" w:eastAsia="Arial" w:hAnsi="Arial"/>
                <w:sz w:val="18"/>
                <w:szCs w:val="18"/>
                <w:color w:val="auto"/>
              </w:rPr>
              <w:t>117,125</w:t>
            </w:r>
          </w:p>
        </w:tc>
        <w:tc>
          <w:tcPr>
            <w:tcW w:w="260" w:type="dxa"/>
            <w:vAlign w:val="bottom"/>
          </w:tcPr>
          <w:p>
            <w:pPr>
              <w:spacing w:after="0"/>
              <w:rPr>
                <w:sz w:val="18"/>
                <w:szCs w:val="18"/>
                <w:color w:val="auto"/>
              </w:rPr>
            </w:pPr>
          </w:p>
        </w:tc>
        <w:tc>
          <w:tcPr>
            <w:tcW w:w="3380" w:type="dxa"/>
            <w:vAlign w:val="bottom"/>
            <w:gridSpan w:val="2"/>
          </w:tcPr>
          <w:p>
            <w:pPr>
              <w:jc w:val="right"/>
              <w:ind w:right="2640"/>
              <w:spacing w:after="0"/>
              <w:rPr>
                <w:sz w:val="20"/>
                <w:szCs w:val="20"/>
                <w:color w:val="auto"/>
              </w:rPr>
            </w:pPr>
            <w:r>
              <w:rPr>
                <w:rFonts w:ascii="Arial" w:cs="Arial" w:eastAsia="Arial" w:hAnsi="Arial"/>
                <w:sz w:val="18"/>
                <w:szCs w:val="18"/>
                <w:color w:val="auto"/>
              </w:rPr>
              <w:t>65,610</w:t>
            </w:r>
          </w:p>
        </w:tc>
      </w:tr>
      <w:tr>
        <w:trPr>
          <w:trHeight w:val="210"/>
        </w:trPr>
        <w:tc>
          <w:tcPr>
            <w:tcW w:w="3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690,822</w:t>
            </w:r>
          </w:p>
        </w:tc>
        <w:tc>
          <w:tcPr>
            <w:tcW w:w="28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591,903</w:t>
            </w:r>
          </w:p>
        </w:tc>
        <w:tc>
          <w:tcPr>
            <w:tcW w:w="264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interest income</w:t>
            </w:r>
          </w:p>
        </w:tc>
        <w:tc>
          <w:tcPr>
            <w:tcW w:w="2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520" w:type="dxa"/>
            <w:vAlign w:val="bottom"/>
            <w:gridSpan w:val="2"/>
            <w:shd w:val="clear" w:color="auto" w:fill="CCEEFF"/>
          </w:tcPr>
          <w:p>
            <w:pPr>
              <w:jc w:val="right"/>
              <w:ind w:right="2800"/>
              <w:spacing w:after="0"/>
              <w:rPr>
                <w:sz w:val="20"/>
                <w:szCs w:val="20"/>
                <w:color w:val="auto"/>
              </w:rPr>
            </w:pPr>
            <w:r>
              <w:rPr>
                <w:rFonts w:ascii="Arial" w:cs="Arial" w:eastAsia="Arial" w:hAnsi="Arial"/>
                <w:sz w:val="18"/>
                <w:szCs w:val="18"/>
                <w:color w:val="auto"/>
              </w:rPr>
              <w:t>21,408</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2120" w:type="dxa"/>
            <w:vAlign w:val="bottom"/>
            <w:gridSpan w:val="2"/>
            <w:shd w:val="clear" w:color="auto" w:fill="CCEEFF"/>
          </w:tcPr>
          <w:p>
            <w:pPr>
              <w:jc w:val="right"/>
              <w:ind w:right="1400"/>
              <w:spacing w:after="0"/>
              <w:rPr>
                <w:sz w:val="20"/>
                <w:szCs w:val="20"/>
                <w:color w:val="auto"/>
              </w:rPr>
            </w:pPr>
            <w:r>
              <w:rPr>
                <w:rFonts w:ascii="Arial" w:cs="Arial" w:eastAsia="Arial" w:hAnsi="Arial"/>
                <w:sz w:val="18"/>
                <w:szCs w:val="18"/>
                <w:color w:val="auto"/>
              </w:rPr>
              <w:t>13,948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3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spread</w:t>
            </w:r>
          </w:p>
        </w:tc>
        <w:tc>
          <w:tcPr>
            <w:tcW w:w="1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520" w:type="dxa"/>
            <w:vAlign w:val="bottom"/>
            <w:gridSpan w:val="2"/>
            <w:shd w:val="clear" w:color="auto" w:fill="CCEEFF"/>
          </w:tcPr>
          <w:p>
            <w:pPr>
              <w:jc w:val="right"/>
              <w:ind w:right="1420"/>
              <w:spacing w:after="0"/>
              <w:rPr>
                <w:sz w:val="20"/>
                <w:szCs w:val="20"/>
                <w:color w:val="auto"/>
              </w:rPr>
            </w:pPr>
            <w:r>
              <w:rPr>
                <w:rFonts w:ascii="Arial" w:cs="Arial" w:eastAsia="Arial" w:hAnsi="Arial"/>
                <w:sz w:val="18"/>
                <w:szCs w:val="18"/>
                <w:color w:val="auto"/>
              </w:rPr>
              <w:t>4.12%</w:t>
            </w:r>
          </w:p>
        </w:tc>
        <w:tc>
          <w:tcPr>
            <w:tcW w:w="30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Net interest margin (6)</w:t>
            </w:r>
          </w:p>
        </w:tc>
        <w:tc>
          <w:tcPr>
            <w:tcW w:w="1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520" w:type="dxa"/>
            <w:vAlign w:val="bottom"/>
            <w:gridSpan w:val="2"/>
          </w:tcPr>
          <w:p>
            <w:pPr>
              <w:jc w:val="right"/>
              <w:ind w:right="1420"/>
              <w:spacing w:after="0"/>
              <w:rPr>
                <w:sz w:val="20"/>
                <w:szCs w:val="20"/>
                <w:color w:val="auto"/>
              </w:rPr>
            </w:pPr>
            <w:r>
              <w:rPr>
                <w:rFonts w:ascii="Arial" w:cs="Arial" w:eastAsia="Arial" w:hAnsi="Arial"/>
                <w:sz w:val="18"/>
                <w:szCs w:val="18"/>
                <w:color w:val="auto"/>
              </w:rPr>
              <w:t>4.39%</w:t>
            </w:r>
          </w:p>
        </w:tc>
        <w:tc>
          <w:tcPr>
            <w:tcW w:w="300" w:type="dxa"/>
            <w:vAlign w:val="bottom"/>
          </w:tcPr>
          <w:p>
            <w:pPr>
              <w:spacing w:after="0"/>
              <w:rPr>
                <w:sz w:val="20"/>
                <w:szCs w:val="20"/>
                <w:color w:val="auto"/>
              </w:rPr>
            </w:pPr>
          </w:p>
        </w:tc>
        <w:tc>
          <w:tcPr>
            <w:tcW w:w="2120" w:type="dxa"/>
            <w:vAlign w:val="bottom"/>
            <w:gridSpan w:val="2"/>
          </w:tcPr>
          <w:p>
            <w:pPr>
              <w:jc w:val="right"/>
              <w:ind w:right="20"/>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82689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7"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Interest income and yield are stated on a fully tax-equivalent basis using a 34% tax rate.</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loans held for sale.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Nonaccrual loans are included in the computation of average, but unpaid interest has not been included for purposes of determining interest income.</w:t>
      </w:r>
    </w:p>
    <w:p>
      <w:pPr>
        <w:spacing w:after="0" w:line="32" w:lineRule="exact"/>
        <w:rPr>
          <w:rFonts w:ascii="Arial" w:cs="Arial" w:eastAsia="Arial" w:hAnsi="Arial"/>
          <w:sz w:val="16"/>
          <w:szCs w:val="16"/>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Short term investments include FHLB overnight deposits and other interest-bearing deposits.</w:t>
      </w:r>
    </w:p>
    <w:p>
      <w:pPr>
        <w:spacing w:after="0" w:line="9" w:lineRule="exact"/>
        <w:rPr>
          <w:rFonts w:ascii="Arial" w:cs="Arial" w:eastAsia="Arial" w:hAnsi="Arial"/>
          <w:sz w:val="18"/>
          <w:szCs w:val="18"/>
          <w:color w:val="auto"/>
        </w:rPr>
      </w:pPr>
    </w:p>
    <w:p>
      <w:pPr>
        <w:ind w:left="340" w:right="20" w:hanging="332"/>
        <w:spacing w:after="0" w:line="250" w:lineRule="auto"/>
        <w:tabs>
          <w:tab w:leader="none" w:pos="347"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effect of interest-bearing liabilities associated with discontinued operations has been excluded from the calculation of average rates paid, interest rate spread, and net interest margin.</w:t>
      </w: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Net interest margin is calculated as net interest income divided by total interest-earning assets.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following table presents the extent to which changes in volume and interest rates of interest earning assets and interest bearing liabilities have affected the Company’s interest income and interest expense during the periods indicated. Information is provided in each category with respect to (i) changes attributable to changes in volume (changes in volume multiplied by prior period rate), (ii) changes attributable to changes in rates (changes in rates multiplied by prior period volume) and (iii) changes attributable to a combination of changes in rate and volume (change in rates multiplied by the changes in volume). Changes attributable to the combined impact of volume and rate have been allocated proportionately to the changes due to volume and the changes due to rate.</w:t>
      </w:r>
    </w:p>
    <w:p>
      <w:pPr>
        <w:spacing w:after="0" w:line="137"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340" w:type="dxa"/>
            <w:vAlign w:val="bottom"/>
            <w:gridSpan w:val="7"/>
          </w:tcPr>
          <w:p>
            <w:pPr>
              <w:jc w:val="center"/>
              <w:ind w:left="915"/>
              <w:spacing w:after="0"/>
              <w:rPr>
                <w:sz w:val="20"/>
                <w:szCs w:val="20"/>
                <w:color w:val="auto"/>
              </w:rPr>
            </w:pPr>
            <w:r>
              <w:rPr>
                <w:rFonts w:ascii="Arial" w:cs="Arial" w:eastAsia="Arial" w:hAnsi="Arial"/>
                <w:sz w:val="14"/>
                <w:szCs w:val="14"/>
                <w:b w:val="1"/>
                <w:bCs w:val="1"/>
                <w:color w:val="auto"/>
                <w:w w:val="94"/>
              </w:rPr>
              <w:t>Nine Months Ended March 31, 2013</w:t>
            </w: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500" w:type="dxa"/>
            <w:vAlign w:val="bottom"/>
            <w:tcBorders>
              <w:bottom w:val="single" w:sz="8" w:color="auto"/>
            </w:tcBorders>
            <w:gridSpan w:val="8"/>
          </w:tcPr>
          <w:p>
            <w:pPr>
              <w:jc w:val="center"/>
              <w:ind w:right="51"/>
              <w:spacing w:after="0"/>
              <w:rPr>
                <w:sz w:val="20"/>
                <w:szCs w:val="20"/>
                <w:color w:val="auto"/>
              </w:rPr>
            </w:pPr>
            <w:r>
              <w:rPr>
                <w:rFonts w:ascii="Arial" w:cs="Arial" w:eastAsia="Arial" w:hAnsi="Arial"/>
                <w:sz w:val="14"/>
                <w:szCs w:val="14"/>
                <w:b w:val="1"/>
                <w:bCs w:val="1"/>
                <w:color w:val="auto"/>
                <w:w w:val="93"/>
              </w:rPr>
              <w:t>Compared to the Nine Months Ended March 31, 2012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00" w:type="dxa"/>
            <w:vAlign w:val="bottom"/>
            <w:gridSpan w:val="2"/>
          </w:tcPr>
          <w:p>
            <w:pPr>
              <w:jc w:val="right"/>
              <w:ind w:right="520"/>
              <w:spacing w:after="0" w:line="119" w:lineRule="exact"/>
              <w:rPr>
                <w:sz w:val="20"/>
                <w:szCs w:val="20"/>
                <w:color w:val="auto"/>
              </w:rPr>
            </w:pPr>
            <w:r>
              <w:rPr>
                <w:rFonts w:ascii="Arial" w:cs="Arial" w:eastAsia="Arial" w:hAnsi="Arial"/>
                <w:sz w:val="13"/>
                <w:szCs w:val="13"/>
                <w:b w:val="1"/>
                <w:bCs w:val="1"/>
                <w:color w:val="auto"/>
              </w:rPr>
              <w:t>Change Due to</w:t>
            </w:r>
          </w:p>
        </w:tc>
        <w:tc>
          <w:tcPr>
            <w:tcW w:w="160" w:type="dxa"/>
            <w:vAlign w:val="bottom"/>
          </w:tcPr>
          <w:p>
            <w:pPr>
              <w:spacing w:after="0"/>
              <w:rPr>
                <w:sz w:val="10"/>
                <w:szCs w:val="10"/>
                <w:color w:val="auto"/>
              </w:rPr>
            </w:pPr>
          </w:p>
        </w:tc>
        <w:tc>
          <w:tcPr>
            <w:tcW w:w="138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rPr>
              <w:t>Change Due to</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8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9"/>
              </w:rPr>
              <w:t>Total Change</w:t>
            </w:r>
          </w:p>
        </w:tc>
        <w:tc>
          <w:tcPr>
            <w:tcW w:w="0" w:type="dxa"/>
            <w:vAlign w:val="bottom"/>
          </w:tcPr>
          <w:p>
            <w:pPr>
              <w:spacing w:after="0"/>
              <w:rPr>
                <w:sz w:val="1"/>
                <w:szCs w:val="1"/>
                <w:color w:val="auto"/>
              </w:rPr>
            </w:pPr>
          </w:p>
        </w:tc>
      </w:tr>
      <w:tr>
        <w:trPr>
          <w:trHeight w:val="171"/>
        </w:trPr>
        <w:tc>
          <w:tcPr>
            <w:tcW w:w="5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Volume</w:t>
            </w:r>
          </w:p>
        </w:tc>
        <w:tc>
          <w:tcPr>
            <w:tcW w:w="160" w:type="dxa"/>
            <w:vAlign w:val="bottom"/>
          </w:tcPr>
          <w:p>
            <w:pPr>
              <w:spacing w:after="0"/>
              <w:rPr>
                <w:sz w:val="14"/>
                <w:szCs w:val="14"/>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Rate</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8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gridSpan w:val="3"/>
          </w:tcPr>
          <w:p>
            <w:pPr>
              <w:jc w:val="center"/>
              <w:ind w:right="18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1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Interest earning assets:</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180"/>
              <w:spacing w:after="0"/>
              <w:rPr>
                <w:sz w:val="20"/>
                <w:szCs w:val="20"/>
                <w:color w:val="auto"/>
              </w:rPr>
            </w:pPr>
            <w:r>
              <w:rPr>
                <w:rFonts w:ascii="Arial" w:cs="Arial" w:eastAsia="Arial" w:hAnsi="Arial"/>
                <w:sz w:val="18"/>
                <w:szCs w:val="18"/>
                <w:color w:val="auto"/>
              </w:rPr>
              <w:t>Investments securities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(77)</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(596)</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Loans</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2,529</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8,328</w:t>
            </w:r>
          </w:p>
        </w:tc>
        <w:tc>
          <w:tcPr>
            <w:tcW w:w="0" w:type="dxa"/>
            <w:vAlign w:val="bottom"/>
          </w:tcPr>
          <w:p>
            <w:pPr>
              <w:spacing w:after="0"/>
              <w:rPr>
                <w:sz w:val="1"/>
                <w:szCs w:val="1"/>
                <w:color w:val="auto"/>
              </w:rPr>
            </w:pPr>
          </w:p>
        </w:tc>
      </w:tr>
      <w:tr>
        <w:trPr>
          <w:trHeight w:val="216"/>
        </w:trPr>
        <w:tc>
          <w:tcPr>
            <w:tcW w:w="5860" w:type="dxa"/>
            <w:vAlign w:val="bottom"/>
          </w:tcPr>
          <w:p>
            <w:pPr>
              <w:ind w:left="180"/>
              <w:spacing w:after="0"/>
              <w:rPr>
                <w:sz w:val="20"/>
                <w:szCs w:val="20"/>
                <w:color w:val="auto"/>
              </w:rPr>
            </w:pPr>
            <w:r>
              <w:rPr>
                <w:rFonts w:ascii="Arial" w:cs="Arial" w:eastAsia="Arial" w:hAnsi="Arial"/>
                <w:sz w:val="18"/>
                <w:szCs w:val="18"/>
                <w:color w:val="auto"/>
              </w:rPr>
              <w:t>Regulatory stock</w:t>
            </w:r>
          </w:p>
        </w:tc>
        <w:tc>
          <w:tcPr>
            <w:tcW w:w="16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Short-term investments</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110</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0"/>
        </w:trPr>
        <w:tc>
          <w:tcPr>
            <w:tcW w:w="58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increase in interest income</w:t>
            </w:r>
          </w:p>
        </w:tc>
        <w:tc>
          <w:tcPr>
            <w:tcW w:w="1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2,560</w:t>
            </w:r>
          </w:p>
        </w:tc>
        <w:tc>
          <w:tcPr>
            <w:tcW w:w="2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5,202</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7,762</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8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Interest bearing liabilities:</w:t>
            </w: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180"/>
              <w:spacing w:after="0"/>
              <w:rPr>
                <w:sz w:val="20"/>
                <w:szCs w:val="20"/>
                <w:color w:val="auto"/>
              </w:rPr>
            </w:pPr>
            <w:r>
              <w:rPr>
                <w:rFonts w:ascii="Arial" w:cs="Arial" w:eastAsia="Arial" w:hAnsi="Arial"/>
                <w:sz w:val="18"/>
                <w:szCs w:val="18"/>
                <w:color w:val="auto"/>
              </w:rPr>
              <w:t>Interest bearing deposits</w:t>
            </w:r>
          </w:p>
        </w:tc>
        <w:tc>
          <w:tcPr>
            <w:tcW w:w="16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645</w:t>
            </w:r>
          </w:p>
        </w:tc>
        <w:tc>
          <w:tcPr>
            <w:tcW w:w="1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Short-term borrowings</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5860" w:type="dxa"/>
            <w:vAlign w:val="bottom"/>
          </w:tcPr>
          <w:p>
            <w:pPr>
              <w:ind w:left="180"/>
              <w:spacing w:after="0"/>
              <w:rPr>
                <w:sz w:val="20"/>
                <w:szCs w:val="20"/>
                <w:color w:val="auto"/>
              </w:rPr>
            </w:pPr>
            <w:r>
              <w:rPr>
                <w:rFonts w:ascii="Arial" w:cs="Arial" w:eastAsia="Arial" w:hAnsi="Arial"/>
                <w:sz w:val="18"/>
                <w:szCs w:val="18"/>
                <w:color w:val="auto"/>
              </w:rPr>
              <w:t>Borrowed funds</w:t>
            </w:r>
          </w:p>
        </w:tc>
        <w:tc>
          <w:tcPr>
            <w:tcW w:w="16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(498)</w:t>
            </w:r>
          </w:p>
        </w:tc>
        <w:tc>
          <w:tcPr>
            <w:tcW w:w="16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Junior subordinated debentures</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increase in interest expense</w:t>
            </w:r>
          </w:p>
        </w:tc>
        <w:tc>
          <w:tcPr>
            <w:tcW w:w="1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2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increase in net interest and dividend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2,399</w:t>
            </w:r>
          </w:p>
        </w:tc>
        <w:tc>
          <w:tcPr>
            <w:tcW w:w="2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5,061</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7,460</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Loan Losses</w:t>
      </w:r>
    </w:p>
    <w:p>
      <w:pPr>
        <w:spacing w:after="0" w:line="225" w:lineRule="exact"/>
        <w:rPr>
          <w:sz w:val="20"/>
          <w:szCs w:val="20"/>
          <w:color w:val="auto"/>
        </w:rPr>
      </w:pPr>
    </w:p>
    <w:p>
      <w:pPr>
        <w:ind w:right="380"/>
        <w:spacing w:after="0" w:line="255" w:lineRule="auto"/>
        <w:rPr>
          <w:sz w:val="20"/>
          <w:szCs w:val="20"/>
          <w:color w:val="auto"/>
        </w:rPr>
      </w:pPr>
      <w:r>
        <w:rPr>
          <w:rFonts w:ascii="Arial" w:cs="Arial" w:eastAsia="Arial" w:hAnsi="Arial"/>
          <w:sz w:val="18"/>
          <w:szCs w:val="18"/>
          <w:color w:val="auto"/>
        </w:rPr>
        <w:t>Quarterly, the Company determines the amount of the allowance for loan losses that is adequate to provide for losses inherent in the Company’s loan portfolios, with the provision for loan losses determined by the net change in the allowance for loan losses. For loans acquired with deteriorated credit quality, a provision for loan losses is recorded when estimates of future cash flows are lower than had been previously expected (i.e., there are reduced expected cash flows as a result of credit deterioration or higher net charge-offs than had been previously expected, requiring additional provision for loan losses). See Part I. Item I. “Notes to Unaudited Consolidated Financial Statements — Note 4: Loans, Allowance for Loan losses and Credit Quality” for further discussion.</w:t>
      </w:r>
    </w:p>
    <w:p>
      <w:pPr>
        <w:spacing w:after="0" w:line="19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provision for loan losses for periods subsequent to the merger reflects the impact of adjusting loans to their then fair values, as well as the elimination of the allowance for loan losses in accordance with the acquisition method of accounting. Subsequent to the merger, the provision for loan losses has been recorded based on estimates of inherent losses in newly originated loans and for incremental reserves required for pre-merger loans based on estimates of deteriorated credit quality post-merger.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March 31, 2013 and 2012</w:t>
      </w:r>
    </w:p>
    <w:p>
      <w:pPr>
        <w:spacing w:after="0" w:line="225"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The provision for loan losses for the three months ended March 31, 2013 and 2012 was $346 thousand and $100 thousand, respectively. The $246 thousand increase was principally due to higher net charge-offs and specific provisions required on impaired residential loans during the quarter ended March 31, 2013. Net charge-offs were $188 thousand for the three months ended March 31, 2013, compared to $89 thousand for the three months ended March 31, 2012, an increase principally due to charge-offs in the Company’s residential and commercial real estate portfolios.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March 31, 2013 and 2012</w:t>
      </w:r>
    </w:p>
    <w:p>
      <w:pPr>
        <w:sectPr>
          <w:pgSz w:w="11900" w:h="16838" w:orient="portrait"/>
          <w:cols w:equalWidth="0" w:num="1">
            <w:col w:w="11420"/>
          </w:cols>
          <w:pgMar w:left="240" w:top="140" w:right="239" w:bottom="208" w:gutter="0" w:footer="0" w:header="0"/>
        </w:sectPr>
      </w:pPr>
    </w:p>
    <w:bookmarkStart w:id="34" w:name="page35"/>
    <w:bookmarkEnd w:id="34"/>
    <w:p>
      <w:pPr>
        <w:ind w:right="100"/>
        <w:spacing w:after="0" w:line="279" w:lineRule="auto"/>
        <w:rPr>
          <w:sz w:val="20"/>
          <w:szCs w:val="20"/>
          <w:color w:val="auto"/>
        </w:rPr>
      </w:pPr>
      <w:r>
        <w:rPr>
          <w:rFonts w:ascii="Arial" w:cs="Arial" w:eastAsia="Arial" w:hAnsi="Arial"/>
          <w:sz w:val="17"/>
          <w:szCs w:val="17"/>
          <w:color w:val="auto"/>
        </w:rPr>
        <w:t>The provision for loan losses for the nine months ended March 31, 2013 and 2012 was $821 thousand and $634 thousand, respectively. The $187 thousand increase was principally due to higher net charge-offs and specific provisions required on impaired residential loans during the nine months ended March 31, 2013. Net charge-offs were $612 thousand for the nine months ended March 31, 2013, compared to $323 thousand for the nine months ended March 31, 2012, an increase principally due to charge-offs in the Company’s residential and commercial business portfolios.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Noninterest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March 31, 2013 and 2012</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Noninterest income totaled $3.4 million for the three months ended March 31, 2013 compared to $2.7 million for the three months ended March 31, 2012, an increase of $653 thousand, or 23.8%. The primary components of this change included the following:</w:t>
      </w:r>
    </w:p>
    <w:p>
      <w:pPr>
        <w:spacing w:after="0" w:line="170" w:lineRule="exact"/>
        <w:rPr>
          <w:sz w:val="20"/>
          <w:szCs w:val="20"/>
          <w:color w:val="auto"/>
        </w:rPr>
      </w:pPr>
    </w:p>
    <w:p>
      <w:pPr>
        <w:ind w:left="660" w:right="100" w:hanging="328"/>
        <w:spacing w:after="0" w:line="277" w:lineRule="auto"/>
        <w:tabs>
          <w:tab w:leader="none" w:pos="624" w:val="left"/>
        </w:tabs>
        <w:numPr>
          <w:ilvl w:val="0"/>
          <w:numId w:val="22"/>
        </w:numPr>
        <w:rPr>
          <w:rFonts w:ascii="Arial" w:cs="Arial" w:eastAsia="Arial" w:hAnsi="Arial"/>
          <w:sz w:val="18"/>
          <w:szCs w:val="18"/>
          <w:color w:val="auto"/>
        </w:rPr>
      </w:pPr>
      <w:r>
        <w:rPr>
          <w:rFonts w:ascii="Arial" w:cs="Arial" w:eastAsia="Arial" w:hAnsi="Arial"/>
          <w:sz w:val="18"/>
          <w:szCs w:val="18"/>
          <w:color w:val="auto"/>
        </w:rPr>
        <w:t>Customer fee income totaled $430 thousand for the quarter, an increase of $104 thousand, or 31.9%, compared to the quarter ended March 31, 2012, the result of increased loan servicing fees associated with Fiscal 2013 LASG loan purchases.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158" w:lineRule="exact"/>
        <w:rPr>
          <w:sz w:val="20"/>
          <w:szCs w:val="20"/>
          <w:color w:val="auto"/>
        </w:rPr>
      </w:pPr>
    </w:p>
    <w:p>
      <w:pPr>
        <w:ind w:left="660" w:right="360" w:hanging="328"/>
        <w:spacing w:after="0" w:line="277" w:lineRule="auto"/>
        <w:tabs>
          <w:tab w:leader="none" w:pos="624" w:val="left"/>
        </w:tabs>
        <w:numPr>
          <w:ilvl w:val="0"/>
          <w:numId w:val="23"/>
        </w:numPr>
        <w:rPr>
          <w:rFonts w:ascii="Arial" w:cs="Arial" w:eastAsia="Arial" w:hAnsi="Arial"/>
          <w:sz w:val="18"/>
          <w:szCs w:val="18"/>
          <w:color w:val="auto"/>
        </w:rPr>
      </w:pPr>
      <w:r>
        <w:rPr>
          <w:rFonts w:ascii="Arial" w:cs="Arial" w:eastAsia="Arial" w:hAnsi="Arial"/>
          <w:sz w:val="18"/>
          <w:szCs w:val="18"/>
          <w:color w:val="auto"/>
        </w:rPr>
        <w:t>No securities gains were realized during the quarter ended March 31, 2013, as compared to gains of $731 thousand realized for the quarter ended March 31, 2012.</w:t>
      </w:r>
    </w:p>
    <w:p>
      <w:pPr>
        <w:spacing w:after="0" w:line="102" w:lineRule="exact"/>
        <w:rPr>
          <w:rFonts w:ascii="Arial" w:cs="Arial" w:eastAsia="Arial" w:hAnsi="Arial"/>
          <w:sz w:val="18"/>
          <w:szCs w:val="18"/>
          <w:color w:val="auto"/>
        </w:rPr>
      </w:pPr>
    </w:p>
    <w:p>
      <w:pPr>
        <w:ind w:left="660" w:right="140" w:hanging="328"/>
        <w:spacing w:after="0" w:line="277" w:lineRule="auto"/>
        <w:tabs>
          <w:tab w:leader="none" w:pos="624" w:val="left"/>
        </w:tabs>
        <w:numPr>
          <w:ilvl w:val="0"/>
          <w:numId w:val="23"/>
        </w:numPr>
        <w:rPr>
          <w:rFonts w:ascii="Arial" w:cs="Arial" w:eastAsia="Arial" w:hAnsi="Arial"/>
          <w:sz w:val="18"/>
          <w:szCs w:val="18"/>
          <w:color w:val="auto"/>
        </w:rPr>
      </w:pPr>
      <w:r>
        <w:rPr>
          <w:rFonts w:ascii="Arial" w:cs="Arial" w:eastAsia="Arial" w:hAnsi="Arial"/>
          <w:sz w:val="18"/>
          <w:szCs w:val="18"/>
          <w:color w:val="auto"/>
        </w:rPr>
        <w:t>Net gains on the sale of portfolio loans were $1.2 million for the quarter, an increase of $1.0 million compared to the quarter ended March 31, 2012, an increase principally resulting from the gain recognized on sale of one LASG purchased loan.</w:t>
      </w:r>
    </w:p>
    <w:p>
      <w:pPr>
        <w:spacing w:after="0" w:line="102" w:lineRule="exact"/>
        <w:rPr>
          <w:rFonts w:ascii="Arial" w:cs="Arial" w:eastAsia="Arial" w:hAnsi="Arial"/>
          <w:sz w:val="18"/>
          <w:szCs w:val="18"/>
          <w:color w:val="auto"/>
        </w:rPr>
      </w:pPr>
    </w:p>
    <w:p>
      <w:pPr>
        <w:ind w:left="660" w:right="200" w:hanging="328"/>
        <w:spacing w:after="0" w:line="264" w:lineRule="auto"/>
        <w:tabs>
          <w:tab w:leader="none" w:pos="624" w:val="left"/>
        </w:tabs>
        <w:numPr>
          <w:ilvl w:val="0"/>
          <w:numId w:val="23"/>
        </w:numPr>
        <w:rPr>
          <w:rFonts w:ascii="Arial" w:cs="Arial" w:eastAsia="Arial" w:hAnsi="Arial"/>
          <w:sz w:val="18"/>
          <w:szCs w:val="18"/>
          <w:color w:val="auto"/>
        </w:rPr>
      </w:pPr>
      <w:r>
        <w:rPr>
          <w:rFonts w:ascii="Arial" w:cs="Arial" w:eastAsia="Arial" w:hAnsi="Arial"/>
          <w:sz w:val="18"/>
          <w:szCs w:val="18"/>
          <w:color w:val="auto"/>
        </w:rPr>
        <w:t>Net gains recognized on real estate owned and other repossessed collateral were $230 thousand for the quarter, compared to a net loss of $24 thousand for the three months ended March 31, 2012, an increase principally resulting from a $211 thousand gain realized on the sale of real estate previously securing an LASG purchased loan.</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March 31, 2013 and 2012</w:t>
      </w:r>
    </w:p>
    <w:p>
      <w:pPr>
        <w:spacing w:after="0" w:line="15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Noninterest income totaled $10.1 million for the nine months ended March 31, 2013 compared to $7.2 million for the nine months ended March 31, 2012, an increase of $2.9 million. The primary components of this change included the following:</w:t>
      </w:r>
    </w:p>
    <w:p>
      <w:pPr>
        <w:spacing w:after="0" w:line="103" w:lineRule="exact"/>
        <w:rPr>
          <w:sz w:val="20"/>
          <w:szCs w:val="20"/>
          <w:color w:val="auto"/>
        </w:rPr>
      </w:pPr>
    </w:p>
    <w:p>
      <w:pPr>
        <w:ind w:left="660" w:right="360" w:hanging="328"/>
        <w:spacing w:after="0" w:line="277" w:lineRule="auto"/>
        <w:tabs>
          <w:tab w:leader="none" w:pos="624" w:val="left"/>
        </w:tabs>
        <w:numPr>
          <w:ilvl w:val="0"/>
          <w:numId w:val="24"/>
        </w:numPr>
        <w:rPr>
          <w:rFonts w:ascii="Arial" w:cs="Arial" w:eastAsia="Arial" w:hAnsi="Arial"/>
          <w:sz w:val="18"/>
          <w:szCs w:val="18"/>
          <w:color w:val="auto"/>
        </w:rPr>
      </w:pPr>
      <w:r>
        <w:rPr>
          <w:rFonts w:ascii="Arial" w:cs="Arial" w:eastAsia="Arial" w:hAnsi="Arial"/>
          <w:sz w:val="18"/>
          <w:szCs w:val="18"/>
          <w:color w:val="auto"/>
        </w:rPr>
        <w:t>Customer fee income totaled $1.2 million for the quarter, an increase of $166 thousand, or 16.0%, compared to the nine months ended March 31, 2012, the result of increased loan servicing fees associated with Fiscal 2013 LASG loan purchases.</w:t>
      </w:r>
    </w:p>
    <w:p>
      <w:pPr>
        <w:spacing w:after="0" w:line="102" w:lineRule="exact"/>
        <w:rPr>
          <w:rFonts w:ascii="Arial" w:cs="Arial" w:eastAsia="Arial" w:hAnsi="Arial"/>
          <w:sz w:val="18"/>
          <w:szCs w:val="18"/>
          <w:color w:val="auto"/>
        </w:rPr>
      </w:pPr>
    </w:p>
    <w:p>
      <w:pPr>
        <w:ind w:left="660" w:right="300" w:hanging="328"/>
        <w:spacing w:after="0" w:line="259" w:lineRule="auto"/>
        <w:tabs>
          <w:tab w:leader="none" w:pos="624" w:val="left"/>
        </w:tabs>
        <w:numPr>
          <w:ilvl w:val="0"/>
          <w:numId w:val="24"/>
        </w:numPr>
        <w:rPr>
          <w:rFonts w:ascii="Arial" w:cs="Arial" w:eastAsia="Arial" w:hAnsi="Arial"/>
          <w:sz w:val="18"/>
          <w:szCs w:val="18"/>
          <w:color w:val="auto"/>
        </w:rPr>
      </w:pPr>
      <w:r>
        <w:rPr>
          <w:rFonts w:ascii="Arial" w:cs="Arial" w:eastAsia="Arial" w:hAnsi="Arial"/>
          <w:sz w:val="18"/>
          <w:szCs w:val="18"/>
          <w:color w:val="auto"/>
        </w:rPr>
        <w:t>Net securities gains totaled $792 thousand for the nine months ended March 31, 2013, a decrease of $319 thousand compared to the nine months ended March 31, 2012. Decreases in security gains resulted from the sale of a substantial portion of the Company’s available-for-sale investment portfolio during Fiscal 2012. The Company reinvested the sales proceeds in government guaranteed mortgage-backed securities similar in composition to the securities sold, albeit at lower market yields.</w:t>
      </w:r>
    </w:p>
    <w:p>
      <w:pPr>
        <w:spacing w:after="0" w:line="119" w:lineRule="exact"/>
        <w:rPr>
          <w:rFonts w:ascii="Arial" w:cs="Arial" w:eastAsia="Arial" w:hAnsi="Arial"/>
          <w:sz w:val="18"/>
          <w:szCs w:val="18"/>
          <w:color w:val="auto"/>
        </w:rPr>
      </w:pPr>
    </w:p>
    <w:p>
      <w:pPr>
        <w:ind w:left="660" w:right="80" w:hanging="328"/>
        <w:spacing w:after="0" w:line="277" w:lineRule="auto"/>
        <w:tabs>
          <w:tab w:leader="none" w:pos="624" w:val="left"/>
        </w:tabs>
        <w:numPr>
          <w:ilvl w:val="0"/>
          <w:numId w:val="24"/>
        </w:numPr>
        <w:rPr>
          <w:rFonts w:ascii="Arial" w:cs="Arial" w:eastAsia="Arial" w:hAnsi="Arial"/>
          <w:sz w:val="18"/>
          <w:szCs w:val="18"/>
          <w:color w:val="auto"/>
        </w:rPr>
      </w:pPr>
      <w:r>
        <w:rPr>
          <w:rFonts w:ascii="Arial" w:cs="Arial" w:eastAsia="Arial" w:hAnsi="Arial"/>
          <w:sz w:val="18"/>
          <w:szCs w:val="18"/>
          <w:color w:val="auto"/>
        </w:rPr>
        <w:t>Net gains realized on the sale of residential mortgage loans in the secondary market were $2.3 million for the nine months ended March 31, 2013, an increase of $235 thousand, or 11.4%, compared to the nine months ended March 31, 2012.</w:t>
      </w:r>
    </w:p>
    <w:p>
      <w:pPr>
        <w:spacing w:after="0" w:line="102" w:lineRule="exact"/>
        <w:rPr>
          <w:rFonts w:ascii="Arial" w:cs="Arial" w:eastAsia="Arial" w:hAnsi="Arial"/>
          <w:sz w:val="18"/>
          <w:szCs w:val="18"/>
          <w:color w:val="auto"/>
        </w:rPr>
      </w:pPr>
    </w:p>
    <w:p>
      <w:pPr>
        <w:ind w:left="660" w:right="360" w:hanging="328"/>
        <w:spacing w:after="0" w:line="342" w:lineRule="auto"/>
        <w:tabs>
          <w:tab w:leader="none" w:pos="624" w:val="left"/>
        </w:tabs>
        <w:numPr>
          <w:ilvl w:val="0"/>
          <w:numId w:val="24"/>
        </w:numPr>
        <w:rPr>
          <w:rFonts w:ascii="Arial" w:cs="Arial" w:eastAsia="Arial" w:hAnsi="Arial"/>
          <w:sz w:val="16"/>
          <w:szCs w:val="16"/>
          <w:color w:val="auto"/>
        </w:rPr>
      </w:pPr>
      <w:r>
        <w:rPr>
          <w:rFonts w:ascii="Arial" w:cs="Arial" w:eastAsia="Arial" w:hAnsi="Arial"/>
          <w:sz w:val="16"/>
          <w:szCs w:val="16"/>
          <w:color w:val="auto"/>
        </w:rPr>
        <w:t>Net gains on the sale of portfolio loans were $2.2 million for the nine months ended March 31, 2013, an increase of $1.8 million compared to the nine months ended March 31, 2012, an increase principally resulting from $2.0 million in gains recognized on LASG purchased loan sales.</w:t>
      </w:r>
    </w:p>
    <w:p>
      <w:pPr>
        <w:spacing w:after="0" w:line="56" w:lineRule="exact"/>
        <w:rPr>
          <w:rFonts w:ascii="Arial" w:cs="Arial" w:eastAsia="Arial" w:hAnsi="Arial"/>
          <w:sz w:val="16"/>
          <w:szCs w:val="16"/>
          <w:color w:val="auto"/>
        </w:rPr>
      </w:pPr>
    </w:p>
    <w:p>
      <w:pPr>
        <w:ind w:left="660" w:right="20" w:hanging="328"/>
        <w:spacing w:after="0" w:line="264" w:lineRule="auto"/>
        <w:tabs>
          <w:tab w:leader="none" w:pos="624" w:val="left"/>
        </w:tabs>
        <w:numPr>
          <w:ilvl w:val="0"/>
          <w:numId w:val="24"/>
        </w:numPr>
        <w:rPr>
          <w:rFonts w:ascii="Arial" w:cs="Arial" w:eastAsia="Arial" w:hAnsi="Arial"/>
          <w:sz w:val="18"/>
          <w:szCs w:val="18"/>
          <w:color w:val="auto"/>
        </w:rPr>
      </w:pPr>
      <w:r>
        <w:rPr>
          <w:rFonts w:ascii="Arial" w:cs="Arial" w:eastAsia="Arial" w:hAnsi="Arial"/>
          <w:sz w:val="18"/>
          <w:szCs w:val="18"/>
          <w:color w:val="auto"/>
        </w:rPr>
        <w:t>Net gains recognized on real estate owned and other repossessed collateral were $681 thousand for the nine months ended March 31, 2013, compared to net gains of $11 thousand for the nine months ended March 31, 2012, an increase principally resulting from $684 thousand realized on the sale of two properties previously securing LASG purchased loans.</w:t>
      </w:r>
    </w:p>
    <w:p>
      <w:pPr>
        <w:spacing w:after="0" w:line="113" w:lineRule="exact"/>
        <w:rPr>
          <w:rFonts w:ascii="Arial" w:cs="Arial" w:eastAsia="Arial" w:hAnsi="Arial"/>
          <w:sz w:val="18"/>
          <w:szCs w:val="18"/>
          <w:color w:val="auto"/>
        </w:rPr>
      </w:pPr>
    </w:p>
    <w:p>
      <w:pPr>
        <w:ind w:left="660" w:right="140" w:hanging="328"/>
        <w:spacing w:after="0" w:line="277" w:lineRule="auto"/>
        <w:tabs>
          <w:tab w:leader="none" w:pos="624"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Bank-owned life insurance income totaled $599 thousand for the nine months ended March 31, 2013, an increase of $222 thousand compared to the nine months ended March 31, 2012, the result of life insurance death benefits received.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Noninterest Expense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March 31, 2013 and 2012</w:t>
      </w:r>
    </w:p>
    <w:p>
      <w:pPr>
        <w:spacing w:after="0" w:line="15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Noninterest expense totaled $8.8 million for the three months ended March 31, 2013, compared to $7.2 million for the three months ended March 31, 2012, an increase of $1.6 million, principally due to the following:</w:t>
      </w:r>
    </w:p>
    <w:p>
      <w:pPr>
        <w:spacing w:after="0" w:line="103" w:lineRule="exact"/>
        <w:rPr>
          <w:sz w:val="20"/>
          <w:szCs w:val="20"/>
          <w:color w:val="auto"/>
        </w:rPr>
      </w:pPr>
    </w:p>
    <w:p>
      <w:pPr>
        <w:ind w:left="660" w:right="120" w:hanging="328"/>
        <w:spacing w:after="0" w:line="264" w:lineRule="auto"/>
        <w:tabs>
          <w:tab w:leader="none" w:pos="624"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increase of $1.2 million in employee compensation, due mainly to $703 thousand in additional incentive compensation, as well as increases in staffing and the cost of employee benefits programs. Full-time equivalent employees increased by 26 over the past twelve months, as the Company has added staff to several operational areas and the LASG.</w:t>
      </w:r>
    </w:p>
    <w:p>
      <w:pPr>
        <w:spacing w:after="0" w:line="113" w:lineRule="exact"/>
        <w:rPr>
          <w:rFonts w:ascii="Arial" w:cs="Arial" w:eastAsia="Arial" w:hAnsi="Arial"/>
          <w:sz w:val="18"/>
          <w:szCs w:val="18"/>
          <w:color w:val="auto"/>
        </w:rPr>
      </w:pPr>
    </w:p>
    <w:p>
      <w:pPr>
        <w:ind w:left="660" w:hanging="328"/>
        <w:spacing w:after="0" w:line="277" w:lineRule="auto"/>
        <w:tabs>
          <w:tab w:leader="none" w:pos="624"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increase of $288 thousand in occupancy and equipment expense, principally due to increased rent associated with the relocation of the Company’s office in Boston, MA, and depreciation of investments in new technology, principally those associated with ableBanking.</w:t>
      </w:r>
    </w:p>
    <w:p>
      <w:pPr>
        <w:spacing w:after="0" w:line="102" w:lineRule="exact"/>
        <w:rPr>
          <w:rFonts w:ascii="Arial" w:cs="Arial" w:eastAsia="Arial" w:hAnsi="Arial"/>
          <w:sz w:val="18"/>
          <w:szCs w:val="18"/>
          <w:color w:val="auto"/>
        </w:rPr>
      </w:pPr>
    </w:p>
    <w:p>
      <w:pPr>
        <w:ind w:left="620" w:hanging="288"/>
        <w:spacing w:after="0"/>
        <w:tabs>
          <w:tab w:leader="none" w:pos="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increase of $107 thousand in marketing expense, principally due to promotional incentives associated with ableBanking.</w:t>
      </w:r>
    </w:p>
    <w:p>
      <w:pPr>
        <w:spacing w:after="0" w:line="157" w:lineRule="exact"/>
        <w:rPr>
          <w:rFonts w:ascii="Arial" w:cs="Arial" w:eastAsia="Arial" w:hAnsi="Arial"/>
          <w:sz w:val="18"/>
          <w:szCs w:val="18"/>
          <w:color w:val="auto"/>
        </w:rPr>
      </w:pPr>
    </w:p>
    <w:p>
      <w:pPr>
        <w:ind w:left="660" w:right="140" w:hanging="328"/>
        <w:spacing w:after="0" w:line="277" w:lineRule="auto"/>
        <w:tabs>
          <w:tab w:leader="none" w:pos="624"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increase of $108 thousand in loan acquisition and collection expense, principally due to an increase in the size of the LASG portfolio, which has grown to $148.4 million from $62.3 million at March 31, 2012.</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March 31, 2013 and 2012</w:t>
      </w:r>
    </w:p>
    <w:p>
      <w:pPr>
        <w:spacing w:after="0" w:line="15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Noninterest expense totaled $24.5 million for the nine months ended March 31, 2013, compared to $20.7 million the nine months ended March 31, 2012, an increase of $3.8 million, principally due to the following:</w:t>
      </w:r>
    </w:p>
    <w:p>
      <w:pPr>
        <w:spacing w:after="0" w:line="103" w:lineRule="exact"/>
        <w:rPr>
          <w:sz w:val="20"/>
          <w:szCs w:val="20"/>
          <w:color w:val="auto"/>
        </w:rPr>
      </w:pPr>
    </w:p>
    <w:p>
      <w:pPr>
        <w:ind w:left="660" w:right="120" w:hanging="328"/>
        <w:spacing w:after="0" w:line="277" w:lineRule="auto"/>
        <w:tabs>
          <w:tab w:leader="none" w:pos="624"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 increase of $2.2 million, or 19.0%, in employee compensation, due mainly to $502 thousand in additional incentive compensation, as well as the aforementioned increases in staffing and the cost of employee benefits programs.</w:t>
      </w:r>
    </w:p>
    <w:p>
      <w:pPr>
        <w:sectPr>
          <w:pgSz w:w="11900" w:h="16838" w:orient="portrait"/>
          <w:cols w:equalWidth="0" w:num="1">
            <w:col w:w="11420"/>
          </w:cols>
          <w:pgMar w:left="240" w:top="125" w:right="239" w:bottom="0" w:gutter="0" w:footer="0" w:header="0"/>
        </w:sectPr>
      </w:pPr>
    </w:p>
    <w:bookmarkStart w:id="35" w:name="page36"/>
    <w:bookmarkEnd w:id="35"/>
    <w:p>
      <w:pPr>
        <w:ind w:left="660" w:right="460" w:hanging="328"/>
        <w:spacing w:after="0" w:line="277" w:lineRule="auto"/>
        <w:tabs>
          <w:tab w:leader="none" w:pos="624"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increase of $748 thousand, or 27.3%, in occupancy and equipment, principally due to increased rent and depreciation of investments in new technology.</w:t>
      </w:r>
    </w:p>
    <w:p>
      <w:pPr>
        <w:spacing w:after="0" w:line="102" w:lineRule="exact"/>
        <w:rPr>
          <w:rFonts w:ascii="Arial" w:cs="Arial" w:eastAsia="Arial" w:hAnsi="Arial"/>
          <w:sz w:val="18"/>
          <w:szCs w:val="18"/>
          <w:color w:val="auto"/>
        </w:rPr>
      </w:pPr>
    </w:p>
    <w:p>
      <w:pPr>
        <w:ind w:left="660" w:right="320" w:hanging="328"/>
        <w:spacing w:after="0" w:line="277" w:lineRule="auto"/>
        <w:tabs>
          <w:tab w:leader="none" w:pos="624"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increase of $201 thousand, or 41.3%, in marketing expense, principally due to internet advertising and promotional incentives associated with ableBanking.</w:t>
      </w:r>
    </w:p>
    <w:p>
      <w:pPr>
        <w:spacing w:after="0" w:line="102" w:lineRule="exact"/>
        <w:rPr>
          <w:rFonts w:ascii="Arial" w:cs="Arial" w:eastAsia="Arial" w:hAnsi="Arial"/>
          <w:sz w:val="18"/>
          <w:szCs w:val="18"/>
          <w:color w:val="auto"/>
        </w:rPr>
      </w:pPr>
    </w:p>
    <w:p>
      <w:pPr>
        <w:ind w:left="660" w:right="120" w:hanging="328"/>
        <w:spacing w:after="0" w:line="264" w:lineRule="auto"/>
        <w:tabs>
          <w:tab w:leader="none" w:pos="624"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increase of $487 thousand, or 61.0%, in loan acquisition and collection expense, principally due to an increase in the size of the LASG portfolio, which has grown to $148.4 million from $62.3 million at March 31, 2012, and an increase in the volume of loan acquisitions and related due diligence activities.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20" w:hanging="288"/>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An increase of $276 thousand, or 15.0%, in other noninterest expense, principally due to increased travel expense and charitable contributions.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March 31, 2013 and 2012</w:t>
      </w:r>
    </w:p>
    <w:p>
      <w:pPr>
        <w:spacing w:after="0" w:line="22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Company’s income tax expense was $811 thousand, or an effective rate of 32.7%, for the quarter ended March 31, 2013, compared to $15 thousand, or an effective rate of 8.9%, for the quarter ended March 31, 2012. The effective rate for each quarter differs from the Company’s statutory rate because of favorable book to tax differences, such as tax credits and tax exempt life insurance income. The increase in the Company’s effective tax rate from the quarter ended March 31, 2012 to March 31, 2013 principally resulted from the higher level of pretax income relative to permanent book to tax differences.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March 31, 2013 and 2012</w:t>
      </w:r>
    </w:p>
    <w:p>
      <w:pPr>
        <w:spacing w:after="0" w:line="225"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The Company’s income tax expense was $2.0 million, or an effective rate of 32.2%, for the nine months ended March 31, 2013, as compared to a tax benefit of $209 thousand for the nine months ended March 31, 2012. The tax benefit in the 2012 quarter resulted from a pretax loss of $231 thousand.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Results of Operations — Discontinued Operations</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the quarter ended September 30, 2011, the Company sold intangible assets (principally customer lists) and certain fixed assets of NBIG to local insurance agencies in two separate transactions. The Varney Agency, Inc. of Bangor, Maine, purchased the assets of nine NBIG offices in Anson, Auburn, Augusta, Bethel, Livermore Falls, Scarborough, South Paris, Thomaston and Turner, Maine. The NBIG office in Berwick, Maine, which now operates under the name of Spence &amp; Matthews, was acquired by a member of NBIG’s senior management team. In connection with the transaction, the Company also repaid borrowings associated with NBIG totaling $2.1 million.</w:t>
      </w:r>
    </w:p>
    <w:p>
      <w:pPr>
        <w:spacing w:after="0" w:line="188"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Company no longer conducts any significant operations in the insurance agency business and therefore has classified the operating results of NBIG, and the associated gain on sale of the division, as discontinued operations in the consolidated financial statements. See Part I. Item I. “Notes to Unaudited Consolidated Financial Statements — Note 6: “Discontinued Operations” for further details.</w:t>
      </w:r>
    </w:p>
    <w:p>
      <w:pPr>
        <w:spacing w:after="0" w:line="18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Net income from discontinued operations for the nine months ended March 31, 2012 was $1.1 million. Income for the period included a $1.6 million pre-tax gain on sale of the assets of NBIG, and pre-tax income associated with operations of $186 thousand. Income taxes associated with discontinued operations totaled $600 thousand, or an effective rate of 34.5%.</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required for smaller reporting companies.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The Company maintains controls and procedures designed to ensure that information required to be disclosed in the reports the Company files or submits under the Securities Exchange Act of 1934 (“Exchange Act”) is recorded, processed, summarized and reported within the time periods specified in the rules and forms of the Securities and Exchange Commission, and that such information is accumulated and communicated to the Company’s management, including the Chief Executive Officer and Chief Financial Officer (the Company’s principal executive officer and principal financial officer, respectively), as appropriate, to allow for timely decisions regarding timely disclosure. In designing and evaluating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67" w:lineRule="exact"/>
        <w:rPr>
          <w:sz w:val="20"/>
          <w:szCs w:val="20"/>
          <w:color w:val="auto"/>
        </w:rPr>
      </w:pPr>
    </w:p>
    <w:p>
      <w:pPr>
        <w:ind w:right="540"/>
        <w:spacing w:after="0" w:line="264" w:lineRule="auto"/>
        <w:rPr>
          <w:sz w:val="20"/>
          <w:szCs w:val="20"/>
          <w:color w:val="auto"/>
        </w:rPr>
      </w:pPr>
      <w:r>
        <w:rPr>
          <w:rFonts w:ascii="Arial" w:cs="Arial" w:eastAsia="Arial" w:hAnsi="Arial"/>
          <w:sz w:val="18"/>
          <w:szCs w:val="18"/>
          <w:color w:val="auto"/>
        </w:rPr>
        <w:t>The Company’s management, with the participation of the Chief Executive Officer and Chief Financial Officer, has evaluated the effectiveness of its disclosure controls and procedures (as defined in Rules 13a - 15(e) and 15d - 15(e) under the Exchange Act) as of the end of the period covered by this Quarterly Report on Form 10-Q.</w:t>
      </w:r>
    </w:p>
    <w:p>
      <w:pPr>
        <w:spacing w:after="0" w:line="18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Based on this evaluation of the Company’s disclosure controls and procedures, the Chief Executive Officer and Chief Financial Officer have concluded that these disclosure controls and procedures were effective as of March 31, 2013.</w:t>
      </w:r>
    </w:p>
    <w:p>
      <w:pPr>
        <w:spacing w:after="0" w:line="17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There were no changes in the Company’s internal controls over financial reporting (as defined in Rule 13a - 15(f) of the Exchange Act) that occurred during the quarter ended March 31, 2013 that have materially affected, or is reasonably likely to materially affect, the Company’s internal controls over financial reporting.</w:t>
      </w:r>
    </w:p>
    <w:p>
      <w:pPr>
        <w:sectPr>
          <w:pgSz w:w="11900" w:h="16838" w:orient="portrait"/>
          <w:cols w:equalWidth="0" w:num="1">
            <w:col w:w="11420"/>
          </w:cols>
          <w:pgMar w:left="240" w:top="125" w:right="239" w:bottom="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740" w:type="dxa"/>
            <w:vAlign w:val="bottom"/>
            <w:gridSpan w:val="2"/>
          </w:tcPr>
          <w:p>
            <w:pPr>
              <w:ind w:left="2520"/>
              <w:spacing w:after="0"/>
              <w:rPr>
                <w:sz w:val="20"/>
                <w:szCs w:val="20"/>
                <w:color w:val="auto"/>
              </w:rPr>
            </w:pPr>
            <w:r>
              <w:rPr>
                <w:rFonts w:ascii="Arial" w:cs="Arial" w:eastAsia="Arial" w:hAnsi="Arial"/>
                <w:sz w:val="18"/>
                <w:szCs w:val="18"/>
                <w:b w:val="1"/>
                <w:bCs w:val="1"/>
                <w:color w:val="auto"/>
              </w:rPr>
              <w:t>PART II — OTHER INFORMATION</w:t>
            </w:r>
          </w:p>
        </w:tc>
        <w:tc>
          <w:tcPr>
            <w:tcW w:w="0" w:type="dxa"/>
            <w:vAlign w:val="bottom"/>
          </w:tcPr>
          <w:p>
            <w:pPr>
              <w:spacing w:after="0"/>
              <w:rPr>
                <w:sz w:val="1"/>
                <w:szCs w:val="1"/>
                <w:color w:val="auto"/>
              </w:rPr>
            </w:pPr>
          </w:p>
        </w:tc>
      </w:tr>
      <w:tr>
        <w:trPr>
          <w:trHeight w:val="432"/>
        </w:trPr>
        <w:tc>
          <w:tcPr>
            <w:tcW w:w="1300" w:type="dxa"/>
            <w:vAlign w:val="bottom"/>
            <w:gridSpan w:val="3"/>
          </w:tcPr>
          <w:p>
            <w:pPr>
              <w:spacing w:after="0"/>
              <w:rPr>
                <w:sz w:val="20"/>
                <w:szCs w:val="20"/>
                <w:color w:val="auto"/>
              </w:rPr>
            </w:pPr>
            <w:r>
              <w:rPr>
                <w:rFonts w:ascii="Arial" w:cs="Arial" w:eastAsia="Arial" w:hAnsi="Arial"/>
                <w:sz w:val="18"/>
                <w:szCs w:val="18"/>
                <w:b w:val="1"/>
                <w:bCs w:val="1"/>
                <w:color w:val="auto"/>
              </w:rPr>
              <w:t>Item 1.</w:t>
            </w:r>
          </w:p>
        </w:tc>
        <w:tc>
          <w:tcPr>
            <w:tcW w:w="10160" w:type="dxa"/>
            <w:vAlign w:val="bottom"/>
            <w:gridSpan w:val="4"/>
          </w:tcPr>
          <w:p>
            <w:pPr>
              <w:ind w:left="20"/>
              <w:spacing w:after="0"/>
              <w:rPr>
                <w:sz w:val="20"/>
                <w:szCs w:val="20"/>
                <w:color w:val="auto"/>
              </w:rPr>
            </w:pPr>
            <w:r>
              <w:rPr>
                <w:rFonts w:ascii="Arial" w:cs="Arial" w:eastAsia="Arial" w:hAnsi="Arial"/>
                <w:sz w:val="18"/>
                <w:szCs w:val="18"/>
                <w:b w:val="1"/>
                <w:bCs w:val="1"/>
                <w:color w:val="auto"/>
              </w:rPr>
              <w:t>Legal Proceedings</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60" w:type="dxa"/>
            <w:vAlign w:val="bottom"/>
            <w:gridSpan w:val="4"/>
          </w:tcPr>
          <w:p>
            <w:pPr>
              <w:ind w:left="20"/>
              <w:spacing w:after="0"/>
              <w:rPr>
                <w:sz w:val="20"/>
                <w:szCs w:val="20"/>
                <w:color w:val="auto"/>
              </w:rPr>
            </w:pPr>
            <w:r>
              <w:rPr>
                <w:rFonts w:ascii="Arial" w:cs="Arial" w:eastAsia="Arial" w:hAnsi="Arial"/>
                <w:sz w:val="18"/>
                <w:szCs w:val="18"/>
                <w:color w:val="auto"/>
              </w:rPr>
              <w:t>In the ordinary course of business, the Company is involved in various threatened and pending legal proceedings.</w:t>
            </w: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60" w:type="dxa"/>
            <w:vAlign w:val="bottom"/>
            <w:gridSpan w:val="4"/>
          </w:tcPr>
          <w:p>
            <w:pPr>
              <w:ind w:left="20"/>
              <w:spacing w:after="0"/>
              <w:rPr>
                <w:sz w:val="20"/>
                <w:szCs w:val="20"/>
                <w:color w:val="auto"/>
              </w:rPr>
            </w:pPr>
            <w:r>
              <w:rPr>
                <w:rFonts w:ascii="Arial" w:cs="Arial" w:eastAsia="Arial" w:hAnsi="Arial"/>
                <w:sz w:val="18"/>
                <w:szCs w:val="18"/>
                <w:color w:val="auto"/>
                <w:w w:val="91"/>
              </w:rPr>
              <w:t>In August 2011, the Bank received a summons and complaint in TSM Properties, LLC v. Northeast Bank and Daniel G. Thompson, Docket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60" w:type="dxa"/>
            <w:vAlign w:val="bottom"/>
            <w:gridSpan w:val="4"/>
          </w:tcPr>
          <w:p>
            <w:pPr>
              <w:ind w:left="20"/>
              <w:spacing w:after="0"/>
              <w:rPr>
                <w:sz w:val="20"/>
                <w:szCs w:val="20"/>
                <w:color w:val="auto"/>
              </w:rPr>
            </w:pPr>
            <w:r>
              <w:rPr>
                <w:rFonts w:ascii="Arial" w:cs="Arial" w:eastAsia="Arial" w:hAnsi="Arial"/>
                <w:sz w:val="18"/>
                <w:szCs w:val="18"/>
                <w:color w:val="auto"/>
                <w:w w:val="95"/>
              </w:rPr>
              <w:t>No. BCD-CV-12-10, State of Maine Superior Court Business and Consumer Docket sitting in Portland, Cumberland County, Maine, in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60" w:type="dxa"/>
            <w:vAlign w:val="bottom"/>
            <w:gridSpan w:val="4"/>
          </w:tcPr>
          <w:p>
            <w:pPr>
              <w:ind w:left="20"/>
              <w:spacing w:after="0"/>
              <w:rPr>
                <w:sz w:val="20"/>
                <w:szCs w:val="20"/>
                <w:color w:val="auto"/>
              </w:rPr>
            </w:pPr>
            <w:r>
              <w:rPr>
                <w:rFonts w:ascii="Arial" w:cs="Arial" w:eastAsia="Arial" w:hAnsi="Arial"/>
                <w:sz w:val="18"/>
                <w:szCs w:val="18"/>
                <w:color w:val="auto"/>
                <w:w w:val="97"/>
              </w:rPr>
              <w:t>connection with a dispute regarding transfers of money that involves the Bank. Damages sought include $2.2 million and additional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60" w:type="dxa"/>
            <w:vAlign w:val="bottom"/>
            <w:gridSpan w:val="4"/>
          </w:tcPr>
          <w:p>
            <w:pPr>
              <w:ind w:left="20"/>
              <w:spacing w:after="0"/>
              <w:rPr>
                <w:sz w:val="20"/>
                <w:szCs w:val="20"/>
                <w:color w:val="auto"/>
              </w:rPr>
            </w:pPr>
            <w:r>
              <w:rPr>
                <w:rFonts w:ascii="Arial" w:cs="Arial" w:eastAsia="Arial" w:hAnsi="Arial"/>
                <w:sz w:val="18"/>
                <w:szCs w:val="18"/>
                <w:color w:val="auto"/>
                <w:w w:val="96"/>
              </w:rPr>
              <w:t>unspecified amounts. The Bank intends to vigorously defend against these claims. While it is not feasible to predict or determine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60" w:type="dxa"/>
            <w:vAlign w:val="bottom"/>
            <w:gridSpan w:val="4"/>
          </w:tcPr>
          <w:p>
            <w:pPr>
              <w:ind w:left="20"/>
              <w:spacing w:after="0"/>
              <w:rPr>
                <w:sz w:val="20"/>
                <w:szCs w:val="20"/>
                <w:color w:val="auto"/>
              </w:rPr>
            </w:pPr>
            <w:r>
              <w:rPr>
                <w:rFonts w:ascii="Arial" w:cs="Arial" w:eastAsia="Arial" w:hAnsi="Arial"/>
                <w:sz w:val="18"/>
                <w:szCs w:val="18"/>
                <w:color w:val="auto"/>
                <w:w w:val="92"/>
              </w:rPr>
              <w:t>outcome of these proceedings, the Company believes that a loss resulting from an adverse outcome to this matter is reasonably possible,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60" w:type="dxa"/>
            <w:vAlign w:val="bottom"/>
            <w:gridSpan w:val="4"/>
          </w:tcPr>
          <w:p>
            <w:pPr>
              <w:ind w:left="20"/>
              <w:spacing w:after="0"/>
              <w:rPr>
                <w:sz w:val="20"/>
                <w:szCs w:val="20"/>
                <w:color w:val="auto"/>
              </w:rPr>
            </w:pPr>
            <w:r>
              <w:rPr>
                <w:rFonts w:ascii="Arial" w:cs="Arial" w:eastAsia="Arial" w:hAnsi="Arial"/>
                <w:sz w:val="18"/>
                <w:szCs w:val="18"/>
                <w:color w:val="auto"/>
                <w:w w:val="96"/>
              </w:rPr>
              <w:t>though the amount of the loss is not determinable at this time. As such, the Company has not established a reserve against potential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60" w:type="dxa"/>
            <w:vAlign w:val="bottom"/>
            <w:gridSpan w:val="4"/>
          </w:tcPr>
          <w:p>
            <w:pPr>
              <w:ind w:left="20"/>
              <w:spacing w:after="0"/>
              <w:rPr>
                <w:sz w:val="20"/>
                <w:szCs w:val="20"/>
                <w:color w:val="auto"/>
              </w:rPr>
            </w:pPr>
            <w:r>
              <w:rPr>
                <w:rFonts w:ascii="Arial" w:cs="Arial" w:eastAsia="Arial" w:hAnsi="Arial"/>
                <w:sz w:val="18"/>
                <w:szCs w:val="18"/>
                <w:color w:val="auto"/>
              </w:rPr>
              <w:t>damages arising from this matter.</w:t>
            </w:r>
          </w:p>
        </w:tc>
        <w:tc>
          <w:tcPr>
            <w:tcW w:w="0" w:type="dxa"/>
            <w:vAlign w:val="bottom"/>
          </w:tcPr>
          <w:p>
            <w:pPr>
              <w:spacing w:after="0"/>
              <w:rPr>
                <w:sz w:val="1"/>
                <w:szCs w:val="1"/>
                <w:color w:val="auto"/>
              </w:rPr>
            </w:pPr>
          </w:p>
        </w:tc>
      </w:tr>
      <w:tr>
        <w:trPr>
          <w:trHeight w:val="432"/>
        </w:trPr>
        <w:tc>
          <w:tcPr>
            <w:tcW w:w="1300" w:type="dxa"/>
            <w:vAlign w:val="bottom"/>
            <w:gridSpan w:val="3"/>
          </w:tcPr>
          <w:p>
            <w:pPr>
              <w:spacing w:after="0"/>
              <w:rPr>
                <w:sz w:val="20"/>
                <w:szCs w:val="20"/>
                <w:color w:val="auto"/>
              </w:rPr>
            </w:pPr>
            <w:r>
              <w:rPr>
                <w:rFonts w:ascii="Arial" w:cs="Arial" w:eastAsia="Arial" w:hAnsi="Arial"/>
                <w:sz w:val="18"/>
                <w:szCs w:val="18"/>
                <w:b w:val="1"/>
                <w:bCs w:val="1"/>
                <w:color w:val="auto"/>
              </w:rPr>
              <w:t>Item 1A.</w:t>
            </w:r>
          </w:p>
        </w:tc>
        <w:tc>
          <w:tcPr>
            <w:tcW w:w="10160" w:type="dxa"/>
            <w:vAlign w:val="bottom"/>
            <w:gridSpan w:val="4"/>
          </w:tcPr>
          <w:p>
            <w:pPr>
              <w:ind w:left="20"/>
              <w:spacing w:after="0"/>
              <w:rPr>
                <w:sz w:val="20"/>
                <w:szCs w:val="20"/>
                <w:color w:val="auto"/>
              </w:rPr>
            </w:pPr>
            <w:r>
              <w:rPr>
                <w:rFonts w:ascii="Arial" w:cs="Arial" w:eastAsia="Arial" w:hAnsi="Arial"/>
                <w:sz w:val="18"/>
                <w:szCs w:val="18"/>
                <w:b w:val="1"/>
                <w:bCs w:val="1"/>
                <w:color w:val="auto"/>
              </w:rPr>
              <w:t>Risk Factors</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60" w:type="dxa"/>
            <w:vAlign w:val="bottom"/>
            <w:gridSpan w:val="4"/>
          </w:tcPr>
          <w:p>
            <w:pPr>
              <w:ind w:left="20"/>
              <w:spacing w:after="0"/>
              <w:rPr>
                <w:sz w:val="20"/>
                <w:szCs w:val="20"/>
                <w:color w:val="auto"/>
              </w:rPr>
            </w:pPr>
            <w:r>
              <w:rPr>
                <w:rFonts w:ascii="Arial" w:cs="Arial" w:eastAsia="Arial" w:hAnsi="Arial"/>
                <w:sz w:val="18"/>
                <w:szCs w:val="18"/>
                <w:color w:val="auto"/>
              </w:rPr>
              <w:t>Not required for smaller reporting companies.</w:t>
            </w:r>
          </w:p>
        </w:tc>
        <w:tc>
          <w:tcPr>
            <w:tcW w:w="0" w:type="dxa"/>
            <w:vAlign w:val="bottom"/>
          </w:tcPr>
          <w:p>
            <w:pPr>
              <w:spacing w:after="0"/>
              <w:rPr>
                <w:sz w:val="1"/>
                <w:szCs w:val="1"/>
                <w:color w:val="auto"/>
              </w:rPr>
            </w:pPr>
          </w:p>
        </w:tc>
      </w:tr>
      <w:tr>
        <w:trPr>
          <w:trHeight w:val="432"/>
        </w:trPr>
        <w:tc>
          <w:tcPr>
            <w:tcW w:w="1300" w:type="dxa"/>
            <w:vAlign w:val="bottom"/>
            <w:gridSpan w:val="3"/>
          </w:tcPr>
          <w:p>
            <w:pPr>
              <w:spacing w:after="0"/>
              <w:rPr>
                <w:sz w:val="20"/>
                <w:szCs w:val="20"/>
                <w:color w:val="auto"/>
              </w:rPr>
            </w:pPr>
            <w:r>
              <w:rPr>
                <w:rFonts w:ascii="Arial" w:cs="Arial" w:eastAsia="Arial" w:hAnsi="Arial"/>
                <w:sz w:val="18"/>
                <w:szCs w:val="18"/>
                <w:b w:val="1"/>
                <w:bCs w:val="1"/>
                <w:color w:val="auto"/>
              </w:rPr>
              <w:t>Item 2.</w:t>
            </w:r>
          </w:p>
        </w:tc>
        <w:tc>
          <w:tcPr>
            <w:tcW w:w="10160" w:type="dxa"/>
            <w:vAlign w:val="bottom"/>
            <w:gridSpan w:val="4"/>
          </w:tcPr>
          <w:p>
            <w:pPr>
              <w:ind w:left="20"/>
              <w:spacing w:after="0"/>
              <w:rPr>
                <w:sz w:val="20"/>
                <w:szCs w:val="20"/>
                <w:color w:val="auto"/>
              </w:rPr>
            </w:pPr>
            <w:r>
              <w:rPr>
                <w:rFonts w:ascii="Arial" w:cs="Arial" w:eastAsia="Arial" w:hAnsi="Arial"/>
                <w:sz w:val="18"/>
                <w:szCs w:val="18"/>
                <w:b w:val="1"/>
                <w:bCs w:val="1"/>
                <w:color w:val="auto"/>
              </w:rPr>
              <w:t>Unregistered Sales of Equity Securities and Use of Proceeds</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60" w:type="dxa"/>
            <w:vAlign w:val="bottom"/>
            <w:gridSpan w:val="4"/>
          </w:tcPr>
          <w:p>
            <w:pPr>
              <w:ind w:left="2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432"/>
        </w:trPr>
        <w:tc>
          <w:tcPr>
            <w:tcW w:w="1300" w:type="dxa"/>
            <w:vAlign w:val="bottom"/>
            <w:gridSpan w:val="3"/>
          </w:tcPr>
          <w:p>
            <w:pPr>
              <w:spacing w:after="0"/>
              <w:rPr>
                <w:sz w:val="20"/>
                <w:szCs w:val="20"/>
                <w:color w:val="auto"/>
              </w:rPr>
            </w:pPr>
            <w:r>
              <w:rPr>
                <w:rFonts w:ascii="Arial" w:cs="Arial" w:eastAsia="Arial" w:hAnsi="Arial"/>
                <w:sz w:val="18"/>
                <w:szCs w:val="18"/>
                <w:b w:val="1"/>
                <w:bCs w:val="1"/>
                <w:color w:val="auto"/>
              </w:rPr>
              <w:t>Item 3.</w:t>
            </w:r>
          </w:p>
        </w:tc>
        <w:tc>
          <w:tcPr>
            <w:tcW w:w="10160" w:type="dxa"/>
            <w:vAlign w:val="bottom"/>
            <w:gridSpan w:val="4"/>
          </w:tcPr>
          <w:p>
            <w:pPr>
              <w:ind w:left="20"/>
              <w:spacing w:after="0"/>
              <w:rPr>
                <w:sz w:val="20"/>
                <w:szCs w:val="20"/>
                <w:color w:val="auto"/>
              </w:rPr>
            </w:pPr>
            <w:r>
              <w:rPr>
                <w:rFonts w:ascii="Arial" w:cs="Arial" w:eastAsia="Arial" w:hAnsi="Arial"/>
                <w:sz w:val="18"/>
                <w:szCs w:val="18"/>
                <w:b w:val="1"/>
                <w:bCs w:val="1"/>
                <w:color w:val="auto"/>
              </w:rPr>
              <w:t>Defaults Upon Senior Securities</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60" w:type="dxa"/>
            <w:vAlign w:val="bottom"/>
            <w:gridSpan w:val="4"/>
          </w:tcPr>
          <w:p>
            <w:pPr>
              <w:ind w:left="2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432"/>
        </w:trPr>
        <w:tc>
          <w:tcPr>
            <w:tcW w:w="1300" w:type="dxa"/>
            <w:vAlign w:val="bottom"/>
            <w:gridSpan w:val="3"/>
          </w:tcPr>
          <w:p>
            <w:pPr>
              <w:spacing w:after="0"/>
              <w:rPr>
                <w:sz w:val="20"/>
                <w:szCs w:val="20"/>
                <w:color w:val="auto"/>
              </w:rPr>
            </w:pPr>
            <w:r>
              <w:rPr>
                <w:rFonts w:ascii="Arial" w:cs="Arial" w:eastAsia="Arial" w:hAnsi="Arial"/>
                <w:sz w:val="18"/>
                <w:szCs w:val="18"/>
                <w:b w:val="1"/>
                <w:bCs w:val="1"/>
                <w:color w:val="auto"/>
              </w:rPr>
              <w:t>Item 4.</w:t>
            </w:r>
          </w:p>
        </w:tc>
        <w:tc>
          <w:tcPr>
            <w:tcW w:w="10160" w:type="dxa"/>
            <w:vAlign w:val="bottom"/>
            <w:gridSpan w:val="4"/>
          </w:tcPr>
          <w:p>
            <w:pPr>
              <w:ind w:left="20"/>
              <w:spacing w:after="0"/>
              <w:rPr>
                <w:sz w:val="20"/>
                <w:szCs w:val="20"/>
                <w:color w:val="auto"/>
              </w:rPr>
            </w:pPr>
            <w:r>
              <w:rPr>
                <w:rFonts w:ascii="Arial" w:cs="Arial" w:eastAsia="Arial" w:hAnsi="Arial"/>
                <w:sz w:val="18"/>
                <w:szCs w:val="18"/>
                <w:b w:val="1"/>
                <w:bCs w:val="1"/>
                <w:color w:val="auto"/>
              </w:rPr>
              <w:t>Mine Safety Disclosures</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60" w:type="dxa"/>
            <w:vAlign w:val="bottom"/>
            <w:gridSpan w:val="4"/>
          </w:tcPr>
          <w:p>
            <w:pPr>
              <w:ind w:left="2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648"/>
        </w:trPr>
        <w:tc>
          <w:tcPr>
            <w:tcW w:w="1300" w:type="dxa"/>
            <w:vAlign w:val="bottom"/>
            <w:gridSpan w:val="3"/>
          </w:tcPr>
          <w:p>
            <w:pPr>
              <w:spacing w:after="0"/>
              <w:rPr>
                <w:sz w:val="20"/>
                <w:szCs w:val="20"/>
                <w:color w:val="auto"/>
              </w:rPr>
            </w:pPr>
            <w:r>
              <w:rPr>
                <w:rFonts w:ascii="Arial" w:cs="Arial" w:eastAsia="Arial" w:hAnsi="Arial"/>
                <w:sz w:val="18"/>
                <w:szCs w:val="18"/>
                <w:b w:val="1"/>
                <w:bCs w:val="1"/>
                <w:color w:val="auto"/>
              </w:rPr>
              <w:t>Item 5.</w:t>
            </w:r>
          </w:p>
        </w:tc>
        <w:tc>
          <w:tcPr>
            <w:tcW w:w="10160" w:type="dxa"/>
            <w:vAlign w:val="bottom"/>
            <w:gridSpan w:val="4"/>
          </w:tcPr>
          <w:p>
            <w:pPr>
              <w:ind w:left="20"/>
              <w:spacing w:after="0"/>
              <w:rPr>
                <w:sz w:val="20"/>
                <w:szCs w:val="20"/>
                <w:color w:val="auto"/>
              </w:rPr>
            </w:pPr>
            <w:r>
              <w:rPr>
                <w:rFonts w:ascii="Arial" w:cs="Arial" w:eastAsia="Arial" w:hAnsi="Arial"/>
                <w:sz w:val="18"/>
                <w:szCs w:val="18"/>
                <w:b w:val="1"/>
                <w:bCs w:val="1"/>
                <w:color w:val="auto"/>
              </w:rPr>
              <w:t>Other Information</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60" w:type="dxa"/>
            <w:vAlign w:val="bottom"/>
            <w:gridSpan w:val="4"/>
          </w:tcPr>
          <w:p>
            <w:pPr>
              <w:ind w:left="2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432"/>
        </w:trPr>
        <w:tc>
          <w:tcPr>
            <w:tcW w:w="1300" w:type="dxa"/>
            <w:vAlign w:val="bottom"/>
            <w:gridSpan w:val="3"/>
          </w:tcPr>
          <w:p>
            <w:pPr>
              <w:spacing w:after="0"/>
              <w:rPr>
                <w:sz w:val="20"/>
                <w:szCs w:val="20"/>
                <w:color w:val="auto"/>
              </w:rPr>
            </w:pPr>
            <w:r>
              <w:rPr>
                <w:rFonts w:ascii="Arial" w:cs="Arial" w:eastAsia="Arial" w:hAnsi="Arial"/>
                <w:sz w:val="18"/>
                <w:szCs w:val="18"/>
                <w:b w:val="1"/>
                <w:bCs w:val="1"/>
                <w:color w:val="auto"/>
              </w:rPr>
              <w:t>Item 6.</w:t>
            </w:r>
          </w:p>
        </w:tc>
        <w:tc>
          <w:tcPr>
            <w:tcW w:w="10160" w:type="dxa"/>
            <w:vAlign w:val="bottom"/>
            <w:gridSpan w:val="4"/>
          </w:tcPr>
          <w:p>
            <w:pPr>
              <w:ind w:left="2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20" w:type="dxa"/>
            <w:vAlign w:val="bottom"/>
            <w:gridSpan w:val="3"/>
          </w:tcPr>
          <w:p>
            <w:pPr>
              <w:ind w:left="4320"/>
              <w:spacing w:after="0"/>
              <w:rPr>
                <w:sz w:val="20"/>
                <w:szCs w:val="20"/>
                <w:color w:val="auto"/>
              </w:rPr>
            </w:pPr>
            <w:r>
              <w:rPr>
                <w:rFonts w:ascii="Arial" w:cs="Arial" w:eastAsia="Arial" w:hAnsi="Arial"/>
                <w:sz w:val="18"/>
                <w:szCs w:val="18"/>
                <w:color w:val="auto"/>
              </w:rPr>
              <w:t>53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126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97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1300" w:type="dxa"/>
            <w:vAlign w:val="bottom"/>
            <w:gridSpan w:val="3"/>
          </w:tcPr>
          <w:p>
            <w:pPr>
              <w:spacing w:after="0"/>
              <w:rPr>
                <w:rFonts w:ascii="Arial" w:cs="Arial" w:eastAsia="Arial" w:hAnsi="Arial"/>
                <w:sz w:val="18"/>
                <w:szCs w:val="18"/>
                <w:color w:val="0000EE"/>
                <w:w w:val="90"/>
              </w:rPr>
            </w:pPr>
            <w:hyperlink w:anchor="page1">
              <w:r>
                <w:rPr>
                  <w:rFonts w:ascii="Arial" w:cs="Arial" w:eastAsia="Arial" w:hAnsi="Arial"/>
                  <w:sz w:val="18"/>
                  <w:szCs w:val="18"/>
                  <w:color w:val="0000EE"/>
                  <w:w w:val="90"/>
                </w:rPr>
                <w:t>Table of Contents</w:t>
              </w:r>
            </w:hyperlink>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1280" w:type="dxa"/>
            <w:vAlign w:val="bottom"/>
            <w:tcBorders>
              <w:top w:val="single" w:sz="8" w:color="0000EE"/>
            </w:tcBorders>
            <w:gridSpan w:val="2"/>
          </w:tcPr>
          <w:p>
            <w:pPr>
              <w:spacing w:after="0"/>
              <w:rPr>
                <w:sz w:val="20"/>
                <w:szCs w:val="20"/>
                <w:color w:val="auto"/>
              </w:rPr>
            </w:pPr>
            <w:r>
              <w:rPr>
                <w:rFonts w:ascii="Arial" w:cs="Arial" w:eastAsia="Arial" w:hAnsi="Arial"/>
                <w:sz w:val="14"/>
                <w:szCs w:val="14"/>
                <w:b w:val="1"/>
                <w:bCs w:val="1"/>
                <w:color w:val="auto"/>
              </w:rPr>
              <w:t>Exhibits</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740" w:type="dxa"/>
            <w:vAlign w:val="bottom"/>
            <w:gridSpan w:val="2"/>
            <w:vMerge w:val="restart"/>
          </w:tcPr>
          <w:p>
            <w:pPr>
              <w:ind w:left="45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No.</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260" w:type="dxa"/>
            <w:vAlign w:val="bottom"/>
            <w:tcBorders>
              <w:top w:val="single" w:sz="8" w:color="auto"/>
            </w:tcBorders>
          </w:tcPr>
          <w:p>
            <w:pPr>
              <w:ind w:left="560"/>
              <w:spacing w:after="0" w:line="195" w:lineRule="exact"/>
              <w:rPr>
                <w:sz w:val="20"/>
                <w:szCs w:val="20"/>
                <w:color w:val="auto"/>
              </w:rPr>
            </w:pPr>
            <w:r>
              <w:rPr>
                <w:rFonts w:ascii="Arial" w:cs="Arial" w:eastAsia="Arial" w:hAnsi="Arial"/>
                <w:sz w:val="18"/>
                <w:szCs w:val="18"/>
                <w:color w:val="auto"/>
              </w:rPr>
              <w:t>10.1</w:t>
            </w:r>
          </w:p>
        </w:tc>
        <w:tc>
          <w:tcPr>
            <w:tcW w:w="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97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4"/>
              </w:rPr>
              <w:t>Amended and Restated Non-Qualified Performance-Based Stock Option Agreement, dated March 22, 2013, by and between the</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0" w:type="dxa"/>
            <w:vAlign w:val="bottom"/>
            <w:gridSpan w:val="3"/>
          </w:tcPr>
          <w:p>
            <w:pPr>
              <w:ind w:left="260"/>
              <w:spacing w:after="0"/>
              <w:rPr>
                <w:sz w:val="20"/>
                <w:szCs w:val="20"/>
                <w:color w:val="auto"/>
              </w:rPr>
            </w:pPr>
            <w:r>
              <w:rPr>
                <w:rFonts w:ascii="Arial" w:cs="Arial" w:eastAsia="Arial" w:hAnsi="Arial"/>
                <w:sz w:val="18"/>
                <w:szCs w:val="18"/>
                <w:color w:val="auto"/>
                <w:w w:val="94"/>
              </w:rPr>
              <w:t>Company and Richard Wayne (incorporated by reference to Exhibit 10.1 of Northeast Bancorp’s Current Report on Form 8-K filed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0" w:type="dxa"/>
            <w:vAlign w:val="bottom"/>
            <w:gridSpan w:val="3"/>
          </w:tcPr>
          <w:p>
            <w:pPr>
              <w:ind w:left="260"/>
              <w:spacing w:after="0"/>
              <w:rPr>
                <w:sz w:val="20"/>
                <w:szCs w:val="20"/>
                <w:color w:val="auto"/>
              </w:rPr>
            </w:pPr>
            <w:r>
              <w:rPr>
                <w:rFonts w:ascii="Arial" w:cs="Arial" w:eastAsia="Arial" w:hAnsi="Arial"/>
                <w:sz w:val="18"/>
                <w:szCs w:val="18"/>
                <w:color w:val="auto"/>
              </w:rPr>
              <w:t>with the Securities and Exchange Commission on March 26, 2013).</w:t>
            </w:r>
          </w:p>
        </w:tc>
        <w:tc>
          <w:tcPr>
            <w:tcW w:w="0" w:type="dxa"/>
            <w:vAlign w:val="bottom"/>
          </w:tcPr>
          <w:p>
            <w:pPr>
              <w:spacing w:after="0"/>
              <w:rPr>
                <w:sz w:val="1"/>
                <w:szCs w:val="1"/>
                <w:color w:val="auto"/>
              </w:rPr>
            </w:pPr>
          </w:p>
        </w:tc>
      </w:tr>
      <w:tr>
        <w:trPr>
          <w:trHeight w:val="216"/>
        </w:trPr>
        <w:tc>
          <w:tcPr>
            <w:tcW w:w="1280" w:type="dxa"/>
            <w:vAlign w:val="bottom"/>
            <w:gridSpan w:val="2"/>
          </w:tcPr>
          <w:p>
            <w:pPr>
              <w:ind w:left="580"/>
              <w:spacing w:after="0"/>
              <w:rPr>
                <w:sz w:val="20"/>
                <w:szCs w:val="20"/>
                <w:color w:val="auto"/>
              </w:rPr>
            </w:pPr>
            <w:r>
              <w:rPr>
                <w:rFonts w:ascii="Arial" w:cs="Arial" w:eastAsia="Arial" w:hAnsi="Arial"/>
                <w:sz w:val="18"/>
                <w:szCs w:val="18"/>
                <w:color w:val="auto"/>
              </w:rPr>
              <w:t>10.2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0" w:type="dxa"/>
            <w:vAlign w:val="bottom"/>
            <w:gridSpan w:val="3"/>
          </w:tcPr>
          <w:p>
            <w:pPr>
              <w:ind w:left="260"/>
              <w:spacing w:after="0"/>
              <w:rPr>
                <w:sz w:val="20"/>
                <w:szCs w:val="20"/>
                <w:color w:val="auto"/>
              </w:rPr>
            </w:pPr>
            <w:r>
              <w:rPr>
                <w:rFonts w:ascii="Arial" w:cs="Arial" w:eastAsia="Arial" w:hAnsi="Arial"/>
                <w:sz w:val="18"/>
                <w:szCs w:val="18"/>
                <w:color w:val="auto"/>
                <w:w w:val="95"/>
              </w:rPr>
              <w:t>Amended and Restated Non-Qualified Performance-Based Stock Option Agreement, dated March 22, 2013, by and between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0" w:type="dxa"/>
            <w:vAlign w:val="bottom"/>
            <w:gridSpan w:val="3"/>
          </w:tcPr>
          <w:p>
            <w:pPr>
              <w:ind w:left="260"/>
              <w:spacing w:after="0"/>
              <w:rPr>
                <w:sz w:val="20"/>
                <w:szCs w:val="20"/>
                <w:color w:val="auto"/>
              </w:rPr>
            </w:pPr>
            <w:r>
              <w:rPr>
                <w:rFonts w:ascii="Arial" w:cs="Arial" w:eastAsia="Arial" w:hAnsi="Arial"/>
                <w:sz w:val="18"/>
                <w:szCs w:val="18"/>
                <w:color w:val="auto"/>
                <w:w w:val="93"/>
              </w:rPr>
              <w:t>Company and Claire Bean (incorporated by reference to Exhibit 10.2 of Northeast Bancorp’s Current Report on Form 8-K filed with</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0" w:type="dxa"/>
            <w:vAlign w:val="bottom"/>
            <w:gridSpan w:val="3"/>
          </w:tcPr>
          <w:p>
            <w:pPr>
              <w:ind w:left="260"/>
              <w:spacing w:after="0"/>
              <w:rPr>
                <w:sz w:val="20"/>
                <w:szCs w:val="20"/>
                <w:color w:val="auto"/>
              </w:rPr>
            </w:pPr>
            <w:r>
              <w:rPr>
                <w:rFonts w:ascii="Arial" w:cs="Arial" w:eastAsia="Arial" w:hAnsi="Arial"/>
                <w:sz w:val="18"/>
                <w:szCs w:val="18"/>
                <w:color w:val="auto"/>
              </w:rPr>
              <w:t>the Securities and Exchange Commission on March 26, 2013).</w:t>
            </w:r>
          </w:p>
        </w:tc>
        <w:tc>
          <w:tcPr>
            <w:tcW w:w="0" w:type="dxa"/>
            <w:vAlign w:val="bottom"/>
          </w:tcPr>
          <w:p>
            <w:pPr>
              <w:spacing w:after="0"/>
              <w:rPr>
                <w:sz w:val="1"/>
                <w:szCs w:val="1"/>
                <w:color w:val="auto"/>
              </w:rPr>
            </w:pPr>
          </w:p>
        </w:tc>
      </w:tr>
      <w:tr>
        <w:trPr>
          <w:trHeight w:val="216"/>
        </w:trPr>
        <w:tc>
          <w:tcPr>
            <w:tcW w:w="1280" w:type="dxa"/>
            <w:vAlign w:val="bottom"/>
            <w:gridSpan w:val="2"/>
          </w:tcPr>
          <w:p>
            <w:pPr>
              <w:ind w:left="580"/>
              <w:spacing w:after="0"/>
              <w:rPr>
                <w:sz w:val="20"/>
                <w:szCs w:val="20"/>
                <w:color w:val="auto"/>
              </w:rPr>
            </w:pPr>
            <w:r>
              <w:rPr>
                <w:rFonts w:ascii="Arial" w:cs="Arial" w:eastAsia="Arial" w:hAnsi="Arial"/>
                <w:sz w:val="18"/>
                <w:szCs w:val="18"/>
                <w:color w:val="auto"/>
              </w:rPr>
              <w:t>10.3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0" w:type="dxa"/>
            <w:vAlign w:val="bottom"/>
            <w:gridSpan w:val="3"/>
          </w:tcPr>
          <w:p>
            <w:pPr>
              <w:ind w:left="260"/>
              <w:spacing w:after="0"/>
              <w:rPr>
                <w:sz w:val="20"/>
                <w:szCs w:val="20"/>
                <w:color w:val="auto"/>
              </w:rPr>
            </w:pPr>
            <w:r>
              <w:rPr>
                <w:rFonts w:ascii="Arial" w:cs="Arial" w:eastAsia="Arial" w:hAnsi="Arial"/>
                <w:sz w:val="18"/>
                <w:szCs w:val="18"/>
                <w:color w:val="auto"/>
                <w:w w:val="95"/>
              </w:rPr>
              <w:t>Amended and Restated Non-Qualified Performance-Based Stock Option Agreement, dated March 22, 2013, by and between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0" w:type="dxa"/>
            <w:vAlign w:val="bottom"/>
            <w:gridSpan w:val="3"/>
          </w:tcPr>
          <w:p>
            <w:pPr>
              <w:ind w:left="260"/>
              <w:spacing w:after="0"/>
              <w:rPr>
                <w:sz w:val="20"/>
                <w:szCs w:val="20"/>
                <w:color w:val="auto"/>
              </w:rPr>
            </w:pPr>
            <w:r>
              <w:rPr>
                <w:rFonts w:ascii="Arial" w:cs="Arial" w:eastAsia="Arial" w:hAnsi="Arial"/>
                <w:sz w:val="18"/>
                <w:szCs w:val="18"/>
                <w:color w:val="auto"/>
                <w:w w:val="92"/>
              </w:rPr>
              <w:t>Company and Heather Campion (incorporated by reference to Exhibit 10.3 of Northeast Bancorp’s Current Report on Form 8-K filed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0" w:type="dxa"/>
            <w:vAlign w:val="bottom"/>
            <w:gridSpan w:val="3"/>
          </w:tcPr>
          <w:p>
            <w:pPr>
              <w:ind w:left="260"/>
              <w:spacing w:after="0"/>
              <w:rPr>
                <w:sz w:val="20"/>
                <w:szCs w:val="20"/>
                <w:color w:val="auto"/>
              </w:rPr>
            </w:pPr>
            <w:r>
              <w:rPr>
                <w:rFonts w:ascii="Arial" w:cs="Arial" w:eastAsia="Arial" w:hAnsi="Arial"/>
                <w:sz w:val="18"/>
                <w:szCs w:val="18"/>
                <w:color w:val="auto"/>
              </w:rPr>
              <w:t>with the Securities and Exchange Commission on March 26, 2013).</w:t>
            </w:r>
          </w:p>
        </w:tc>
        <w:tc>
          <w:tcPr>
            <w:tcW w:w="0" w:type="dxa"/>
            <w:vAlign w:val="bottom"/>
          </w:tcPr>
          <w:p>
            <w:pPr>
              <w:spacing w:after="0"/>
              <w:rPr>
                <w:sz w:val="1"/>
                <w:szCs w:val="1"/>
                <w:color w:val="auto"/>
              </w:rPr>
            </w:pPr>
          </w:p>
        </w:tc>
      </w:tr>
      <w:tr>
        <w:trPr>
          <w:trHeight w:val="216"/>
        </w:trPr>
        <w:tc>
          <w:tcPr>
            <w:tcW w:w="1280" w:type="dxa"/>
            <w:vAlign w:val="bottom"/>
            <w:gridSpan w:val="2"/>
          </w:tcPr>
          <w:p>
            <w:pPr>
              <w:ind w:left="580"/>
              <w:spacing w:after="0"/>
              <w:rPr>
                <w:sz w:val="20"/>
                <w:szCs w:val="20"/>
                <w:color w:val="auto"/>
              </w:rPr>
            </w:pPr>
            <w:r>
              <w:rPr>
                <w:rFonts w:ascii="Arial" w:cs="Arial" w:eastAsia="Arial" w:hAnsi="Arial"/>
                <w:sz w:val="18"/>
                <w:szCs w:val="18"/>
                <w:color w:val="auto"/>
              </w:rPr>
              <w:t>31.1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0" w:type="dxa"/>
            <w:vAlign w:val="bottom"/>
            <w:gridSpan w:val="3"/>
          </w:tcPr>
          <w:p>
            <w:pPr>
              <w:ind w:left="260"/>
              <w:spacing w:after="0"/>
              <w:rPr>
                <w:sz w:val="20"/>
                <w:szCs w:val="20"/>
                <w:color w:val="auto"/>
              </w:rPr>
            </w:pPr>
            <w:r>
              <w:rPr>
                <w:rFonts w:ascii="Arial" w:cs="Arial" w:eastAsia="Arial" w:hAnsi="Arial"/>
                <w:sz w:val="18"/>
                <w:szCs w:val="18"/>
                <w:color w:val="auto"/>
              </w:rPr>
              <w:t>Certification of the Chief Executive Officer pursuant to Section 302 of the Sarbanes-Oxley Act of 2002 (Rule 13a-14(a)). *</w:t>
            </w:r>
          </w:p>
        </w:tc>
        <w:tc>
          <w:tcPr>
            <w:tcW w:w="0" w:type="dxa"/>
            <w:vAlign w:val="bottom"/>
          </w:tcPr>
          <w:p>
            <w:pPr>
              <w:spacing w:after="0"/>
              <w:rPr>
                <w:sz w:val="1"/>
                <w:szCs w:val="1"/>
                <w:color w:val="auto"/>
              </w:rPr>
            </w:pPr>
          </w:p>
        </w:tc>
      </w:tr>
      <w:tr>
        <w:trPr>
          <w:trHeight w:val="216"/>
        </w:trPr>
        <w:tc>
          <w:tcPr>
            <w:tcW w:w="1280" w:type="dxa"/>
            <w:vAlign w:val="bottom"/>
            <w:gridSpan w:val="2"/>
          </w:tcPr>
          <w:p>
            <w:pPr>
              <w:ind w:left="580"/>
              <w:spacing w:after="0"/>
              <w:rPr>
                <w:sz w:val="20"/>
                <w:szCs w:val="20"/>
                <w:color w:val="auto"/>
              </w:rPr>
            </w:pPr>
            <w:r>
              <w:rPr>
                <w:rFonts w:ascii="Arial" w:cs="Arial" w:eastAsia="Arial" w:hAnsi="Arial"/>
                <w:sz w:val="18"/>
                <w:szCs w:val="18"/>
                <w:color w:val="auto"/>
              </w:rPr>
              <w:t>31.2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0" w:type="dxa"/>
            <w:vAlign w:val="bottom"/>
            <w:gridSpan w:val="3"/>
          </w:tcPr>
          <w:p>
            <w:pPr>
              <w:ind w:left="260"/>
              <w:spacing w:after="0"/>
              <w:rPr>
                <w:sz w:val="20"/>
                <w:szCs w:val="20"/>
                <w:color w:val="auto"/>
              </w:rPr>
            </w:pPr>
            <w:r>
              <w:rPr>
                <w:rFonts w:ascii="Arial" w:cs="Arial" w:eastAsia="Arial" w:hAnsi="Arial"/>
                <w:sz w:val="18"/>
                <w:szCs w:val="18"/>
                <w:color w:val="auto"/>
              </w:rPr>
              <w:t>Certification of the Chief Financial Officer pursuant to Section 302 of the Sarbanes-Oxley Act of 2002 (Rule 13a-14(a)). *</w:t>
            </w:r>
          </w:p>
        </w:tc>
        <w:tc>
          <w:tcPr>
            <w:tcW w:w="0" w:type="dxa"/>
            <w:vAlign w:val="bottom"/>
          </w:tcPr>
          <w:p>
            <w:pPr>
              <w:spacing w:after="0"/>
              <w:rPr>
                <w:sz w:val="1"/>
                <w:szCs w:val="1"/>
                <w:color w:val="auto"/>
              </w:rPr>
            </w:pPr>
          </w:p>
        </w:tc>
      </w:tr>
      <w:tr>
        <w:trPr>
          <w:trHeight w:val="216"/>
        </w:trPr>
        <w:tc>
          <w:tcPr>
            <w:tcW w:w="1280" w:type="dxa"/>
            <w:vAlign w:val="bottom"/>
            <w:gridSpan w:val="2"/>
          </w:tcPr>
          <w:p>
            <w:pPr>
              <w:ind w:left="580"/>
              <w:spacing w:after="0"/>
              <w:rPr>
                <w:sz w:val="20"/>
                <w:szCs w:val="20"/>
                <w:color w:val="auto"/>
              </w:rPr>
            </w:pPr>
            <w:r>
              <w:rPr>
                <w:rFonts w:ascii="Arial" w:cs="Arial" w:eastAsia="Arial" w:hAnsi="Arial"/>
                <w:sz w:val="18"/>
                <w:szCs w:val="18"/>
                <w:color w:val="auto"/>
              </w:rPr>
              <w:t>32.1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0" w:type="dxa"/>
            <w:vAlign w:val="bottom"/>
            <w:gridSpan w:val="3"/>
          </w:tcPr>
          <w:p>
            <w:pPr>
              <w:ind w:left="260"/>
              <w:spacing w:after="0"/>
              <w:rPr>
                <w:sz w:val="20"/>
                <w:szCs w:val="20"/>
                <w:color w:val="auto"/>
              </w:rPr>
            </w:pPr>
            <w:r>
              <w:rPr>
                <w:rFonts w:ascii="Arial" w:cs="Arial" w:eastAsia="Arial" w:hAnsi="Arial"/>
                <w:sz w:val="18"/>
                <w:szCs w:val="18"/>
                <w:color w:val="auto"/>
                <w:w w:val="93"/>
              </w:rPr>
              <w:t>Certificate of the Chief Executive Officer Pursuant to 18 U.S.C. Section 1350, as adopted pursuant to Section 906 of the Sarbanes-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0" w:type="dxa"/>
            <w:vAlign w:val="bottom"/>
            <w:gridSpan w:val="3"/>
          </w:tcPr>
          <w:p>
            <w:pPr>
              <w:ind w:left="260"/>
              <w:spacing w:after="0"/>
              <w:rPr>
                <w:sz w:val="20"/>
                <w:szCs w:val="20"/>
                <w:color w:val="auto"/>
              </w:rPr>
            </w:pPr>
            <w:r>
              <w:rPr>
                <w:rFonts w:ascii="Arial" w:cs="Arial" w:eastAsia="Arial" w:hAnsi="Arial"/>
                <w:sz w:val="18"/>
                <w:szCs w:val="18"/>
                <w:color w:val="auto"/>
              </w:rPr>
              <w:t>Oxley Act of 2002 (Rule 13a-14(b)). **</w:t>
            </w:r>
          </w:p>
        </w:tc>
        <w:tc>
          <w:tcPr>
            <w:tcW w:w="0" w:type="dxa"/>
            <w:vAlign w:val="bottom"/>
          </w:tcPr>
          <w:p>
            <w:pPr>
              <w:spacing w:after="0"/>
              <w:rPr>
                <w:sz w:val="1"/>
                <w:szCs w:val="1"/>
                <w:color w:val="auto"/>
              </w:rPr>
            </w:pPr>
          </w:p>
        </w:tc>
      </w:tr>
      <w:tr>
        <w:trPr>
          <w:trHeight w:val="216"/>
        </w:trPr>
        <w:tc>
          <w:tcPr>
            <w:tcW w:w="1280" w:type="dxa"/>
            <w:vAlign w:val="bottom"/>
            <w:gridSpan w:val="2"/>
          </w:tcPr>
          <w:p>
            <w:pPr>
              <w:ind w:left="580"/>
              <w:spacing w:after="0"/>
              <w:rPr>
                <w:sz w:val="20"/>
                <w:szCs w:val="20"/>
                <w:color w:val="auto"/>
              </w:rPr>
            </w:pPr>
            <w:r>
              <w:rPr>
                <w:rFonts w:ascii="Arial" w:cs="Arial" w:eastAsia="Arial" w:hAnsi="Arial"/>
                <w:sz w:val="18"/>
                <w:szCs w:val="18"/>
                <w:color w:val="auto"/>
              </w:rPr>
              <w:t>32.2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0" w:type="dxa"/>
            <w:vAlign w:val="bottom"/>
            <w:gridSpan w:val="3"/>
          </w:tcPr>
          <w:p>
            <w:pPr>
              <w:ind w:left="260"/>
              <w:spacing w:after="0"/>
              <w:rPr>
                <w:sz w:val="20"/>
                <w:szCs w:val="20"/>
                <w:color w:val="auto"/>
              </w:rPr>
            </w:pPr>
            <w:r>
              <w:rPr>
                <w:rFonts w:ascii="Arial" w:cs="Arial" w:eastAsia="Arial" w:hAnsi="Arial"/>
                <w:sz w:val="18"/>
                <w:szCs w:val="18"/>
                <w:color w:val="auto"/>
                <w:w w:val="93"/>
              </w:rPr>
              <w:t>Certificate of the Chief Financial Officer Pursuant to 18 U.S.C. Section 1350, as adopted pursuant to Section 906 of the Sarbanes-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0" w:type="dxa"/>
            <w:vAlign w:val="bottom"/>
            <w:gridSpan w:val="3"/>
          </w:tcPr>
          <w:p>
            <w:pPr>
              <w:ind w:left="260"/>
              <w:spacing w:after="0"/>
              <w:rPr>
                <w:sz w:val="20"/>
                <w:szCs w:val="20"/>
                <w:color w:val="auto"/>
              </w:rPr>
            </w:pPr>
            <w:r>
              <w:rPr>
                <w:rFonts w:ascii="Arial" w:cs="Arial" w:eastAsia="Arial" w:hAnsi="Arial"/>
                <w:sz w:val="18"/>
                <w:szCs w:val="18"/>
                <w:color w:val="auto"/>
              </w:rPr>
              <w:t>Oxley Act of 2002 (Rule 13a-14(b)).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-2780030</wp:posOffset>
            </wp:positionV>
            <wp:extent cx="1270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-2780030</wp:posOffset>
            </wp:positionV>
            <wp:extent cx="1270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ind w:left="1720" w:right="80" w:hanging="1124"/>
        <w:spacing w:after="0" w:line="281" w:lineRule="auto"/>
        <w:tabs>
          <w:tab w:leader="none" w:pos="1720" w:val="left"/>
        </w:tabs>
        <w:numPr>
          <w:ilvl w:val="1"/>
          <w:numId w:val="29"/>
        </w:numPr>
        <w:rPr>
          <w:rFonts w:ascii="Arial" w:cs="Arial" w:eastAsia="Arial" w:hAnsi="Arial"/>
          <w:sz w:val="16"/>
          <w:szCs w:val="16"/>
          <w:color w:val="auto"/>
        </w:rPr>
      </w:pPr>
      <w:r>
        <w:rPr>
          <w:rFonts w:ascii="Arial" w:cs="Arial" w:eastAsia="Arial" w:hAnsi="Arial"/>
          <w:sz w:val="16"/>
          <w:szCs w:val="16"/>
          <w:color w:val="auto"/>
        </w:rPr>
        <w:t>The following materials from Northeast Bancorp’s Quarterly Report on Form 10-Q for the quarter ended March 31, 2013 formatted in XBRL: (i) Consolidated Balance Sheets at March 31, 2013 and June 30, 2012; (ii) Consolidated Statements of Income for the three and nine months ended March 31, 2013 and 2012; (iii) Consolidated Statements of Comprehensive Income for the three and nine months ended March 31, 2013 and 2012; (iv) Consolidated Statements of Changes in Shareholders’ Equity for the nine months ended March 31, 2013 and 2012; (v) Consolidated Statements of Cash Flows for the nine months ended March 31, 2013 and 2012; and</w:t>
      </w:r>
    </w:p>
    <w:p>
      <w:pPr>
        <w:spacing w:after="0" w:line="3" w:lineRule="exact"/>
        <w:rPr>
          <w:rFonts w:ascii="Arial" w:cs="Arial" w:eastAsia="Arial" w:hAnsi="Arial"/>
          <w:sz w:val="16"/>
          <w:szCs w:val="16"/>
          <w:color w:val="auto"/>
        </w:rPr>
      </w:pPr>
    </w:p>
    <w:p>
      <w:pPr>
        <w:ind w:left="1720"/>
        <w:spacing w:after="0"/>
        <w:rPr>
          <w:rFonts w:ascii="Arial" w:cs="Arial" w:eastAsia="Arial" w:hAnsi="Arial"/>
          <w:sz w:val="16"/>
          <w:szCs w:val="16"/>
          <w:color w:val="auto"/>
        </w:rPr>
      </w:pPr>
      <w:r>
        <w:rPr>
          <w:rFonts w:ascii="Arial" w:cs="Arial" w:eastAsia="Arial" w:hAnsi="Arial"/>
          <w:sz w:val="18"/>
          <w:szCs w:val="18"/>
          <w:color w:val="auto"/>
        </w:rPr>
        <w:t>(v) Notes to Unaudited Consolidated Financial Statements. ***</w:t>
      </w:r>
    </w:p>
    <w:p>
      <w:pPr>
        <w:spacing w:after="0" w:line="200" w:lineRule="exact"/>
        <w:rPr>
          <w:rFonts w:ascii="Arial" w:cs="Arial" w:eastAsia="Arial" w:hAnsi="Arial"/>
          <w:sz w:val="16"/>
          <w:szCs w:val="16"/>
          <w:color w:val="auto"/>
        </w:rPr>
      </w:pPr>
    </w:p>
    <w:p>
      <w:pPr>
        <w:spacing w:after="0" w:line="24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 Filed herewith</w:t>
      </w:r>
    </w:p>
    <w:p>
      <w:pPr>
        <w:spacing w:after="0" w:line="23" w:lineRule="exact"/>
        <w:rPr>
          <w:rFonts w:ascii="Arial" w:cs="Arial" w:eastAsia="Arial" w:hAnsi="Arial"/>
          <w:sz w:val="16"/>
          <w:szCs w:val="16"/>
          <w:color w:val="auto"/>
        </w:rPr>
      </w:pPr>
    </w:p>
    <w:p>
      <w:pPr>
        <w:ind w:left="240" w:hanging="232"/>
        <w:spacing w:after="0"/>
        <w:tabs>
          <w:tab w:leader="none" w:pos="2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9" w:lineRule="exact"/>
        <w:rPr>
          <w:rFonts w:ascii="Arial" w:cs="Arial" w:eastAsia="Arial" w:hAnsi="Arial"/>
          <w:sz w:val="18"/>
          <w:szCs w:val="18"/>
          <w:color w:val="auto"/>
        </w:rPr>
      </w:pPr>
    </w:p>
    <w:p>
      <w:pPr>
        <w:ind w:right="160" w:firstLine="8"/>
        <w:spacing w:after="0" w:line="323" w:lineRule="auto"/>
        <w:tabs>
          <w:tab w:leader="none" w:pos="315" w:val="left"/>
        </w:tabs>
        <w:numPr>
          <w:ilvl w:val="0"/>
          <w:numId w:val="31"/>
        </w:numPr>
        <w:rPr>
          <w:rFonts w:ascii="Arial" w:cs="Arial" w:eastAsia="Arial" w:hAnsi="Arial"/>
          <w:sz w:val="16"/>
          <w:szCs w:val="16"/>
          <w:color w:val="auto"/>
        </w:rPr>
      </w:pPr>
      <w:r>
        <w:rPr>
          <w:rFonts w:ascii="Arial" w:cs="Arial" w:eastAsia="Arial" w:hAnsi="Arial"/>
          <w:sz w:val="16"/>
          <w:szCs w:val="16"/>
          <w:color w:val="auto"/>
        </w:rPr>
        <w:t>Pursuant to Rule 406T of Regulation S-T, the XBRL related information in Exhibit 101 to this Quarterly Report on Form 10-Q is furnished and not filed for purposes of Sections 11 and 12 of the Securities Act of 1933, as amended, and Section 18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-665480</wp:posOffset>
            </wp:positionV>
            <wp:extent cx="182689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1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1" w:right="199" w:bottom="0" w:gutter="0" w:footer="0" w:header="0"/>
        </w:sectPr>
      </w:pPr>
    </w:p>
    <w:p>
      <w:pPr>
        <w:spacing w:after="0" w:line="200" w:lineRule="exact"/>
        <w:rPr>
          <w:sz w:val="20"/>
          <w:szCs w:val="20"/>
          <w:color w:val="auto"/>
        </w:rPr>
      </w:pPr>
    </w:p>
    <w:p>
      <w:pPr>
        <w:spacing w:after="0" w:line="309" w:lineRule="exact"/>
        <w:rPr>
          <w:sz w:val="20"/>
          <w:szCs w:val="20"/>
          <w:color w:val="auto"/>
        </w:rPr>
      </w:pPr>
    </w:p>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ectPr>
          <w:pgSz w:w="11900" w:h="16838" w:orient="portrait"/>
          <w:cols w:equalWidth="0" w:num="1">
            <w:col w:w="11460"/>
          </w:cols>
          <w:pgMar w:left="240" w:top="121" w:right="199" w:bottom="0" w:gutter="0" w:footer="0" w:header="0"/>
          <w:type w:val="continuous"/>
        </w:sectPr>
      </w:pPr>
    </w:p>
    <w:bookmarkStart w:id="37" w:name="page38"/>
    <w:bookmarkEnd w:id="37"/>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Pursuant to the requirements of the Securities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520" w:type="dxa"/>
            <w:vAlign w:val="bottom"/>
            <w:gridSpan w:val="4"/>
          </w:tcPr>
          <w:p>
            <w:pPr>
              <w:spacing w:after="0"/>
              <w:rPr>
                <w:sz w:val="20"/>
                <w:szCs w:val="20"/>
                <w:color w:val="auto"/>
              </w:rPr>
            </w:pPr>
            <w:r>
              <w:rPr>
                <w:rFonts w:ascii="Arial" w:cs="Arial" w:eastAsia="Arial" w:hAnsi="Arial"/>
                <w:sz w:val="18"/>
                <w:szCs w:val="18"/>
                <w:color w:val="auto"/>
                <w:w w:val="95"/>
              </w:rPr>
              <w:t>Date: May 15, 2013</w:t>
            </w:r>
          </w:p>
        </w:tc>
        <w:tc>
          <w:tcPr>
            <w:tcW w:w="8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b w:val="1"/>
                <w:bCs w:val="1"/>
                <w:color w:val="auto"/>
              </w:rPr>
              <w:t>NORTHEAST BANCORP</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540" w:type="dxa"/>
            <w:vAlign w:val="bottom"/>
          </w:tcPr>
          <w:p>
            <w:pPr>
              <w:ind w:left="4140"/>
              <w:spacing w:after="0"/>
              <w:rPr>
                <w:sz w:val="20"/>
                <w:szCs w:val="20"/>
                <w:color w:val="auto"/>
              </w:rPr>
            </w:pPr>
            <w:r>
              <w:rPr>
                <w:rFonts w:ascii="Arial" w:cs="Arial" w:eastAsia="Arial" w:hAnsi="Arial"/>
                <w:sz w:val="18"/>
                <w:szCs w:val="18"/>
                <w:color w:val="auto"/>
              </w:rPr>
              <w:t>By:</w:t>
            </w:r>
          </w:p>
        </w:tc>
        <w:tc>
          <w:tcPr>
            <w:tcW w:w="140" w:type="dxa"/>
            <w:vAlign w:val="bottom"/>
          </w:tcPr>
          <w:p>
            <w:pPr>
              <w:spacing w:after="0"/>
              <w:rPr>
                <w:sz w:val="20"/>
                <w:szCs w:val="20"/>
                <w:color w:val="auto"/>
              </w:rPr>
            </w:pP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Wayne</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Richard Wayne</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President and CEO</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540" w:type="dxa"/>
            <w:vAlign w:val="bottom"/>
          </w:tcPr>
          <w:p>
            <w:pPr>
              <w:ind w:left="4140"/>
              <w:spacing w:after="0"/>
              <w:rPr>
                <w:sz w:val="20"/>
                <w:szCs w:val="20"/>
                <w:color w:val="auto"/>
              </w:rPr>
            </w:pPr>
            <w:r>
              <w:rPr>
                <w:rFonts w:ascii="Arial" w:cs="Arial" w:eastAsia="Arial" w:hAnsi="Arial"/>
                <w:sz w:val="18"/>
                <w:szCs w:val="18"/>
                <w:color w:val="auto"/>
              </w:rPr>
              <w:t>By:</w:t>
            </w:r>
          </w:p>
        </w:tc>
        <w:tc>
          <w:tcPr>
            <w:tcW w:w="140" w:type="dxa"/>
            <w:vAlign w:val="bottom"/>
          </w:tcPr>
          <w:p>
            <w:pPr>
              <w:spacing w:after="0"/>
              <w:rPr>
                <w:sz w:val="24"/>
                <w:szCs w:val="24"/>
                <w:color w:val="auto"/>
              </w:rPr>
            </w:pP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Claire S. Bean</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Claire S. Bean</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20" w:type="dxa"/>
            <w:vAlign w:val="bottom"/>
            <w:gridSpan w:val="2"/>
          </w:tcPr>
          <w:p>
            <w:pPr>
              <w:jc w:val="center"/>
              <w:ind w:left="3670"/>
              <w:spacing w:after="0"/>
              <w:rPr>
                <w:sz w:val="20"/>
                <w:szCs w:val="20"/>
                <w:color w:val="auto"/>
              </w:rPr>
            </w:pPr>
            <w:r>
              <w:rPr>
                <w:rFonts w:ascii="Arial" w:cs="Arial" w:eastAsia="Arial" w:hAnsi="Arial"/>
                <w:sz w:val="18"/>
                <w:szCs w:val="18"/>
                <w:color w:val="auto"/>
                <w:w w:val="89"/>
              </w:rPr>
              <w:t>55</w:t>
            </w:r>
          </w:p>
        </w:tc>
        <w:tc>
          <w:tcPr>
            <w:tcW w:w="14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126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45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51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1520" w:type="dxa"/>
            <w:vAlign w:val="bottom"/>
            <w:gridSpan w:val="4"/>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8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20" w:type="dxa"/>
            <w:vAlign w:val="bottom"/>
            <w:gridSpan w:val="3"/>
          </w:tcPr>
          <w:p>
            <w:pPr>
              <w:jc w:val="center"/>
              <w:ind w:right="1510"/>
              <w:spacing w:after="0"/>
              <w:rPr>
                <w:sz w:val="20"/>
                <w:szCs w:val="20"/>
                <w:color w:val="auto"/>
              </w:rPr>
            </w:pPr>
            <w:r>
              <w:rPr>
                <w:rFonts w:ascii="Arial" w:cs="Arial" w:eastAsia="Arial" w:hAnsi="Arial"/>
                <w:sz w:val="18"/>
                <w:szCs w:val="18"/>
                <w:b w:val="1"/>
                <w:bCs w:val="1"/>
                <w:color w:val="auto"/>
                <w:w w:val="99"/>
              </w:rPr>
              <w:t>NORTHEAST BANCORP</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20" w:type="dxa"/>
            <w:vAlign w:val="bottom"/>
            <w:gridSpan w:val="3"/>
          </w:tcPr>
          <w:p>
            <w:pPr>
              <w:jc w:val="center"/>
              <w:ind w:right="1490"/>
              <w:spacing w:after="0"/>
              <w:rPr>
                <w:sz w:val="20"/>
                <w:szCs w:val="20"/>
                <w:color w:val="auto"/>
              </w:rPr>
            </w:pPr>
            <w:r>
              <w:rPr>
                <w:rFonts w:ascii="Arial" w:cs="Arial" w:eastAsia="Arial" w:hAnsi="Arial"/>
                <w:sz w:val="18"/>
                <w:szCs w:val="18"/>
                <w:b w:val="1"/>
                <w:bCs w:val="1"/>
                <w:color w:val="auto"/>
                <w:w w:val="91"/>
              </w:rPr>
              <w:t>Index to Exhibits</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1520" w:type="dxa"/>
            <w:vAlign w:val="bottom"/>
            <w:gridSpan w:val="4"/>
          </w:tcPr>
          <w:p>
            <w:pPr>
              <w:spacing w:after="0"/>
              <w:rPr>
                <w:sz w:val="20"/>
                <w:szCs w:val="20"/>
                <w:color w:val="auto"/>
              </w:rPr>
            </w:pPr>
            <w:r>
              <w:rPr>
                <w:rFonts w:ascii="Arial" w:cs="Arial" w:eastAsia="Arial" w:hAnsi="Arial"/>
                <w:sz w:val="14"/>
                <w:szCs w:val="14"/>
                <w:b w:val="1"/>
                <w:bCs w:val="1"/>
                <w:color w:val="auto"/>
              </w:rPr>
              <w:t>Exhibits</w:t>
            </w:r>
          </w:p>
        </w:tc>
        <w:tc>
          <w:tcPr>
            <w:tcW w:w="8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52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520" w:type="dxa"/>
            <w:vAlign w:val="bottom"/>
            <w:gridSpan w:val="4"/>
          </w:tcPr>
          <w:p>
            <w:pPr>
              <w:spacing w:after="0"/>
              <w:rPr>
                <w:sz w:val="20"/>
                <w:szCs w:val="20"/>
                <w:color w:val="auto"/>
              </w:rPr>
            </w:pPr>
            <w:r>
              <w:rPr>
                <w:rFonts w:ascii="Arial" w:cs="Arial" w:eastAsia="Arial" w:hAnsi="Arial"/>
                <w:sz w:val="14"/>
                <w:szCs w:val="14"/>
                <w:b w:val="1"/>
                <w:bCs w:val="1"/>
                <w:color w:val="auto"/>
              </w:rPr>
              <w:t>No.</w:t>
            </w:r>
          </w:p>
        </w:tc>
        <w:tc>
          <w:tcPr>
            <w:tcW w:w="8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52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260" w:type="dxa"/>
            <w:vAlign w:val="bottom"/>
            <w:tcBorders>
              <w:top w:val="single" w:sz="8" w:color="auto"/>
            </w:tcBorders>
          </w:tcPr>
          <w:p>
            <w:pPr>
              <w:jc w:val="right"/>
              <w:ind w:right="350"/>
              <w:spacing w:after="0" w:line="195" w:lineRule="exact"/>
              <w:rPr>
                <w:sz w:val="20"/>
                <w:szCs w:val="20"/>
                <w:color w:val="auto"/>
              </w:rPr>
            </w:pPr>
            <w:r>
              <w:rPr>
                <w:rFonts w:ascii="Arial" w:cs="Arial" w:eastAsia="Arial" w:hAnsi="Arial"/>
                <w:sz w:val="18"/>
                <w:szCs w:val="18"/>
                <w:color w:val="auto"/>
              </w:rPr>
              <w:t>10.1</w:t>
            </w:r>
          </w:p>
        </w:tc>
        <w:tc>
          <w:tcPr>
            <w:tcW w:w="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20" w:type="dxa"/>
            <w:vAlign w:val="bottom"/>
            <w:tcBorders>
              <w:top w:val="single" w:sz="8" w:color="auto"/>
            </w:tcBorders>
            <w:gridSpan w:val="3"/>
          </w:tcPr>
          <w:p>
            <w:pPr>
              <w:spacing w:after="0" w:line="195" w:lineRule="exact"/>
              <w:rPr>
                <w:sz w:val="20"/>
                <w:szCs w:val="20"/>
                <w:color w:val="auto"/>
              </w:rPr>
            </w:pPr>
            <w:r>
              <w:rPr>
                <w:rFonts w:ascii="Arial" w:cs="Arial" w:eastAsia="Arial" w:hAnsi="Arial"/>
                <w:sz w:val="18"/>
                <w:szCs w:val="18"/>
                <w:color w:val="auto"/>
                <w:w w:val="95"/>
              </w:rPr>
              <w:t>Amended and Restated Non-Qualified Performance-Based Stock Option Agreement, dated March 22, 2013, by and between the</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900" w:type="dxa"/>
            <w:vAlign w:val="bottom"/>
            <w:gridSpan w:val="4"/>
          </w:tcPr>
          <w:p>
            <w:pPr>
              <w:ind w:left="80"/>
              <w:spacing w:after="0"/>
              <w:rPr>
                <w:sz w:val="20"/>
                <w:szCs w:val="20"/>
                <w:color w:val="auto"/>
              </w:rPr>
            </w:pPr>
            <w:r>
              <w:rPr>
                <w:rFonts w:ascii="Arial" w:cs="Arial" w:eastAsia="Arial" w:hAnsi="Arial"/>
                <w:sz w:val="18"/>
                <w:szCs w:val="18"/>
                <w:color w:val="auto"/>
                <w:w w:val="91"/>
              </w:rPr>
              <w:t>Company and Richard Wayne (incorporated by reference to Exhibit 10.1 of Northeast Bancorp’s Current Report on Form 8-K filed with</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20" w:type="dxa"/>
            <w:vAlign w:val="bottom"/>
            <w:gridSpan w:val="2"/>
          </w:tcPr>
          <w:p>
            <w:pPr>
              <w:ind w:left="80"/>
              <w:spacing w:after="0"/>
              <w:rPr>
                <w:sz w:val="20"/>
                <w:szCs w:val="20"/>
                <w:color w:val="auto"/>
              </w:rPr>
            </w:pPr>
            <w:r>
              <w:rPr>
                <w:rFonts w:ascii="Arial" w:cs="Arial" w:eastAsia="Arial" w:hAnsi="Arial"/>
                <w:sz w:val="18"/>
                <w:szCs w:val="18"/>
                <w:color w:val="auto"/>
                <w:w w:val="90"/>
              </w:rPr>
              <w:t>the Securities and Exchange Commission on March 26, 2013).</w:t>
            </w:r>
          </w:p>
        </w:tc>
        <w:tc>
          <w:tcPr>
            <w:tcW w:w="14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gridSpan w:val="2"/>
          </w:tcPr>
          <w:p>
            <w:pPr>
              <w:jc w:val="right"/>
              <w:ind w:right="350"/>
              <w:spacing w:after="0"/>
              <w:rPr>
                <w:sz w:val="20"/>
                <w:szCs w:val="20"/>
                <w:color w:val="auto"/>
              </w:rPr>
            </w:pPr>
            <w:r>
              <w:rPr>
                <w:rFonts w:ascii="Arial" w:cs="Arial" w:eastAsia="Arial" w:hAnsi="Arial"/>
                <w:sz w:val="18"/>
                <w:szCs w:val="18"/>
                <w:color w:val="auto"/>
              </w:rPr>
              <w:t>10.2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900" w:type="dxa"/>
            <w:vAlign w:val="bottom"/>
            <w:gridSpan w:val="4"/>
          </w:tcPr>
          <w:p>
            <w:pPr>
              <w:ind w:left="80"/>
              <w:spacing w:after="0"/>
              <w:rPr>
                <w:sz w:val="20"/>
                <w:szCs w:val="20"/>
                <w:color w:val="auto"/>
              </w:rPr>
            </w:pPr>
            <w:r>
              <w:rPr>
                <w:rFonts w:ascii="Arial" w:cs="Arial" w:eastAsia="Arial" w:hAnsi="Arial"/>
                <w:sz w:val="18"/>
                <w:szCs w:val="18"/>
                <w:color w:val="auto"/>
                <w:w w:val="95"/>
              </w:rPr>
              <w:t>Amended and Restated Non-Qualified Performance-Based Stock Option Agreement, dated March 22, 2013, by and between the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900" w:type="dxa"/>
            <w:vAlign w:val="bottom"/>
            <w:gridSpan w:val="4"/>
          </w:tcPr>
          <w:p>
            <w:pPr>
              <w:ind w:left="80"/>
              <w:spacing w:after="0"/>
              <w:rPr>
                <w:sz w:val="20"/>
                <w:szCs w:val="20"/>
                <w:color w:val="auto"/>
              </w:rPr>
            </w:pPr>
            <w:r>
              <w:rPr>
                <w:rFonts w:ascii="Arial" w:cs="Arial" w:eastAsia="Arial" w:hAnsi="Arial"/>
                <w:sz w:val="18"/>
                <w:szCs w:val="18"/>
                <w:color w:val="auto"/>
                <w:w w:val="91"/>
              </w:rPr>
              <w:t>Company and Claire Bean (incorporated by reference to Exhibit 10.2 of Northeast Bancorp’s Current Report on Form 8-K filed with the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20" w:type="dxa"/>
            <w:vAlign w:val="bottom"/>
            <w:gridSpan w:val="2"/>
          </w:tcPr>
          <w:p>
            <w:pPr>
              <w:ind w:left="80"/>
              <w:spacing w:after="0"/>
              <w:rPr>
                <w:sz w:val="20"/>
                <w:szCs w:val="20"/>
                <w:color w:val="auto"/>
              </w:rPr>
            </w:pPr>
            <w:r>
              <w:rPr>
                <w:rFonts w:ascii="Arial" w:cs="Arial" w:eastAsia="Arial" w:hAnsi="Arial"/>
                <w:sz w:val="18"/>
                <w:szCs w:val="18"/>
                <w:color w:val="auto"/>
                <w:w w:val="96"/>
              </w:rPr>
              <w:t>Securities and Exchange Commission on March 26, 2013).</w:t>
            </w:r>
          </w:p>
        </w:tc>
        <w:tc>
          <w:tcPr>
            <w:tcW w:w="14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gridSpan w:val="2"/>
          </w:tcPr>
          <w:p>
            <w:pPr>
              <w:jc w:val="right"/>
              <w:ind w:right="350"/>
              <w:spacing w:after="0"/>
              <w:rPr>
                <w:sz w:val="20"/>
                <w:szCs w:val="20"/>
                <w:color w:val="auto"/>
              </w:rPr>
            </w:pPr>
            <w:r>
              <w:rPr>
                <w:rFonts w:ascii="Arial" w:cs="Arial" w:eastAsia="Arial" w:hAnsi="Arial"/>
                <w:sz w:val="18"/>
                <w:szCs w:val="18"/>
                <w:color w:val="auto"/>
              </w:rPr>
              <w:t>10.3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900" w:type="dxa"/>
            <w:vAlign w:val="bottom"/>
            <w:gridSpan w:val="4"/>
          </w:tcPr>
          <w:p>
            <w:pPr>
              <w:ind w:left="80"/>
              <w:spacing w:after="0"/>
              <w:rPr>
                <w:sz w:val="20"/>
                <w:szCs w:val="20"/>
                <w:color w:val="auto"/>
              </w:rPr>
            </w:pPr>
            <w:r>
              <w:rPr>
                <w:rFonts w:ascii="Arial" w:cs="Arial" w:eastAsia="Arial" w:hAnsi="Arial"/>
                <w:sz w:val="18"/>
                <w:szCs w:val="18"/>
                <w:color w:val="auto"/>
                <w:w w:val="95"/>
              </w:rPr>
              <w:t>Amended and Restated Non-Qualified Performance-Based Stock Option Agreement, dated March 22, 2013, by and between the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900" w:type="dxa"/>
            <w:vAlign w:val="bottom"/>
            <w:gridSpan w:val="4"/>
          </w:tcPr>
          <w:p>
            <w:pPr>
              <w:ind w:left="80"/>
              <w:spacing w:after="0"/>
              <w:rPr>
                <w:sz w:val="20"/>
                <w:szCs w:val="20"/>
                <w:color w:val="auto"/>
              </w:rPr>
            </w:pPr>
            <w:r>
              <w:rPr>
                <w:rFonts w:ascii="Arial" w:cs="Arial" w:eastAsia="Arial" w:hAnsi="Arial"/>
                <w:sz w:val="18"/>
                <w:szCs w:val="18"/>
                <w:color w:val="auto"/>
                <w:w w:val="93"/>
              </w:rPr>
              <w:t>Company and Heather Campion (incorporated by reference to Exhibit 10.3 of Northeast Bancorp’s Current Report on Form 8-K filed</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900" w:type="dxa"/>
            <w:vAlign w:val="bottom"/>
            <w:gridSpan w:val="4"/>
          </w:tcPr>
          <w:p>
            <w:pPr>
              <w:ind w:left="80"/>
              <w:spacing w:after="0"/>
              <w:rPr>
                <w:sz w:val="20"/>
                <w:szCs w:val="20"/>
                <w:color w:val="auto"/>
              </w:rPr>
            </w:pPr>
            <w:r>
              <w:rPr>
                <w:rFonts w:ascii="Arial" w:cs="Arial" w:eastAsia="Arial" w:hAnsi="Arial"/>
                <w:sz w:val="18"/>
                <w:szCs w:val="18"/>
                <w:color w:val="auto"/>
              </w:rPr>
              <w:t>with the Securities and Exchange Commission on March 26, 2013).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gridSpan w:val="2"/>
          </w:tcPr>
          <w:p>
            <w:pPr>
              <w:jc w:val="right"/>
              <w:ind w:right="350"/>
              <w:spacing w:after="0"/>
              <w:rPr>
                <w:sz w:val="20"/>
                <w:szCs w:val="20"/>
                <w:color w:val="auto"/>
              </w:rPr>
            </w:pPr>
            <w:r>
              <w:rPr>
                <w:rFonts w:ascii="Arial" w:cs="Arial" w:eastAsia="Arial" w:hAnsi="Arial"/>
                <w:sz w:val="18"/>
                <w:szCs w:val="18"/>
                <w:color w:val="auto"/>
              </w:rPr>
              <w:t>31.1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900" w:type="dxa"/>
            <w:vAlign w:val="bottom"/>
            <w:gridSpan w:val="4"/>
          </w:tcPr>
          <w:p>
            <w:pPr>
              <w:ind w:left="80"/>
              <w:spacing w:after="0"/>
              <w:rPr>
                <w:sz w:val="20"/>
                <w:szCs w:val="20"/>
                <w:color w:val="auto"/>
              </w:rPr>
            </w:pPr>
            <w:r>
              <w:rPr>
                <w:rFonts w:ascii="Arial" w:cs="Arial" w:eastAsia="Arial" w:hAnsi="Arial"/>
                <w:sz w:val="18"/>
                <w:szCs w:val="18"/>
                <w:color w:val="auto"/>
              </w:rPr>
              <w:t>Certification of the Chief Executive Officer pursuant to Section 302 of the Sarbanes-Oxley Act of 2002 (Rule 13a-14(a)). *</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gridSpan w:val="2"/>
          </w:tcPr>
          <w:p>
            <w:pPr>
              <w:jc w:val="right"/>
              <w:ind w:right="350"/>
              <w:spacing w:after="0"/>
              <w:rPr>
                <w:sz w:val="20"/>
                <w:szCs w:val="20"/>
                <w:color w:val="auto"/>
              </w:rPr>
            </w:pPr>
            <w:r>
              <w:rPr>
                <w:rFonts w:ascii="Arial" w:cs="Arial" w:eastAsia="Arial" w:hAnsi="Arial"/>
                <w:sz w:val="18"/>
                <w:szCs w:val="18"/>
                <w:color w:val="auto"/>
              </w:rPr>
              <w:t>31.2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900" w:type="dxa"/>
            <w:vAlign w:val="bottom"/>
            <w:gridSpan w:val="4"/>
          </w:tcPr>
          <w:p>
            <w:pPr>
              <w:ind w:left="80"/>
              <w:spacing w:after="0"/>
              <w:rPr>
                <w:sz w:val="20"/>
                <w:szCs w:val="20"/>
                <w:color w:val="auto"/>
              </w:rPr>
            </w:pPr>
            <w:r>
              <w:rPr>
                <w:rFonts w:ascii="Arial" w:cs="Arial" w:eastAsia="Arial" w:hAnsi="Arial"/>
                <w:sz w:val="18"/>
                <w:szCs w:val="18"/>
                <w:color w:val="auto"/>
              </w:rPr>
              <w:t>Certification of the Chief Financial Officer pursuant to Section 302 of the Sarbanes-Oxley Act of 2002 (Rule 13a-14(a)). *</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gridSpan w:val="2"/>
          </w:tcPr>
          <w:p>
            <w:pPr>
              <w:jc w:val="right"/>
              <w:ind w:right="350"/>
              <w:spacing w:after="0"/>
              <w:rPr>
                <w:sz w:val="20"/>
                <w:szCs w:val="20"/>
                <w:color w:val="auto"/>
              </w:rPr>
            </w:pPr>
            <w:r>
              <w:rPr>
                <w:rFonts w:ascii="Arial" w:cs="Arial" w:eastAsia="Arial" w:hAnsi="Arial"/>
                <w:sz w:val="18"/>
                <w:szCs w:val="18"/>
                <w:color w:val="auto"/>
              </w:rPr>
              <w:t>32.1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900" w:type="dxa"/>
            <w:vAlign w:val="bottom"/>
            <w:gridSpan w:val="4"/>
          </w:tcPr>
          <w:p>
            <w:pPr>
              <w:ind w:left="80"/>
              <w:spacing w:after="0"/>
              <w:rPr>
                <w:sz w:val="20"/>
                <w:szCs w:val="20"/>
                <w:color w:val="auto"/>
              </w:rPr>
            </w:pPr>
            <w:r>
              <w:rPr>
                <w:rFonts w:ascii="Arial" w:cs="Arial" w:eastAsia="Arial" w:hAnsi="Arial"/>
                <w:sz w:val="18"/>
                <w:szCs w:val="18"/>
                <w:color w:val="auto"/>
                <w:w w:val="94"/>
              </w:rPr>
              <w:t>Certificate of the Chief Executive Officer pursuant to 18 U.S.C. Section 1350, as adopted pursuant to Section 906 of the Sarbanes-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20" w:type="dxa"/>
            <w:vAlign w:val="bottom"/>
            <w:gridSpan w:val="2"/>
          </w:tcPr>
          <w:p>
            <w:pPr>
              <w:ind w:left="80"/>
              <w:spacing w:after="0"/>
              <w:rPr>
                <w:sz w:val="20"/>
                <w:szCs w:val="20"/>
                <w:color w:val="auto"/>
              </w:rPr>
            </w:pPr>
            <w:r>
              <w:rPr>
                <w:rFonts w:ascii="Arial" w:cs="Arial" w:eastAsia="Arial" w:hAnsi="Arial"/>
                <w:sz w:val="18"/>
                <w:szCs w:val="18"/>
                <w:color w:val="auto"/>
              </w:rPr>
              <w:t>Oxley Act of 2002 (Rule 13a-14(b)). **</w:t>
            </w:r>
          </w:p>
        </w:tc>
        <w:tc>
          <w:tcPr>
            <w:tcW w:w="14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gridSpan w:val="2"/>
          </w:tcPr>
          <w:p>
            <w:pPr>
              <w:jc w:val="right"/>
              <w:ind w:right="350"/>
              <w:spacing w:after="0"/>
              <w:rPr>
                <w:sz w:val="20"/>
                <w:szCs w:val="20"/>
                <w:color w:val="auto"/>
              </w:rPr>
            </w:pPr>
            <w:r>
              <w:rPr>
                <w:rFonts w:ascii="Arial" w:cs="Arial" w:eastAsia="Arial" w:hAnsi="Arial"/>
                <w:sz w:val="18"/>
                <w:szCs w:val="18"/>
                <w:color w:val="auto"/>
              </w:rPr>
              <w:t>32.2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900" w:type="dxa"/>
            <w:vAlign w:val="bottom"/>
            <w:gridSpan w:val="4"/>
          </w:tcPr>
          <w:p>
            <w:pPr>
              <w:ind w:left="80"/>
              <w:spacing w:after="0"/>
              <w:rPr>
                <w:sz w:val="20"/>
                <w:szCs w:val="20"/>
                <w:color w:val="auto"/>
              </w:rPr>
            </w:pPr>
            <w:r>
              <w:rPr>
                <w:rFonts w:ascii="Arial" w:cs="Arial" w:eastAsia="Arial" w:hAnsi="Arial"/>
                <w:sz w:val="18"/>
                <w:szCs w:val="18"/>
                <w:color w:val="auto"/>
                <w:w w:val="90"/>
              </w:rPr>
              <w:t>Certificate of the Chief Financial Officer pursuant to 18 U.S.C. Section 1350, as adopted pursuant to Section 906 of the Sarbanes-Oxley</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20" w:type="dxa"/>
            <w:vAlign w:val="bottom"/>
            <w:gridSpan w:val="2"/>
          </w:tcPr>
          <w:p>
            <w:pPr>
              <w:ind w:left="80"/>
              <w:spacing w:after="0"/>
              <w:rPr>
                <w:sz w:val="20"/>
                <w:szCs w:val="20"/>
                <w:color w:val="auto"/>
              </w:rPr>
            </w:pPr>
            <w:r>
              <w:rPr>
                <w:rFonts w:ascii="Arial" w:cs="Arial" w:eastAsia="Arial" w:hAnsi="Arial"/>
                <w:sz w:val="18"/>
                <w:szCs w:val="18"/>
                <w:color w:val="auto"/>
              </w:rPr>
              <w:t>Act of 2002 (Rule 13a-14(b)). **</w:t>
            </w:r>
          </w:p>
        </w:tc>
        <w:tc>
          <w:tcPr>
            <w:tcW w:w="14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-3191510</wp:posOffset>
            </wp:positionV>
            <wp:extent cx="1270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-3191510</wp:posOffset>
            </wp:positionV>
            <wp:extent cx="1270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ind w:left="1600" w:right="100" w:hanging="1052"/>
        <w:spacing w:after="0" w:line="281" w:lineRule="auto"/>
        <w:tabs>
          <w:tab w:leader="none" w:pos="1600" w:val="left"/>
        </w:tabs>
        <w:numPr>
          <w:ilvl w:val="1"/>
          <w:numId w:val="32"/>
        </w:numPr>
        <w:rPr>
          <w:rFonts w:ascii="Arial" w:cs="Arial" w:eastAsia="Arial" w:hAnsi="Arial"/>
          <w:sz w:val="16"/>
          <w:szCs w:val="16"/>
          <w:color w:val="auto"/>
        </w:rPr>
      </w:pPr>
      <w:r>
        <w:rPr>
          <w:rFonts w:ascii="Arial" w:cs="Arial" w:eastAsia="Arial" w:hAnsi="Arial"/>
          <w:sz w:val="16"/>
          <w:szCs w:val="16"/>
          <w:color w:val="auto"/>
        </w:rPr>
        <w:t>The following materials from Northeast Bancorp’s Quarterly Report on Form 10-Q for the quarter ended March 31, 2013 formatted in XBRL: (i) Consolidated Balance Sheets at March 31, 2013 and June 30, 2012; (ii) Consolidated Statements of Income for the three and nine months ended March 31, 2013 and 2012; (iii) Consolidated Statements of Comprehensive Income for the three and nine months ended March 31, 2013 and 2012; (iv) Consolidated Statements of Changes in Shareholders’ Equity for the nine months ended March 31, 2013 and 2012; (v) Consolidated Statements of Cash Flows for the nine months ended March 31, 2013 and 2012; and</w:t>
      </w:r>
    </w:p>
    <w:p>
      <w:pPr>
        <w:spacing w:after="0" w:line="3" w:lineRule="exact"/>
        <w:rPr>
          <w:rFonts w:ascii="Arial" w:cs="Arial" w:eastAsia="Arial" w:hAnsi="Arial"/>
          <w:sz w:val="16"/>
          <w:szCs w:val="16"/>
          <w:color w:val="auto"/>
        </w:rPr>
      </w:pPr>
    </w:p>
    <w:p>
      <w:pPr>
        <w:ind w:left="1600"/>
        <w:spacing w:after="0"/>
        <w:rPr>
          <w:rFonts w:ascii="Arial" w:cs="Arial" w:eastAsia="Arial" w:hAnsi="Arial"/>
          <w:sz w:val="16"/>
          <w:szCs w:val="16"/>
          <w:color w:val="auto"/>
        </w:rPr>
      </w:pPr>
      <w:r>
        <w:rPr>
          <w:rFonts w:ascii="Arial" w:cs="Arial" w:eastAsia="Arial" w:hAnsi="Arial"/>
          <w:sz w:val="18"/>
          <w:szCs w:val="18"/>
          <w:color w:val="auto"/>
        </w:rPr>
        <w:t>(v) Notes to Unaudited Consolidated Financial Statements. ***</w:t>
      </w:r>
    </w:p>
    <w:p>
      <w:pPr>
        <w:spacing w:after="0" w:line="200" w:lineRule="exact"/>
        <w:rPr>
          <w:rFonts w:ascii="Arial" w:cs="Arial" w:eastAsia="Arial" w:hAnsi="Arial"/>
          <w:sz w:val="16"/>
          <w:szCs w:val="16"/>
          <w:color w:val="auto"/>
        </w:rPr>
      </w:pPr>
    </w:p>
    <w:p>
      <w:pPr>
        <w:spacing w:after="0" w:line="24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  Filed herewith</w:t>
      </w:r>
    </w:p>
    <w:p>
      <w:pPr>
        <w:spacing w:after="0" w:line="23" w:lineRule="exact"/>
        <w:rPr>
          <w:rFonts w:ascii="Arial" w:cs="Arial" w:eastAsia="Arial" w:hAnsi="Arial"/>
          <w:sz w:val="16"/>
          <w:szCs w:val="16"/>
          <w:color w:val="auto"/>
        </w:rPr>
      </w:pPr>
    </w:p>
    <w:p>
      <w:pPr>
        <w:ind w:left="240" w:hanging="232"/>
        <w:spacing w:after="0"/>
        <w:tabs>
          <w:tab w:leader="none" w:pos="2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9" w:lineRule="exact"/>
        <w:rPr>
          <w:rFonts w:ascii="Arial" w:cs="Arial" w:eastAsia="Arial" w:hAnsi="Arial"/>
          <w:sz w:val="18"/>
          <w:szCs w:val="18"/>
          <w:color w:val="auto"/>
        </w:rPr>
      </w:pPr>
    </w:p>
    <w:p>
      <w:pPr>
        <w:ind w:right="160" w:firstLine="8"/>
        <w:spacing w:after="0" w:line="323" w:lineRule="auto"/>
        <w:tabs>
          <w:tab w:leader="none" w:pos="315" w:val="left"/>
        </w:tabs>
        <w:numPr>
          <w:ilvl w:val="0"/>
          <w:numId w:val="34"/>
        </w:numPr>
        <w:rPr>
          <w:rFonts w:ascii="Arial" w:cs="Arial" w:eastAsia="Arial" w:hAnsi="Arial"/>
          <w:sz w:val="16"/>
          <w:szCs w:val="16"/>
          <w:color w:val="auto"/>
        </w:rPr>
      </w:pPr>
      <w:r>
        <w:rPr>
          <w:rFonts w:ascii="Arial" w:cs="Arial" w:eastAsia="Arial" w:hAnsi="Arial"/>
          <w:sz w:val="16"/>
          <w:szCs w:val="16"/>
          <w:color w:val="auto"/>
        </w:rPr>
        <w:t>Pursuant to Rule 406T of Regulation S-T, the XBRL related information in Exhibit 101 to this Quarterly Report on Form 10-Q is furnished and not filed for purposes of Sections 11 and 12 of the Securities Act of 1933, as amended, and Section 18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-665480</wp:posOffset>
            </wp:positionV>
            <wp:extent cx="182689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1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38" w:name="page39"/>
    <w:bookmarkEnd w:id="38"/>
    <w:p>
      <w:pPr>
        <w:jc w:val="right"/>
        <w:ind w:right="40"/>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25"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Chief Executive Officer Certification</w:t>
      </w:r>
    </w:p>
    <w:p>
      <w:pPr>
        <w:spacing w:after="0" w:line="27"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Pursuant To Section 302 Of</w:t>
      </w:r>
    </w:p>
    <w:p>
      <w:pPr>
        <w:spacing w:after="0" w:line="9"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Richard Wayne, certify that:</w:t>
      </w:r>
    </w:p>
    <w:p>
      <w:pPr>
        <w:spacing w:after="0" w:line="225" w:lineRule="exact"/>
        <w:rPr>
          <w:sz w:val="20"/>
          <w:szCs w:val="20"/>
          <w:color w:val="auto"/>
        </w:rPr>
      </w:pPr>
    </w:p>
    <w:p>
      <w:pPr>
        <w:ind w:left="620" w:hanging="497"/>
        <w:spacing w:after="0"/>
        <w:tabs>
          <w:tab w:leader="none" w:pos="6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Northeast Bancorp;</w:t>
      </w:r>
    </w:p>
    <w:p>
      <w:pPr>
        <w:spacing w:after="0" w:line="225" w:lineRule="exact"/>
        <w:rPr>
          <w:rFonts w:ascii="Arial" w:cs="Arial" w:eastAsia="Arial" w:hAnsi="Arial"/>
          <w:sz w:val="18"/>
          <w:szCs w:val="18"/>
          <w:color w:val="auto"/>
        </w:rPr>
      </w:pPr>
    </w:p>
    <w:p>
      <w:pPr>
        <w:jc w:val="both"/>
        <w:ind w:left="620" w:right="380" w:hanging="497"/>
        <w:spacing w:after="0" w:line="264" w:lineRule="auto"/>
        <w:tabs>
          <w:tab w:leader="none" w:pos="6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20" w:right="340" w:hanging="497"/>
        <w:spacing w:after="0" w:line="308" w:lineRule="auto"/>
        <w:tabs>
          <w:tab w:leader="none" w:pos="6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20" w:right="360" w:hanging="497"/>
        <w:spacing w:after="0" w:line="264" w:lineRule="auto"/>
        <w:tabs>
          <w:tab w:leader="none" w:pos="6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20" w:right="100" w:hanging="4"/>
        <w:spacing w:after="0" w:line="264" w:lineRule="auto"/>
        <w:tabs>
          <w:tab w:leader="none" w:pos="91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20" w:right="320" w:hanging="4"/>
        <w:spacing w:after="0" w:line="264" w:lineRule="auto"/>
        <w:tabs>
          <w:tab w:leader="none" w:pos="875"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20" w:right="860" w:hanging="4"/>
        <w:spacing w:after="0" w:line="342" w:lineRule="auto"/>
        <w:tabs>
          <w:tab w:leader="none" w:pos="910" w:val="left"/>
        </w:tabs>
        <w:numPr>
          <w:ilvl w:val="1"/>
          <w:numId w:val="3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620" w:right="320" w:hanging="4"/>
        <w:spacing w:after="0" w:line="264" w:lineRule="auto"/>
        <w:tabs>
          <w:tab w:leader="none" w:pos="9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20" w:right="260" w:hanging="497"/>
        <w:spacing w:after="0" w:line="308" w:lineRule="auto"/>
        <w:tabs>
          <w:tab w:leader="none" w:pos="6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20" w:right="260" w:hanging="4"/>
        <w:spacing w:after="0" w:line="277" w:lineRule="auto"/>
        <w:tabs>
          <w:tab w:leader="none" w:pos="9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20" w:right="200" w:hanging="4"/>
        <w:spacing w:after="0" w:line="277" w:lineRule="auto"/>
        <w:tabs>
          <w:tab w:leader="none" w:pos="91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40" w:type="dxa"/>
            <w:vAlign w:val="bottom"/>
          </w:tcPr>
          <w:p>
            <w:pPr>
              <w:spacing w:after="0"/>
              <w:rPr>
                <w:sz w:val="20"/>
                <w:szCs w:val="20"/>
                <w:color w:val="auto"/>
              </w:rPr>
            </w:pPr>
            <w:r>
              <w:rPr>
                <w:rFonts w:ascii="Arial" w:cs="Arial" w:eastAsia="Arial" w:hAnsi="Arial"/>
                <w:sz w:val="18"/>
                <w:szCs w:val="18"/>
                <w:color w:val="auto"/>
              </w:rPr>
              <w:t>May 15, 2013</w:t>
            </w:r>
          </w:p>
        </w:tc>
        <w:tc>
          <w:tcPr>
            <w:tcW w:w="2380" w:type="dxa"/>
            <w:vAlign w:val="bottom"/>
          </w:tcPr>
          <w:p>
            <w:pPr>
              <w:spacing w:after="0"/>
              <w:rPr>
                <w:sz w:val="20"/>
                <w:szCs w:val="20"/>
                <w:color w:val="auto"/>
              </w:rPr>
            </w:pP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Wayne</w:t>
            </w:r>
          </w:p>
        </w:tc>
        <w:tc>
          <w:tcPr>
            <w:tcW w:w="40" w:type="dxa"/>
            <w:vAlign w:val="bottom"/>
          </w:tcPr>
          <w:p>
            <w:pPr>
              <w:spacing w:after="0"/>
              <w:rPr>
                <w:sz w:val="20"/>
                <w:szCs w:val="20"/>
                <w:color w:val="auto"/>
              </w:rPr>
            </w:pPr>
          </w:p>
        </w:tc>
      </w:tr>
      <w:tr>
        <w:trPr>
          <w:trHeight w:val="195"/>
        </w:trPr>
        <w:tc>
          <w:tcPr>
            <w:tcW w:w="334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700" w:type="dxa"/>
            <w:vAlign w:val="bottom"/>
          </w:tcPr>
          <w:p>
            <w:pPr>
              <w:spacing w:after="0" w:line="195" w:lineRule="exact"/>
              <w:rPr>
                <w:sz w:val="20"/>
                <w:szCs w:val="20"/>
                <w:color w:val="auto"/>
              </w:rPr>
            </w:pPr>
            <w:r>
              <w:rPr>
                <w:rFonts w:ascii="Arial" w:cs="Arial" w:eastAsia="Arial" w:hAnsi="Arial"/>
                <w:sz w:val="18"/>
                <w:szCs w:val="18"/>
                <w:color w:val="auto"/>
              </w:rPr>
              <w:t>Richard Wayne</w:t>
            </w:r>
          </w:p>
        </w:tc>
        <w:tc>
          <w:tcPr>
            <w:tcW w:w="40" w:type="dxa"/>
            <w:vAlign w:val="bottom"/>
          </w:tcPr>
          <w:p>
            <w:pPr>
              <w:spacing w:after="0"/>
              <w:rPr>
                <w:sz w:val="16"/>
                <w:szCs w:val="16"/>
                <w:color w:val="auto"/>
              </w:rPr>
            </w:pPr>
          </w:p>
        </w:tc>
      </w:tr>
      <w:tr>
        <w:trPr>
          <w:trHeight w:val="230"/>
        </w:trPr>
        <w:tc>
          <w:tcPr>
            <w:tcW w:w="33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40" w:type="dxa"/>
            <w:vAlign w:val="bottom"/>
          </w:tcPr>
          <w:p>
            <w:pPr>
              <w:spacing w:after="0"/>
              <w:rPr>
                <w:sz w:val="20"/>
                <w:szCs w:val="20"/>
                <w:color w:val="auto"/>
              </w:rPr>
            </w:pPr>
          </w:p>
        </w:tc>
      </w:tr>
      <w:tr>
        <w:trPr>
          <w:trHeight w:val="432"/>
        </w:trPr>
        <w:tc>
          <w:tcPr>
            <w:tcW w:w="3340" w:type="dxa"/>
            <w:vAlign w:val="bottom"/>
          </w:tcPr>
          <w:p>
            <w:pPr>
              <w:spacing w:after="0"/>
              <w:rPr>
                <w:sz w:val="24"/>
                <w:szCs w:val="24"/>
                <w:color w:val="auto"/>
              </w:rPr>
            </w:pPr>
          </w:p>
        </w:tc>
        <w:tc>
          <w:tcPr>
            <w:tcW w:w="8080" w:type="dxa"/>
            <w:vAlign w:val="bottom"/>
            <w:gridSpan w:val="2"/>
          </w:tcPr>
          <w:p>
            <w:pPr>
              <w:jc w:val="right"/>
              <w:ind w:right="557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24"/>
                <w:szCs w:val="24"/>
                <w:color w:val="auto"/>
              </w:rPr>
            </w:pPr>
          </w:p>
        </w:tc>
      </w:tr>
      <w:tr>
        <w:trPr>
          <w:trHeight w:val="132"/>
        </w:trPr>
        <w:tc>
          <w:tcPr>
            <w:tcW w:w="3340" w:type="dxa"/>
            <w:vAlign w:val="bottom"/>
            <w:tcBorders>
              <w:bottom w:val="single" w:sz="8" w:color="010101"/>
            </w:tcBorders>
          </w:tcPr>
          <w:p>
            <w:pPr>
              <w:spacing w:after="0"/>
              <w:rPr>
                <w:sz w:val="11"/>
                <w:szCs w:val="11"/>
                <w:color w:val="auto"/>
              </w:rPr>
            </w:pPr>
          </w:p>
        </w:tc>
        <w:tc>
          <w:tcPr>
            <w:tcW w:w="2380" w:type="dxa"/>
            <w:vAlign w:val="bottom"/>
            <w:tcBorders>
              <w:bottom w:val="single" w:sz="8" w:color="010101"/>
            </w:tcBorders>
          </w:tcPr>
          <w:p>
            <w:pPr>
              <w:spacing w:after="0"/>
              <w:rPr>
                <w:sz w:val="11"/>
                <w:szCs w:val="11"/>
                <w:color w:val="auto"/>
              </w:rPr>
            </w:pPr>
          </w:p>
        </w:tc>
        <w:tc>
          <w:tcPr>
            <w:tcW w:w="57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39" w:name="page40"/>
    <w:bookmarkEnd w:id="39"/>
    <w:p>
      <w:pPr>
        <w:jc w:val="right"/>
        <w:ind w:right="40"/>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25"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Chief Financial Officer Certification</w:t>
      </w:r>
    </w:p>
    <w:p>
      <w:pPr>
        <w:spacing w:after="0" w:line="27"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Pursuant To Section 302 Of</w:t>
      </w:r>
    </w:p>
    <w:p>
      <w:pPr>
        <w:spacing w:after="0" w:line="9"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Claire Bean, certify that:</w:t>
      </w:r>
    </w:p>
    <w:p>
      <w:pPr>
        <w:spacing w:after="0" w:line="225" w:lineRule="exact"/>
        <w:rPr>
          <w:sz w:val="20"/>
          <w:szCs w:val="20"/>
          <w:color w:val="auto"/>
        </w:rPr>
      </w:pPr>
    </w:p>
    <w:p>
      <w:pPr>
        <w:ind w:left="620" w:hanging="484"/>
        <w:spacing w:after="0"/>
        <w:tabs>
          <w:tab w:leader="none" w:pos="6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Northeast Bancorp;</w:t>
      </w:r>
    </w:p>
    <w:p>
      <w:pPr>
        <w:spacing w:after="0" w:line="225" w:lineRule="exact"/>
        <w:rPr>
          <w:rFonts w:ascii="Arial" w:cs="Arial" w:eastAsia="Arial" w:hAnsi="Arial"/>
          <w:sz w:val="18"/>
          <w:szCs w:val="18"/>
          <w:color w:val="auto"/>
        </w:rPr>
      </w:pPr>
    </w:p>
    <w:p>
      <w:pPr>
        <w:jc w:val="both"/>
        <w:ind w:left="620" w:right="360" w:hanging="484"/>
        <w:spacing w:after="0" w:line="264" w:lineRule="auto"/>
        <w:tabs>
          <w:tab w:leader="none" w:pos="6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20" w:right="320" w:hanging="484"/>
        <w:spacing w:after="0" w:line="308" w:lineRule="auto"/>
        <w:tabs>
          <w:tab w:leader="none" w:pos="6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20" w:right="360" w:hanging="484"/>
        <w:spacing w:after="0" w:line="264" w:lineRule="auto"/>
        <w:tabs>
          <w:tab w:leader="none" w:pos="6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20" w:right="100" w:firstLine="9"/>
        <w:spacing w:after="0" w:line="264" w:lineRule="auto"/>
        <w:tabs>
          <w:tab w:leader="none" w:pos="91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20" w:right="300" w:firstLine="9"/>
        <w:spacing w:after="0" w:line="264" w:lineRule="auto"/>
        <w:tabs>
          <w:tab w:leader="none" w:pos="875"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20" w:right="840" w:firstLine="9"/>
        <w:spacing w:after="0" w:line="342" w:lineRule="auto"/>
        <w:tabs>
          <w:tab w:leader="none" w:pos="910" w:val="left"/>
        </w:tabs>
        <w:numPr>
          <w:ilvl w:val="1"/>
          <w:numId w:val="3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620" w:right="320" w:firstLine="9"/>
        <w:spacing w:after="0" w:line="264" w:lineRule="auto"/>
        <w:tabs>
          <w:tab w:leader="none" w:pos="9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20" w:right="240" w:hanging="484"/>
        <w:spacing w:after="0" w:line="308" w:lineRule="auto"/>
        <w:tabs>
          <w:tab w:leader="none" w:pos="6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20" w:right="240" w:firstLine="9"/>
        <w:spacing w:after="0" w:line="277" w:lineRule="auto"/>
        <w:tabs>
          <w:tab w:leader="none" w:pos="9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20" w:right="180" w:firstLine="9"/>
        <w:spacing w:after="0" w:line="277" w:lineRule="auto"/>
        <w:tabs>
          <w:tab w:leader="none" w:pos="91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40" w:type="dxa"/>
            <w:vAlign w:val="bottom"/>
          </w:tcPr>
          <w:p>
            <w:pPr>
              <w:spacing w:after="0"/>
              <w:rPr>
                <w:sz w:val="20"/>
                <w:szCs w:val="20"/>
                <w:color w:val="auto"/>
              </w:rPr>
            </w:pPr>
            <w:r>
              <w:rPr>
                <w:rFonts w:ascii="Arial" w:cs="Arial" w:eastAsia="Arial" w:hAnsi="Arial"/>
                <w:sz w:val="18"/>
                <w:szCs w:val="18"/>
                <w:color w:val="auto"/>
              </w:rPr>
              <w:t>May 15, 2013</w:t>
            </w:r>
          </w:p>
        </w:tc>
        <w:tc>
          <w:tcPr>
            <w:tcW w:w="2380" w:type="dxa"/>
            <w:vAlign w:val="bottom"/>
          </w:tcPr>
          <w:p>
            <w:pPr>
              <w:spacing w:after="0"/>
              <w:rPr>
                <w:sz w:val="20"/>
                <w:szCs w:val="20"/>
                <w:color w:val="auto"/>
              </w:rPr>
            </w:pP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Claire S. Bean</w:t>
            </w:r>
          </w:p>
        </w:tc>
        <w:tc>
          <w:tcPr>
            <w:tcW w:w="40" w:type="dxa"/>
            <w:vAlign w:val="bottom"/>
          </w:tcPr>
          <w:p>
            <w:pPr>
              <w:spacing w:after="0"/>
              <w:rPr>
                <w:sz w:val="20"/>
                <w:szCs w:val="20"/>
                <w:color w:val="auto"/>
              </w:rPr>
            </w:pPr>
          </w:p>
        </w:tc>
      </w:tr>
      <w:tr>
        <w:trPr>
          <w:trHeight w:val="195"/>
        </w:trPr>
        <w:tc>
          <w:tcPr>
            <w:tcW w:w="334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700" w:type="dxa"/>
            <w:vAlign w:val="bottom"/>
          </w:tcPr>
          <w:p>
            <w:pPr>
              <w:spacing w:after="0" w:line="195" w:lineRule="exact"/>
              <w:rPr>
                <w:sz w:val="20"/>
                <w:szCs w:val="20"/>
                <w:color w:val="auto"/>
              </w:rPr>
            </w:pPr>
            <w:r>
              <w:rPr>
                <w:rFonts w:ascii="Arial" w:cs="Arial" w:eastAsia="Arial" w:hAnsi="Arial"/>
                <w:sz w:val="18"/>
                <w:szCs w:val="18"/>
                <w:color w:val="auto"/>
              </w:rPr>
              <w:t>Claire S. Bean</w:t>
            </w:r>
          </w:p>
        </w:tc>
        <w:tc>
          <w:tcPr>
            <w:tcW w:w="40" w:type="dxa"/>
            <w:vAlign w:val="bottom"/>
          </w:tcPr>
          <w:p>
            <w:pPr>
              <w:spacing w:after="0"/>
              <w:rPr>
                <w:sz w:val="16"/>
                <w:szCs w:val="16"/>
                <w:color w:val="auto"/>
              </w:rPr>
            </w:pPr>
          </w:p>
        </w:tc>
      </w:tr>
      <w:tr>
        <w:trPr>
          <w:trHeight w:val="230"/>
        </w:trPr>
        <w:tc>
          <w:tcPr>
            <w:tcW w:w="33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40" w:type="dxa"/>
            <w:vAlign w:val="bottom"/>
          </w:tcPr>
          <w:p>
            <w:pPr>
              <w:spacing w:after="0"/>
              <w:rPr>
                <w:sz w:val="20"/>
                <w:szCs w:val="20"/>
                <w:color w:val="auto"/>
              </w:rPr>
            </w:pPr>
          </w:p>
        </w:tc>
      </w:tr>
      <w:tr>
        <w:trPr>
          <w:trHeight w:val="432"/>
        </w:trPr>
        <w:tc>
          <w:tcPr>
            <w:tcW w:w="3340" w:type="dxa"/>
            <w:vAlign w:val="bottom"/>
          </w:tcPr>
          <w:p>
            <w:pPr>
              <w:spacing w:after="0"/>
              <w:rPr>
                <w:sz w:val="24"/>
                <w:szCs w:val="24"/>
                <w:color w:val="auto"/>
              </w:rPr>
            </w:pPr>
          </w:p>
        </w:tc>
        <w:tc>
          <w:tcPr>
            <w:tcW w:w="8080" w:type="dxa"/>
            <w:vAlign w:val="bottom"/>
            <w:gridSpan w:val="2"/>
          </w:tcPr>
          <w:p>
            <w:pPr>
              <w:jc w:val="right"/>
              <w:ind w:right="557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24"/>
                <w:szCs w:val="24"/>
                <w:color w:val="auto"/>
              </w:rPr>
            </w:pPr>
          </w:p>
        </w:tc>
      </w:tr>
      <w:tr>
        <w:trPr>
          <w:trHeight w:val="132"/>
        </w:trPr>
        <w:tc>
          <w:tcPr>
            <w:tcW w:w="3340" w:type="dxa"/>
            <w:vAlign w:val="bottom"/>
            <w:tcBorders>
              <w:bottom w:val="single" w:sz="8" w:color="010101"/>
            </w:tcBorders>
          </w:tcPr>
          <w:p>
            <w:pPr>
              <w:spacing w:after="0"/>
              <w:rPr>
                <w:sz w:val="11"/>
                <w:szCs w:val="11"/>
                <w:color w:val="auto"/>
              </w:rPr>
            </w:pPr>
          </w:p>
        </w:tc>
        <w:tc>
          <w:tcPr>
            <w:tcW w:w="2380" w:type="dxa"/>
            <w:vAlign w:val="bottom"/>
            <w:tcBorders>
              <w:bottom w:val="single" w:sz="8" w:color="010101"/>
            </w:tcBorders>
          </w:tcPr>
          <w:p>
            <w:pPr>
              <w:spacing w:after="0"/>
              <w:rPr>
                <w:sz w:val="11"/>
                <w:szCs w:val="11"/>
                <w:color w:val="auto"/>
              </w:rPr>
            </w:pPr>
          </w:p>
        </w:tc>
        <w:tc>
          <w:tcPr>
            <w:tcW w:w="57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40" w:name="page41"/>
    <w:bookmarkEnd w:id="40"/>
    <w:p>
      <w:pPr>
        <w:jc w:val="right"/>
        <w:ind w:right="40"/>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Certificate of the Chief Executive Officer</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of the Chief Executive Officer Pursuant to</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In connection with the Quarterly Report of Northeast Bancorp. (the “Company”) on Form 10-Q for the quarterly period ended March 31, 2013 as filed with the Securities and Exchange Commission on the date hereof (the “Report”), I, Richard Wayne, as Chief Executive Officer of the Company, hereby certify pursuant to 18 U.S.C. 1350, as adopted pursuant to 906 of the Sarbanes-Oxley Act of 2002, that:</w:t>
      </w:r>
    </w:p>
    <w:p>
      <w:pPr>
        <w:spacing w:after="0" w:line="181" w:lineRule="exact"/>
        <w:rPr>
          <w:sz w:val="20"/>
          <w:szCs w:val="20"/>
          <w:color w:val="auto"/>
        </w:rPr>
      </w:pPr>
    </w:p>
    <w:p>
      <w:pPr>
        <w:ind w:left="560" w:hanging="293"/>
        <w:spacing w:after="0"/>
        <w:tabs>
          <w:tab w:leader="none" w:pos="5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as amended; and</w:t>
      </w:r>
    </w:p>
    <w:p>
      <w:pPr>
        <w:spacing w:after="0" w:line="248" w:lineRule="exact"/>
        <w:rPr>
          <w:rFonts w:ascii="Arial" w:cs="Arial" w:eastAsia="Arial" w:hAnsi="Arial"/>
          <w:sz w:val="16"/>
          <w:szCs w:val="16"/>
          <w:color w:val="auto"/>
        </w:rPr>
      </w:pPr>
    </w:p>
    <w:p>
      <w:pPr>
        <w:ind w:left="260" w:right="220" w:firstLine="7"/>
        <w:spacing w:after="0" w:line="277" w:lineRule="auto"/>
        <w:tabs>
          <w:tab w:leader="none" w:pos="557"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dates and the periods covered by the Report.</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This certification shall not be deemed “filed” for any purpose, nor shall it be deemed to be incorporated by reference into any filing under the Securities Act of 1933 or the Securities Exchange Act of 1934 regardless of any general incorporation language in such filing.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40" w:type="dxa"/>
            <w:vAlign w:val="bottom"/>
          </w:tcPr>
          <w:p>
            <w:pPr>
              <w:spacing w:after="0"/>
              <w:rPr>
                <w:sz w:val="20"/>
                <w:szCs w:val="20"/>
                <w:color w:val="auto"/>
              </w:rPr>
            </w:pPr>
            <w:r>
              <w:rPr>
                <w:rFonts w:ascii="Arial" w:cs="Arial" w:eastAsia="Arial" w:hAnsi="Arial"/>
                <w:sz w:val="18"/>
                <w:szCs w:val="18"/>
                <w:color w:val="auto"/>
              </w:rPr>
              <w:t>May 15, 2013</w:t>
            </w:r>
          </w:p>
        </w:tc>
        <w:tc>
          <w:tcPr>
            <w:tcW w:w="2380" w:type="dxa"/>
            <w:vAlign w:val="bottom"/>
          </w:tcPr>
          <w:p>
            <w:pPr>
              <w:spacing w:after="0"/>
              <w:rPr>
                <w:sz w:val="20"/>
                <w:szCs w:val="20"/>
                <w:color w:val="auto"/>
              </w:rPr>
            </w:pP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Wayne</w:t>
            </w:r>
          </w:p>
        </w:tc>
        <w:tc>
          <w:tcPr>
            <w:tcW w:w="40" w:type="dxa"/>
            <w:vAlign w:val="bottom"/>
          </w:tcPr>
          <w:p>
            <w:pPr>
              <w:spacing w:after="0"/>
              <w:rPr>
                <w:sz w:val="20"/>
                <w:szCs w:val="20"/>
                <w:color w:val="auto"/>
              </w:rPr>
            </w:pPr>
          </w:p>
        </w:tc>
      </w:tr>
      <w:tr>
        <w:trPr>
          <w:trHeight w:val="195"/>
        </w:trPr>
        <w:tc>
          <w:tcPr>
            <w:tcW w:w="334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700" w:type="dxa"/>
            <w:vAlign w:val="bottom"/>
          </w:tcPr>
          <w:p>
            <w:pPr>
              <w:spacing w:after="0" w:line="195" w:lineRule="exact"/>
              <w:rPr>
                <w:sz w:val="20"/>
                <w:szCs w:val="20"/>
                <w:color w:val="auto"/>
              </w:rPr>
            </w:pPr>
            <w:r>
              <w:rPr>
                <w:rFonts w:ascii="Arial" w:cs="Arial" w:eastAsia="Arial" w:hAnsi="Arial"/>
                <w:sz w:val="18"/>
                <w:szCs w:val="18"/>
                <w:color w:val="auto"/>
              </w:rPr>
              <w:t>Richard Wayne</w:t>
            </w:r>
          </w:p>
        </w:tc>
        <w:tc>
          <w:tcPr>
            <w:tcW w:w="40" w:type="dxa"/>
            <w:vAlign w:val="bottom"/>
          </w:tcPr>
          <w:p>
            <w:pPr>
              <w:spacing w:after="0"/>
              <w:rPr>
                <w:sz w:val="16"/>
                <w:szCs w:val="16"/>
                <w:color w:val="auto"/>
              </w:rPr>
            </w:pPr>
          </w:p>
        </w:tc>
      </w:tr>
      <w:tr>
        <w:trPr>
          <w:trHeight w:val="230"/>
        </w:trPr>
        <w:tc>
          <w:tcPr>
            <w:tcW w:w="33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40" w:type="dxa"/>
            <w:vAlign w:val="bottom"/>
          </w:tcPr>
          <w:p>
            <w:pPr>
              <w:spacing w:after="0"/>
              <w:rPr>
                <w:sz w:val="20"/>
                <w:szCs w:val="20"/>
                <w:color w:val="auto"/>
              </w:rPr>
            </w:pPr>
          </w:p>
        </w:tc>
      </w:tr>
      <w:tr>
        <w:trPr>
          <w:trHeight w:val="432"/>
        </w:trPr>
        <w:tc>
          <w:tcPr>
            <w:tcW w:w="3340" w:type="dxa"/>
            <w:vAlign w:val="bottom"/>
          </w:tcPr>
          <w:p>
            <w:pPr>
              <w:spacing w:after="0"/>
              <w:rPr>
                <w:sz w:val="24"/>
                <w:szCs w:val="24"/>
                <w:color w:val="auto"/>
              </w:rPr>
            </w:pPr>
          </w:p>
        </w:tc>
        <w:tc>
          <w:tcPr>
            <w:tcW w:w="8080" w:type="dxa"/>
            <w:vAlign w:val="bottom"/>
            <w:gridSpan w:val="2"/>
          </w:tcPr>
          <w:p>
            <w:pPr>
              <w:jc w:val="right"/>
              <w:ind w:right="557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24"/>
                <w:szCs w:val="24"/>
                <w:color w:val="auto"/>
              </w:rPr>
            </w:pPr>
          </w:p>
        </w:tc>
      </w:tr>
      <w:tr>
        <w:trPr>
          <w:trHeight w:val="132"/>
        </w:trPr>
        <w:tc>
          <w:tcPr>
            <w:tcW w:w="3340" w:type="dxa"/>
            <w:vAlign w:val="bottom"/>
            <w:tcBorders>
              <w:bottom w:val="single" w:sz="8" w:color="010101"/>
            </w:tcBorders>
          </w:tcPr>
          <w:p>
            <w:pPr>
              <w:spacing w:after="0"/>
              <w:rPr>
                <w:sz w:val="11"/>
                <w:szCs w:val="11"/>
                <w:color w:val="auto"/>
              </w:rPr>
            </w:pPr>
          </w:p>
        </w:tc>
        <w:tc>
          <w:tcPr>
            <w:tcW w:w="2380" w:type="dxa"/>
            <w:vAlign w:val="bottom"/>
            <w:tcBorders>
              <w:bottom w:val="single" w:sz="8" w:color="010101"/>
            </w:tcBorders>
          </w:tcPr>
          <w:p>
            <w:pPr>
              <w:spacing w:after="0"/>
              <w:rPr>
                <w:sz w:val="11"/>
                <w:szCs w:val="11"/>
                <w:color w:val="auto"/>
              </w:rPr>
            </w:pPr>
          </w:p>
        </w:tc>
        <w:tc>
          <w:tcPr>
            <w:tcW w:w="57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41" w:name="page42"/>
    <w:bookmarkEnd w:id="41"/>
    <w:p>
      <w:pPr>
        <w:jc w:val="right"/>
        <w:ind w:right="40"/>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Certificate of the Chief Financial Officer</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of the Chief Financial Officer Pursuant to</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In connection with the Quarterly Report of Northeast Bancorp. (the “Company”) on Form 10-Q for the quarterly period ended March 31, 2013 as filed with the Securities and Exchange Commission on the date hereof (the “Report”), I, Claire Bean, as Chief Financial Officer of the Company, hereby certify pursuant to 18 U.S.C. 1350, as adopted pursuant to 906 of the Sarbanes-Oxley Act of 2002, that:</w:t>
      </w:r>
    </w:p>
    <w:p>
      <w:pPr>
        <w:spacing w:after="0" w:line="181" w:lineRule="exact"/>
        <w:rPr>
          <w:sz w:val="20"/>
          <w:szCs w:val="20"/>
          <w:color w:val="auto"/>
        </w:rPr>
      </w:pPr>
    </w:p>
    <w:p>
      <w:pPr>
        <w:ind w:left="560" w:hanging="293"/>
        <w:spacing w:after="0"/>
        <w:tabs>
          <w:tab w:leader="none" w:pos="5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as amended; and</w:t>
      </w:r>
    </w:p>
    <w:p>
      <w:pPr>
        <w:spacing w:after="0" w:line="248" w:lineRule="exact"/>
        <w:rPr>
          <w:rFonts w:ascii="Arial" w:cs="Arial" w:eastAsia="Arial" w:hAnsi="Arial"/>
          <w:sz w:val="16"/>
          <w:szCs w:val="16"/>
          <w:color w:val="auto"/>
        </w:rPr>
      </w:pPr>
    </w:p>
    <w:p>
      <w:pPr>
        <w:ind w:left="260" w:right="220" w:firstLine="7"/>
        <w:spacing w:after="0" w:line="277" w:lineRule="auto"/>
        <w:tabs>
          <w:tab w:leader="none" w:pos="557"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dates and the periods covered by the Report.</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This certification shall not be deemed “filed” for any purpose, nor shall it be deemed to be incorporated by reference into any filing under the Securities Act of 1933 or the Securities Exchange Act of 1934 regardless of any general incorporation language in such filing.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40" w:type="dxa"/>
            <w:vAlign w:val="bottom"/>
          </w:tcPr>
          <w:p>
            <w:pPr>
              <w:spacing w:after="0"/>
              <w:rPr>
                <w:sz w:val="20"/>
                <w:szCs w:val="20"/>
                <w:color w:val="auto"/>
              </w:rPr>
            </w:pPr>
            <w:r>
              <w:rPr>
                <w:rFonts w:ascii="Arial" w:cs="Arial" w:eastAsia="Arial" w:hAnsi="Arial"/>
                <w:sz w:val="18"/>
                <w:szCs w:val="18"/>
                <w:color w:val="auto"/>
              </w:rPr>
              <w:t>May 15, 2013</w:t>
            </w:r>
          </w:p>
        </w:tc>
        <w:tc>
          <w:tcPr>
            <w:tcW w:w="2380" w:type="dxa"/>
            <w:vAlign w:val="bottom"/>
          </w:tcPr>
          <w:p>
            <w:pPr>
              <w:spacing w:after="0"/>
              <w:rPr>
                <w:sz w:val="20"/>
                <w:szCs w:val="20"/>
                <w:color w:val="auto"/>
              </w:rPr>
            </w:pP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Claire S. Bean</w:t>
            </w:r>
          </w:p>
        </w:tc>
        <w:tc>
          <w:tcPr>
            <w:tcW w:w="40" w:type="dxa"/>
            <w:vAlign w:val="bottom"/>
          </w:tcPr>
          <w:p>
            <w:pPr>
              <w:spacing w:after="0"/>
              <w:rPr>
                <w:sz w:val="20"/>
                <w:szCs w:val="20"/>
                <w:color w:val="auto"/>
              </w:rPr>
            </w:pPr>
          </w:p>
        </w:tc>
      </w:tr>
      <w:tr>
        <w:trPr>
          <w:trHeight w:val="195"/>
        </w:trPr>
        <w:tc>
          <w:tcPr>
            <w:tcW w:w="334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700" w:type="dxa"/>
            <w:vAlign w:val="bottom"/>
          </w:tcPr>
          <w:p>
            <w:pPr>
              <w:spacing w:after="0" w:line="195" w:lineRule="exact"/>
              <w:rPr>
                <w:sz w:val="20"/>
                <w:szCs w:val="20"/>
                <w:color w:val="auto"/>
              </w:rPr>
            </w:pPr>
            <w:r>
              <w:rPr>
                <w:rFonts w:ascii="Arial" w:cs="Arial" w:eastAsia="Arial" w:hAnsi="Arial"/>
                <w:sz w:val="18"/>
                <w:szCs w:val="18"/>
                <w:color w:val="auto"/>
              </w:rPr>
              <w:t>Claire S. Bean</w:t>
            </w:r>
          </w:p>
        </w:tc>
        <w:tc>
          <w:tcPr>
            <w:tcW w:w="40" w:type="dxa"/>
            <w:vAlign w:val="bottom"/>
          </w:tcPr>
          <w:p>
            <w:pPr>
              <w:spacing w:after="0"/>
              <w:rPr>
                <w:sz w:val="16"/>
                <w:szCs w:val="16"/>
                <w:color w:val="auto"/>
              </w:rPr>
            </w:pPr>
          </w:p>
        </w:tc>
      </w:tr>
      <w:tr>
        <w:trPr>
          <w:trHeight w:val="230"/>
        </w:trPr>
        <w:tc>
          <w:tcPr>
            <w:tcW w:w="33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40" w:type="dxa"/>
            <w:vAlign w:val="bottom"/>
          </w:tcPr>
          <w:p>
            <w:pPr>
              <w:spacing w:after="0"/>
              <w:rPr>
                <w:sz w:val="20"/>
                <w:szCs w:val="20"/>
                <w:color w:val="auto"/>
              </w:rPr>
            </w:pPr>
          </w:p>
        </w:tc>
      </w:tr>
      <w:tr>
        <w:trPr>
          <w:trHeight w:val="432"/>
        </w:trPr>
        <w:tc>
          <w:tcPr>
            <w:tcW w:w="3340" w:type="dxa"/>
            <w:vAlign w:val="bottom"/>
          </w:tcPr>
          <w:p>
            <w:pPr>
              <w:spacing w:after="0"/>
              <w:rPr>
                <w:sz w:val="24"/>
                <w:szCs w:val="24"/>
                <w:color w:val="auto"/>
              </w:rPr>
            </w:pPr>
          </w:p>
        </w:tc>
        <w:tc>
          <w:tcPr>
            <w:tcW w:w="8080" w:type="dxa"/>
            <w:vAlign w:val="bottom"/>
            <w:gridSpan w:val="2"/>
          </w:tcPr>
          <w:p>
            <w:pPr>
              <w:jc w:val="right"/>
              <w:ind w:right="557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24"/>
                <w:szCs w:val="24"/>
                <w:color w:val="auto"/>
              </w:rPr>
            </w:pPr>
          </w:p>
        </w:tc>
      </w:tr>
      <w:tr>
        <w:trPr>
          <w:trHeight w:val="132"/>
        </w:trPr>
        <w:tc>
          <w:tcPr>
            <w:tcW w:w="3340" w:type="dxa"/>
            <w:vAlign w:val="bottom"/>
            <w:tcBorders>
              <w:bottom w:val="single" w:sz="8" w:color="010101"/>
            </w:tcBorders>
          </w:tcPr>
          <w:p>
            <w:pPr>
              <w:spacing w:after="0"/>
              <w:rPr>
                <w:sz w:val="11"/>
                <w:szCs w:val="11"/>
                <w:color w:val="auto"/>
              </w:rPr>
            </w:pPr>
          </w:p>
        </w:tc>
        <w:tc>
          <w:tcPr>
            <w:tcW w:w="2380" w:type="dxa"/>
            <w:vAlign w:val="bottom"/>
            <w:tcBorders>
              <w:bottom w:val="single" w:sz="8" w:color="010101"/>
            </w:tcBorders>
          </w:tcPr>
          <w:p>
            <w:pPr>
              <w:spacing w:after="0"/>
              <w:rPr>
                <w:sz w:val="11"/>
                <w:szCs w:val="11"/>
                <w:color w:val="auto"/>
              </w:rPr>
            </w:pPr>
          </w:p>
        </w:tc>
        <w:tc>
          <w:tcPr>
            <w:tcW w:w="57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21"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57130A3"/>
    <w:multiLevelType w:val="hybridMultilevel"/>
    <w:lvl w:ilvl="0">
      <w:lvlJc w:val="left"/>
      <w:lvlText w:val="%1."/>
      <w:numFmt w:val="decimal"/>
      <w:start w:val="1"/>
    </w:lvl>
  </w:abstractNum>
  <w:abstractNum w:abstractNumId="1">
    <w:nsid w:val="62BBD95A"/>
    <w:multiLevelType w:val="hybridMultilevel"/>
    <w:lvl w:ilvl="0">
      <w:lvlJc w:val="left"/>
      <w:lvlText w:val="%1."/>
      <w:numFmt w:val="decimal"/>
      <w:start w:val="2"/>
    </w:lvl>
  </w:abstractNum>
  <w:abstractNum w:abstractNumId="2">
    <w:nsid w:val="436C6125"/>
    <w:multiLevelType w:val="hybridMultilevel"/>
    <w:lvl w:ilvl="0">
      <w:lvlJc w:val="left"/>
      <w:lvlText w:val="%1."/>
      <w:numFmt w:val="decimal"/>
      <w:start w:val="3"/>
    </w:lvl>
  </w:abstractNum>
  <w:abstractNum w:abstractNumId="3">
    <w:nsid w:val="628C895D"/>
    <w:multiLevelType w:val="hybridMultilevel"/>
    <w:lvl w:ilvl="0">
      <w:lvlJc w:val="left"/>
      <w:lvlText w:val="%1."/>
      <w:numFmt w:val="decimal"/>
      <w:start w:val="4"/>
    </w:lvl>
  </w:abstractNum>
  <w:abstractNum w:abstractNumId="4">
    <w:nsid w:val="333AB105"/>
    <w:multiLevelType w:val="hybridMultilevel"/>
    <w:lvl w:ilvl="0">
      <w:lvlJc w:val="left"/>
      <w:lvlText w:val="·"/>
      <w:numFmt w:val="bullet"/>
      <w:start w:val="1"/>
    </w:lvl>
  </w:abstractNum>
  <w:abstractNum w:abstractNumId="5">
    <w:nsid w:val="721DA317"/>
    <w:multiLevelType w:val="hybridMultilevel"/>
    <w:lvl w:ilvl="0">
      <w:lvlJc w:val="left"/>
      <w:lvlText w:val="(%1)"/>
      <w:numFmt w:val="decimal"/>
      <w:start w:val="1"/>
    </w:lvl>
  </w:abstractNum>
  <w:abstractNum w:abstractNumId="6">
    <w:nsid w:val="2443A858"/>
    <w:multiLevelType w:val="hybridMultilevel"/>
    <w:lvl w:ilvl="0">
      <w:lvlJc w:val="left"/>
      <w:lvlText w:val="(%1)"/>
      <w:numFmt w:val="decimal"/>
      <w:start w:val="1"/>
    </w:lvl>
  </w:abstractNum>
  <w:abstractNum w:abstractNumId="7">
    <w:nsid w:val="2D1D5AE9"/>
    <w:multiLevelType w:val="hybridMultilevel"/>
    <w:lvl w:ilvl="0">
      <w:lvlJc w:val="left"/>
      <w:lvlText w:val="(%1)"/>
      <w:numFmt w:val="decimal"/>
      <w:start w:val="1"/>
    </w:lvl>
  </w:abstractNum>
  <w:abstractNum w:abstractNumId="8">
    <w:nsid w:val="6763845E"/>
    <w:multiLevelType w:val="hybridMultilevel"/>
    <w:lvl w:ilvl="0">
      <w:lvlJc w:val="left"/>
      <w:lvlText w:val="%1."/>
      <w:numFmt w:val="decimal"/>
      <w:start w:val="5"/>
    </w:lvl>
  </w:abstractNum>
  <w:abstractNum w:abstractNumId="9">
    <w:nsid w:val="75A2A8D4"/>
    <w:multiLevelType w:val="hybridMultilevel"/>
    <w:lvl w:ilvl="0">
      <w:lvlJc w:val="left"/>
      <w:lvlText w:val="·"/>
      <w:numFmt w:val="bullet"/>
      <w:start w:val="1"/>
    </w:lvl>
  </w:abstractNum>
  <w:abstractNum w:abstractNumId="10">
    <w:nsid w:val="8EDBDAB"/>
    <w:multiLevelType w:val="hybridMultilevel"/>
    <w:lvl w:ilvl="0">
      <w:lvlJc w:val="left"/>
      <w:lvlText w:val="%1."/>
      <w:numFmt w:val="decimal"/>
      <w:start w:val="6"/>
    </w:lvl>
  </w:abstractNum>
  <w:abstractNum w:abstractNumId="11">
    <w:nsid w:val="79838CB2"/>
    <w:multiLevelType w:val="hybridMultilevel"/>
    <w:lvl w:ilvl="0">
      <w:lvlJc w:val="left"/>
      <w:lvlText w:val="%1."/>
      <w:numFmt w:val="decimal"/>
      <w:start w:val="7"/>
    </w:lvl>
  </w:abstractNum>
  <w:abstractNum w:abstractNumId="12">
    <w:nsid w:val="4353D0CD"/>
    <w:multiLevelType w:val="hybridMultilevel"/>
    <w:lvl w:ilvl="0">
      <w:lvlJc w:val="left"/>
      <w:lvlText w:val="%1."/>
      <w:numFmt w:val="decimal"/>
      <w:start w:val="8"/>
    </w:lvl>
  </w:abstractNum>
  <w:abstractNum w:abstractNumId="13">
    <w:nsid w:val="B03E0C6"/>
    <w:multiLevelType w:val="hybridMultilevel"/>
    <w:lvl w:ilvl="0">
      <w:lvlJc w:val="left"/>
      <w:lvlText w:val="%1."/>
      <w:numFmt w:val="decimal"/>
      <w:start w:val="9"/>
    </w:lvl>
  </w:abstractNum>
  <w:abstractNum w:abstractNumId="14">
    <w:nsid w:val="189A769B"/>
    <w:multiLevelType w:val="hybridMultilevel"/>
    <w:lvl w:ilvl="0">
      <w:lvlJc w:val="left"/>
      <w:lvlText w:val="%1."/>
      <w:numFmt w:val="decimal"/>
      <w:start w:val="11"/>
    </w:lvl>
  </w:abstractNum>
  <w:abstractNum w:abstractNumId="15">
    <w:nsid w:val="54E49EB4"/>
    <w:multiLevelType w:val="hybridMultilevel"/>
    <w:lvl w:ilvl="0">
      <w:lvlJc w:val="left"/>
      <w:lvlText w:val="%1."/>
      <w:numFmt w:val="decimal"/>
      <w:start w:val="12"/>
    </w:lvl>
  </w:abstractNum>
  <w:abstractNum w:abstractNumId="16">
    <w:nsid w:val="71F32454"/>
    <w:multiLevelType w:val="hybridMultilevel"/>
    <w:lvl w:ilvl="0">
      <w:lvlJc w:val="left"/>
      <w:lvlText w:val="%1."/>
      <w:numFmt w:val="decimal"/>
      <w:start w:val="1"/>
    </w:lvl>
  </w:abstractNum>
  <w:abstractNum w:abstractNumId="17">
    <w:nsid w:val="2CA88611"/>
    <w:multiLevelType w:val="hybridMultilevel"/>
    <w:lvl w:ilvl="0">
      <w:lvlJc w:val="left"/>
      <w:lvlText w:val="(%1)"/>
      <w:numFmt w:val="decimal"/>
      <w:start w:val="1"/>
    </w:lvl>
  </w:abstractNum>
  <w:abstractNum w:abstractNumId="18">
    <w:nsid w:val="836C40E"/>
    <w:multiLevelType w:val="hybridMultilevel"/>
    <w:lvl w:ilvl="0">
      <w:lvlJc w:val="left"/>
      <w:lvlText w:val="(%1)"/>
      <w:numFmt w:val="decimal"/>
      <w:start w:val="1"/>
    </w:lvl>
  </w:abstractNum>
  <w:abstractNum w:abstractNumId="19">
    <w:nsid w:val="2901D82"/>
    <w:multiLevelType w:val="hybridMultilevel"/>
    <w:lvl w:ilvl="0">
      <w:lvlJc w:val="left"/>
      <w:lvlText w:val="(%1)"/>
      <w:numFmt w:val="decimal"/>
      <w:start w:val="1"/>
    </w:lvl>
  </w:abstractNum>
  <w:abstractNum w:abstractNumId="20">
    <w:nsid w:val="3A95F874"/>
    <w:multiLevelType w:val="hybridMultilevel"/>
    <w:lvl w:ilvl="0">
      <w:lvlJc w:val="left"/>
      <w:lvlText w:val="(%1)"/>
      <w:numFmt w:val="decimal"/>
      <w:start w:val="1"/>
    </w:lvl>
  </w:abstractNum>
  <w:abstractNum w:abstractNumId="21">
    <w:nsid w:val="8138641"/>
    <w:multiLevelType w:val="hybridMultilevel"/>
    <w:lvl w:ilvl="0">
      <w:lvlJc w:val="left"/>
      <w:lvlText w:val="·"/>
      <w:numFmt w:val="bullet"/>
      <w:start w:val="1"/>
    </w:lvl>
  </w:abstractNum>
  <w:abstractNum w:abstractNumId="22">
    <w:nsid w:val="1E7FF521"/>
    <w:multiLevelType w:val="hybridMultilevel"/>
    <w:lvl w:ilvl="0">
      <w:lvlJc w:val="left"/>
      <w:lvlText w:val="·"/>
      <w:numFmt w:val="bullet"/>
      <w:start w:val="1"/>
    </w:lvl>
  </w:abstractNum>
  <w:abstractNum w:abstractNumId="23">
    <w:nsid w:val="7C3DBD3D"/>
    <w:multiLevelType w:val="hybridMultilevel"/>
    <w:lvl w:ilvl="0">
      <w:lvlJc w:val="left"/>
      <w:lvlText w:val="·"/>
      <w:numFmt w:val="bullet"/>
      <w:start w:val="1"/>
    </w:lvl>
  </w:abstractNum>
  <w:abstractNum w:abstractNumId="24">
    <w:nsid w:val="737B8DDC"/>
    <w:multiLevelType w:val="hybridMultilevel"/>
    <w:lvl w:ilvl="0">
      <w:lvlJc w:val="left"/>
      <w:lvlText w:val="·"/>
      <w:numFmt w:val="bullet"/>
      <w:start w:val="1"/>
    </w:lvl>
  </w:abstractNum>
  <w:abstractNum w:abstractNumId="25">
    <w:nsid w:val="6CEAF087"/>
    <w:multiLevelType w:val="hybridMultilevel"/>
    <w:lvl w:ilvl="0">
      <w:lvlJc w:val="left"/>
      <w:lvlText w:val="·"/>
      <w:numFmt w:val="bullet"/>
      <w:start w:val="1"/>
    </w:lvl>
  </w:abstractNum>
  <w:abstractNum w:abstractNumId="26">
    <w:nsid w:val="22221A70"/>
    <w:multiLevelType w:val="hybridMultilevel"/>
    <w:lvl w:ilvl="0">
      <w:lvlJc w:val="left"/>
      <w:lvlText w:val="·"/>
      <w:numFmt w:val="bullet"/>
      <w:start w:val="1"/>
    </w:lvl>
  </w:abstractNum>
  <w:abstractNum w:abstractNumId="27">
    <w:nsid w:val="4516DDE9"/>
    <w:multiLevelType w:val="hybridMultilevel"/>
    <w:lvl w:ilvl="0">
      <w:lvlJc w:val="left"/>
      <w:lvlText w:val="·"/>
      <w:numFmt w:val="bullet"/>
      <w:start w:val="1"/>
    </w:lvl>
  </w:abstractNum>
  <w:abstractNum w:abstractNumId="28">
    <w:nsid w:val="3006C83E"/>
    <w:multiLevelType w:val="hybridMultilevel"/>
    <w:lvl w:ilvl="0">
      <w:lvlJc w:val="left"/>
      <w:lvlText w:val="*"/>
      <w:numFmt w:val="bullet"/>
      <w:start w:val="1"/>
    </w:lvl>
    <w:lvl w:ilvl="1">
      <w:lvlJc w:val="left"/>
      <w:lvlText w:val="%2"/>
      <w:numFmt w:val="decimal"/>
      <w:start w:val="101"/>
    </w:lvl>
  </w:abstractNum>
  <w:abstractNum w:abstractNumId="29">
    <w:nsid w:val="614FD4A1"/>
    <w:multiLevelType w:val="hybridMultilevel"/>
    <w:lvl w:ilvl="0">
      <w:lvlJc w:val="left"/>
      <w:lvlText w:val="**"/>
      <w:numFmt w:val="bullet"/>
      <w:start w:val="1"/>
    </w:lvl>
    <w:lvl w:ilvl="1">
      <w:lvlJc w:val="left"/>
      <w:lvlText w:val="%2"/>
      <w:numFmt w:val="decimal"/>
      <w:start w:val="1"/>
    </w:lvl>
  </w:abstractNum>
  <w:abstractNum w:abstractNumId="30">
    <w:nsid w:val="419AC241"/>
    <w:multiLevelType w:val="hybridMultilevel"/>
    <w:lvl w:ilvl="0">
      <w:lvlJc w:val="left"/>
      <w:lvlText w:val="***"/>
      <w:numFmt w:val="bullet"/>
      <w:start w:val="1"/>
    </w:lvl>
    <w:lvl w:ilvl="1">
      <w:lvlJc w:val="left"/>
      <w:lvlText w:val="%2"/>
      <w:numFmt w:val="decimal"/>
      <w:start w:val="1"/>
    </w:lvl>
  </w:abstractNum>
  <w:abstractNum w:abstractNumId="31">
    <w:nsid w:val="5577F8E1"/>
    <w:multiLevelType w:val="hybridMultilevel"/>
    <w:lvl w:ilvl="0">
      <w:lvlJc w:val="left"/>
      <w:lvlText w:val="*"/>
      <w:numFmt w:val="bullet"/>
      <w:start w:val="1"/>
    </w:lvl>
    <w:lvl w:ilvl="1">
      <w:lvlJc w:val="left"/>
      <w:lvlText w:val="%2"/>
      <w:numFmt w:val="decimal"/>
      <w:start w:val="101"/>
    </w:lvl>
  </w:abstractNum>
  <w:abstractNum w:abstractNumId="32">
    <w:nsid w:val="440BADFC"/>
    <w:multiLevelType w:val="hybridMultilevel"/>
    <w:lvl w:ilvl="0">
      <w:lvlJc w:val="left"/>
      <w:lvlText w:val="**"/>
      <w:numFmt w:val="bullet"/>
      <w:start w:val="1"/>
    </w:lvl>
    <w:lvl w:ilvl="1">
      <w:lvlJc w:val="left"/>
      <w:lvlText w:val="%2"/>
      <w:numFmt w:val="decimal"/>
      <w:start w:val="1"/>
    </w:lvl>
  </w:abstractNum>
  <w:abstractNum w:abstractNumId="33">
    <w:nsid w:val="5072367"/>
    <w:multiLevelType w:val="hybridMultilevel"/>
    <w:lvl w:ilvl="0">
      <w:lvlJc w:val="left"/>
      <w:lvlText w:val="***"/>
      <w:numFmt w:val="bullet"/>
      <w:start w:val="1"/>
    </w:lvl>
    <w:lvl w:ilvl="1">
      <w:lvlJc w:val="left"/>
      <w:lvlText w:val="%2"/>
      <w:numFmt w:val="decimal"/>
      <w:start w:val="1"/>
    </w:lvl>
  </w:abstractNum>
  <w:abstractNum w:abstractNumId="34">
    <w:nsid w:val="3804823E"/>
    <w:multiLevelType w:val="hybridMultilevel"/>
    <w:lvl w:ilvl="0">
      <w:lvlJc w:val="left"/>
      <w:lvlText w:val="%1."/>
      <w:numFmt w:val="decimal"/>
      <w:start w:val="1"/>
    </w:lvl>
    <w:lvl w:ilvl="1">
      <w:lvlJc w:val="left"/>
      <w:lvlText w:val="(%2)"/>
      <w:numFmt w:val="lowerLetter"/>
      <w:start w:val="1"/>
    </w:lvl>
  </w:abstractNum>
  <w:abstractNum w:abstractNumId="35">
    <w:nsid w:val="77465F01"/>
    <w:multiLevelType w:val="hybridMultilevel"/>
    <w:lvl w:ilvl="0">
      <w:lvlJc w:val="left"/>
      <w:lvlText w:val="%1."/>
      <w:numFmt w:val="decimal"/>
      <w:start w:val="1"/>
    </w:lvl>
    <w:lvl w:ilvl="1">
      <w:lvlJc w:val="left"/>
      <w:lvlText w:val="(%2)"/>
      <w:numFmt w:val="lowerLetter"/>
      <w:start w:val="1"/>
    </w:lvl>
  </w:abstractNum>
  <w:abstractNum w:abstractNumId="36">
    <w:nsid w:val="7724C67E"/>
    <w:multiLevelType w:val="hybridMultilevel"/>
    <w:lvl w:ilvl="0">
      <w:lvlJc w:val="left"/>
      <w:lvlText w:val="(%1)"/>
      <w:numFmt w:val="decimal"/>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2019-12-06T00:15:07Z</dcterms:created>
  <dcterms:modified xsi:type="dcterms:W3CDTF">2019-12-06T00:15:07Z</dcterms:modified>
</cp:coreProperties>
</file>