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99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520"/>
          </w:cols>
          <w:pgMar w:left="240" w:top="233" w:right="239" w:bottom="0" w:gutter="0" w:footer="0" w:header="0"/>
          <w:type w:val="continuous"/>
        </w:sectPr>
      </w:pPr>
    </w:p>
    <w:p>
      <w:pPr>
        <w:spacing w:after="0" w:line="48"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740" w:space="720"/>
            <w:col w:w="3960"/>
          </w:cols>
          <w:pgMar w:left="240" w:top="233"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January 31, 2014 the registrant had outstanding 9,551,531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8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Information</w:t>
        </w:r>
      </w:hyperlink>
    </w:p>
    <w:p>
      <w:pPr>
        <w:spacing w:after="0" w:line="27" w:lineRule="exact"/>
        <w:rPr>
          <w:sz w:val="20"/>
          <w:szCs w:val="20"/>
          <w:color w:val="auto"/>
        </w:rPr>
      </w:pPr>
    </w:p>
    <w:p>
      <w:pPr>
        <w:ind w:left="1000"/>
        <w:spacing w:after="0"/>
        <w:tabs>
          <w:tab w:leader="none" w:pos="202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December 31, 2013 and June 30, 2013</w:t>
        </w:r>
      </w:hyperlink>
    </w:p>
    <w:p>
      <w:pPr>
        <w:spacing w:after="0" w:line="20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w:t>
        </w:r>
      </w:hyperlink>
    </w:p>
    <w:p>
      <w:pPr>
        <w:spacing w:after="0" w:line="27"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Three Months Ended December 31, 2013 and 2012</w:t>
        </w:r>
      </w:hyperlink>
    </w:p>
    <w:p>
      <w:pPr>
        <w:spacing w:after="0" w:line="9"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Six Months Ended December 31, 2013 and 2012</w:t>
        </w:r>
      </w:hyperlink>
    </w:p>
    <w:p>
      <w:pPr>
        <w:spacing w:after="0" w:line="20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w:t>
        </w:r>
      </w:hyperlink>
    </w:p>
    <w:p>
      <w:pPr>
        <w:spacing w:after="0" w:line="27"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Three Months Ended December 31, 2013 and 2012</w:t>
        </w:r>
      </w:hyperlink>
    </w:p>
    <w:p>
      <w:pPr>
        <w:spacing w:after="0" w:line="9"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2013 and 2012</w:t>
        </w:r>
      </w:hyperlink>
    </w:p>
    <w:p>
      <w:pPr>
        <w:spacing w:after="0" w:line="20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Changes in Stockholders’ Equity</w:t>
        </w:r>
      </w:hyperlink>
    </w:p>
    <w:p>
      <w:pPr>
        <w:spacing w:after="0" w:line="27"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2013 and 2012</w:t>
        </w:r>
      </w:hyperlink>
    </w:p>
    <w:p>
      <w:pPr>
        <w:spacing w:after="0" w:line="20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Statements of Cash Flows</w:t>
        </w:r>
      </w:hyperlink>
    </w:p>
    <w:p>
      <w:pPr>
        <w:spacing w:after="0" w:line="27" w:lineRule="exact"/>
        <w:rPr>
          <w:sz w:val="20"/>
          <w:szCs w:val="20"/>
          <w:color w:val="auto"/>
        </w:rPr>
      </w:pPr>
    </w:p>
    <w:p>
      <w:pPr>
        <w:ind w:left="2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Six Months Ended December 31, 2013 and 2012</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Notes to Consolidated Financial Statements</w:t>
        </w:r>
      </w:hyperlink>
    </w:p>
    <w:p>
      <w:pPr>
        <w:spacing w:after="0" w:line="225" w:lineRule="exact"/>
        <w:rPr>
          <w:sz w:val="20"/>
          <w:szCs w:val="20"/>
          <w:color w:val="auto"/>
        </w:rPr>
      </w:pPr>
    </w:p>
    <w:p>
      <w:pPr>
        <w:ind w:left="1000"/>
        <w:spacing w:after="0"/>
        <w:tabs>
          <w:tab w:leader="none" w:pos="2020" w:val="left"/>
        </w:tabs>
        <w:rPr>
          <w:rFonts w:ascii="Arial" w:cs="Arial" w:eastAsia="Arial" w:hAnsi="Arial"/>
          <w:sz w:val="16"/>
          <w:szCs w:val="16"/>
          <w:b w:val="1"/>
          <w:bCs w:val="1"/>
          <w:u w:val="single" w:color="auto"/>
          <w:color w:val="0000EE"/>
        </w:rPr>
      </w:pPr>
      <w:hyperlink w:anchor="page21">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21">
        <w:r>
          <w:rPr>
            <w:rFonts w:ascii="Arial" w:cs="Arial" w:eastAsia="Arial" w:hAnsi="Arial"/>
            <w:sz w:val="16"/>
            <w:szCs w:val="16"/>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1000"/>
        <w:spacing w:after="0"/>
        <w:tabs>
          <w:tab w:leader="none" w:pos="2020" w:val="left"/>
        </w:tabs>
        <w:rPr>
          <w:rFonts w:ascii="Arial" w:cs="Arial" w:eastAsia="Arial" w:hAnsi="Arial"/>
          <w:sz w:val="16"/>
          <w:szCs w:val="16"/>
          <w:b w:val="1"/>
          <w:bCs w:val="1"/>
          <w:u w:val="single" w:color="auto"/>
          <w:color w:val="0000EE"/>
        </w:rPr>
      </w:pPr>
      <w:hyperlink w:anchor="page33">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33">
        <w:r>
          <w:rPr>
            <w:rFonts w:ascii="Arial" w:cs="Arial" w:eastAsia="Arial" w:hAnsi="Arial"/>
            <w:sz w:val="16"/>
            <w:szCs w:val="16"/>
            <w:b w:val="1"/>
            <w:bCs w:val="1"/>
            <w:u w:val="single" w:color="auto"/>
            <w:color w:val="0000EE"/>
          </w:rPr>
          <w:t>Quantitative and Qualitative Disclosure about Market Risk</w:t>
        </w:r>
      </w:hyperlink>
    </w:p>
    <w:p>
      <w:pPr>
        <w:spacing w:after="0" w:line="225" w:lineRule="exact"/>
        <w:rPr>
          <w:sz w:val="20"/>
          <w:szCs w:val="20"/>
          <w:color w:val="auto"/>
        </w:rPr>
      </w:pPr>
    </w:p>
    <w:p>
      <w:pPr>
        <w:ind w:left="1000"/>
        <w:spacing w:after="0"/>
        <w:tabs>
          <w:tab w:leader="none" w:pos="2020" w:val="left"/>
        </w:tabs>
        <w:rPr>
          <w:rFonts w:ascii="Arial" w:cs="Arial" w:eastAsia="Arial" w:hAnsi="Arial"/>
          <w:sz w:val="16"/>
          <w:szCs w:val="16"/>
          <w:b w:val="1"/>
          <w:bCs w:val="1"/>
          <w:u w:val="single" w:color="auto"/>
          <w:color w:val="0000EE"/>
        </w:rPr>
      </w:pPr>
      <w:hyperlink w:anchor="page33">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33">
        <w:r>
          <w:rPr>
            <w:rFonts w:ascii="Arial" w:cs="Arial" w:eastAsia="Arial" w:hAnsi="Arial"/>
            <w:sz w:val="16"/>
            <w:szCs w:val="16"/>
            <w:b w:val="1"/>
            <w:bCs w:val="1"/>
            <w:u w:val="single" w:color="auto"/>
            <w:color w:val="0000EE"/>
          </w:rPr>
          <w:t>Controls and Procedures</w:t>
        </w:r>
      </w:hyperlink>
    </w:p>
    <w:p>
      <w:pPr>
        <w:spacing w:after="0" w:line="225" w:lineRule="exact"/>
        <w:rPr>
          <w:sz w:val="20"/>
          <w:szCs w:val="20"/>
          <w:color w:val="auto"/>
        </w:rPr>
      </w:pPr>
    </w:p>
    <w:p>
      <w:pPr>
        <w:spacing w:after="0"/>
        <w:tabs>
          <w:tab w:leader="none" w:pos="980" w:val="left"/>
        </w:tabs>
        <w:rPr>
          <w:rFonts w:ascii="Arial" w:cs="Arial" w:eastAsia="Arial" w:hAnsi="Arial"/>
          <w:sz w:val="17"/>
          <w:szCs w:val="17"/>
          <w:b w:val="1"/>
          <w:bCs w:val="1"/>
          <w:u w:val="single" w:color="auto"/>
          <w:color w:val="0000EE"/>
        </w:rPr>
      </w:pPr>
      <w:hyperlink w:anchor="page34">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34">
        <w:r>
          <w:rPr>
            <w:rFonts w:ascii="Arial" w:cs="Arial" w:eastAsia="Arial" w:hAnsi="Arial"/>
            <w:sz w:val="17"/>
            <w:szCs w:val="17"/>
            <w:b w:val="1"/>
            <w:bCs w:val="1"/>
            <w:u w:val="single" w:color="auto"/>
            <w:color w:val="0000EE"/>
          </w:rPr>
          <w:t>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1.</w:t>
              </w:r>
            </w:hyperlink>
          </w:p>
        </w:tc>
        <w:tc>
          <w:tcPr>
            <w:tcW w:w="500" w:type="dxa"/>
            <w:vAlign w:val="bottom"/>
            <w:gridSpan w:val="2"/>
          </w:tcPr>
          <w:p>
            <w:pPr>
              <w:spacing w:after="0"/>
              <w:rPr>
                <w:sz w:val="17"/>
                <w:szCs w:val="17"/>
                <w:color w:val="auto"/>
              </w:rPr>
            </w:pPr>
          </w:p>
        </w:tc>
        <w:tc>
          <w:tcPr>
            <w:tcW w:w="5520" w:type="dxa"/>
            <w:vAlign w:val="bottom"/>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Legal Proceedings</w:t>
              </w:r>
            </w:hyperlink>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1A.</w:t>
              </w:r>
            </w:hyperlink>
          </w:p>
        </w:tc>
        <w:tc>
          <w:tcPr>
            <w:tcW w:w="5520" w:type="dxa"/>
            <w:vAlign w:val="bottom"/>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Risk Factors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2.</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8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Unregistered Sales of Equity Securities and Use of Proceeds</w:t>
              </w:r>
            </w:hyperlink>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3.</w:t>
              </w:r>
            </w:hyperlink>
          </w:p>
        </w:tc>
        <w:tc>
          <w:tcPr>
            <w:tcW w:w="500" w:type="dxa"/>
            <w:vAlign w:val="bottom"/>
            <w:gridSpan w:val="2"/>
          </w:tcPr>
          <w:p>
            <w:pPr>
              <w:spacing w:after="0"/>
              <w:rPr>
                <w:sz w:val="24"/>
                <w:szCs w:val="24"/>
                <w:color w:val="auto"/>
              </w:rPr>
            </w:pPr>
          </w:p>
        </w:tc>
        <w:tc>
          <w:tcPr>
            <w:tcW w:w="246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Defaults Upon Senior Securities</w:t>
              </w:r>
            </w:hyperlink>
          </w:p>
        </w:tc>
        <w:tc>
          <w:tcPr>
            <w:tcW w:w="30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4.</w:t>
              </w:r>
            </w:hyperlink>
          </w:p>
        </w:tc>
        <w:tc>
          <w:tcPr>
            <w:tcW w:w="500" w:type="dxa"/>
            <w:vAlign w:val="bottom"/>
            <w:gridSpan w:val="2"/>
          </w:tcPr>
          <w:p>
            <w:pPr>
              <w:spacing w:after="0"/>
              <w:rPr>
                <w:sz w:val="24"/>
                <w:szCs w:val="24"/>
                <w:color w:val="auto"/>
              </w:rPr>
            </w:pPr>
          </w:p>
        </w:tc>
        <w:tc>
          <w:tcPr>
            <w:tcW w:w="5520" w:type="dxa"/>
            <w:vAlign w:val="bottom"/>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Mine Safety Disclosures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5.</w:t>
              </w:r>
            </w:hyperlink>
          </w:p>
        </w:tc>
        <w:tc>
          <w:tcPr>
            <w:tcW w:w="500" w:type="dxa"/>
            <w:vAlign w:val="bottom"/>
            <w:gridSpan w:val="2"/>
          </w:tcPr>
          <w:p>
            <w:pPr>
              <w:spacing w:after="0"/>
              <w:rPr>
                <w:sz w:val="24"/>
                <w:szCs w:val="24"/>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tcPr>
          <w:p>
            <w:pPr>
              <w:spacing w:after="0"/>
              <w:rPr>
                <w:sz w:val="24"/>
                <w:szCs w:val="24"/>
                <w:color w:val="auto"/>
              </w:rPr>
            </w:pPr>
          </w:p>
        </w:tc>
        <w:tc>
          <w:tcPr>
            <w:tcW w:w="368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6.</w:t>
              </w:r>
            </w:hyperlink>
          </w:p>
        </w:tc>
        <w:tc>
          <w:tcPr>
            <w:tcW w:w="500" w:type="dxa"/>
            <w:vAlign w:val="bottom"/>
            <w:gridSpan w:val="2"/>
          </w:tcPr>
          <w:p>
            <w:pPr>
              <w:spacing w:after="0"/>
              <w:rPr>
                <w:sz w:val="24"/>
                <w:szCs w:val="24"/>
                <w:color w:val="auto"/>
              </w:rPr>
            </w:pPr>
          </w:p>
        </w:tc>
        <w:tc>
          <w:tcPr>
            <w:tcW w:w="5520" w:type="dxa"/>
            <w:vAlign w:val="bottom"/>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40" w:type="dxa"/>
            <w:vAlign w:val="bottom"/>
            <w:gridSpan w:val="6"/>
          </w:tcPr>
          <w:p>
            <w:pPr>
              <w:jc w:val="right"/>
              <w:ind w:right="8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4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7"/>
              </w:rPr>
              <w:t>PART 1- FINANCIAL INFORMATION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gridSpan w:val="14"/>
          </w:tcPr>
          <w:p>
            <w:pPr>
              <w:spacing w:after="0"/>
              <w:rPr>
                <w:sz w:val="20"/>
                <w:szCs w:val="20"/>
                <w:color w:val="auto"/>
              </w:rPr>
            </w:pPr>
            <w:r>
              <w:rPr>
                <w:rFonts w:ascii="Arial" w:cs="Arial" w:eastAsia="Arial" w:hAnsi="Arial"/>
                <w:sz w:val="18"/>
                <w:szCs w:val="18"/>
                <w:color w:val="auto"/>
              </w:rPr>
              <w:t>Item 1. Financial Statements (Unaudited)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560" w:type="dxa"/>
            <w:vAlign w:val="bottom"/>
            <w:gridSpan w:val="14"/>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14"/>
          </w:tcPr>
          <w:p>
            <w:pPr>
              <w:spacing w:after="0"/>
              <w:rPr>
                <w:sz w:val="20"/>
                <w:szCs w:val="20"/>
                <w:color w:val="auto"/>
              </w:rPr>
            </w:pPr>
            <w:r>
              <w:rPr>
                <w:rFonts w:ascii="Arial" w:cs="Arial" w:eastAsia="Arial" w:hAnsi="Arial"/>
                <w:sz w:val="18"/>
                <w:szCs w:val="18"/>
                <w:b w:val="1"/>
                <w:bCs w:val="1"/>
                <w:color w:val="auto"/>
              </w:rPr>
              <w:t>CONSOLIDATED BALANCE SHEETS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6"/>
          </w:tcPr>
          <w:p>
            <w:pPr>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14"/>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gridSpan w:val="4"/>
            <w:shd w:val="clear" w:color="auto" w:fill="CCEEFF"/>
          </w:tcPr>
          <w:p>
            <w:pPr>
              <w:jc w:val="center"/>
              <w:ind w:right="3380"/>
              <w:spacing w:after="0" w:line="196" w:lineRule="exact"/>
              <w:rPr>
                <w:sz w:val="20"/>
                <w:szCs w:val="20"/>
                <w:color w:val="auto"/>
              </w:rPr>
            </w:pPr>
            <w:r>
              <w:rPr>
                <w:rFonts w:ascii="Arial" w:cs="Arial" w:eastAsia="Arial" w:hAnsi="Arial"/>
                <w:sz w:val="18"/>
                <w:szCs w:val="18"/>
                <w:color w:val="auto"/>
                <w:w w:val="88"/>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spacing w:after="0"/>
              <w:rPr>
                <w:sz w:val="20"/>
                <w:szCs w:val="20"/>
                <w:color w:val="auto"/>
              </w:rPr>
            </w:pPr>
            <w:r>
              <w:rPr>
                <w:rFonts w:ascii="Arial" w:cs="Arial" w:eastAsia="Arial" w:hAnsi="Arial"/>
                <w:sz w:val="18"/>
                <w:szCs w:val="18"/>
                <w:color w:val="auto"/>
                <w:w w:val="97"/>
              </w:rPr>
              <w:t>Cash and due from banks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2,948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gridSpan w:val="13"/>
          </w:tcPr>
          <w:p>
            <w:pPr>
              <w:ind w:left="520"/>
              <w:spacing w:after="0"/>
              <w:rPr>
                <w:sz w:val="20"/>
                <w:szCs w:val="20"/>
                <w:color w:val="auto"/>
              </w:rPr>
            </w:pPr>
            <w:r>
              <w:rPr>
                <w:rFonts w:ascii="Arial" w:cs="Arial" w:eastAsia="Arial" w:hAnsi="Arial"/>
                <w:sz w:val="18"/>
                <w:szCs w:val="18"/>
                <w:color w:val="auto"/>
              </w:rPr>
              <w:t>Total cash and cash equivalents</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63,427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Available-for-sale securities, at fair value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114,717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501,709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Less: Allowance for loan losses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Loans, net</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500,359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tcPr>
          <w:p>
            <w:pPr>
              <w:spacing w:after="0"/>
              <w:rPr>
                <w:sz w:val="20"/>
                <w:szCs w:val="20"/>
                <w:color w:val="auto"/>
              </w:rPr>
            </w:pPr>
            <w:r>
              <w:rPr>
                <w:rFonts w:ascii="Arial" w:cs="Arial" w:eastAsia="Arial" w:hAnsi="Arial"/>
                <w:sz w:val="18"/>
                <w:szCs w:val="18"/>
                <w:color w:val="auto"/>
              </w:rPr>
              <w:t>Real estate owned and other possessed collateral,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Bank owned life insurance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10,997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20" w:type="dxa"/>
            <w:vAlign w:val="bottom"/>
            <w:gridSpan w:val="8"/>
            <w:shd w:val="clear" w:color="auto" w:fill="CCEEFF"/>
          </w:tcPr>
          <w:p>
            <w:pPr>
              <w:jc w:val="center"/>
              <w:ind w:right="1920"/>
              <w:spacing w:after="0"/>
              <w:rPr>
                <w:sz w:val="20"/>
                <w:szCs w:val="20"/>
                <w:color w:val="auto"/>
              </w:rPr>
            </w:pPr>
            <w:r>
              <w:rPr>
                <w:rFonts w:ascii="Arial" w:cs="Arial" w:eastAsia="Arial" w:hAnsi="Arial"/>
                <w:sz w:val="18"/>
                <w:szCs w:val="18"/>
                <w:color w:val="auto"/>
                <w:w w:val="93"/>
              </w:rPr>
              <w:t>Liabilities and Stockholders’ 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color w:val="auto"/>
              </w:rPr>
              <w:t>Deposits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Demand</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tcPr>
          <w:p>
            <w:pPr>
              <w:ind w:left="340"/>
              <w:spacing w:after="0"/>
              <w:rPr>
                <w:sz w:val="20"/>
                <w:szCs w:val="20"/>
                <w:color w:val="auto"/>
              </w:rPr>
            </w:pPr>
            <w:r>
              <w:rPr>
                <w:rFonts w:ascii="Arial" w:cs="Arial" w:eastAsia="Arial" w:hAnsi="Arial"/>
                <w:sz w:val="18"/>
                <w:szCs w:val="18"/>
                <w:color w:val="auto"/>
              </w:rPr>
              <w:t>Savings and interest checking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93,394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Money market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ind w:left="340"/>
              <w:spacing w:after="0"/>
              <w:rPr>
                <w:sz w:val="20"/>
                <w:szCs w:val="20"/>
                <w:color w:val="auto"/>
              </w:rPr>
            </w:pPr>
            <w:r>
              <w:rPr>
                <w:rFonts w:ascii="Arial" w:cs="Arial" w:eastAsia="Arial" w:hAnsi="Arial"/>
                <w:sz w:val="18"/>
                <w:szCs w:val="18"/>
                <w:color w:val="auto"/>
              </w:rPr>
              <w:t>Time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307,957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deposits</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tcPr>
          <w:p>
            <w:pPr>
              <w:ind w:left="160"/>
              <w:spacing w:after="0"/>
              <w:rPr>
                <w:sz w:val="20"/>
                <w:szCs w:val="20"/>
                <w:color w:val="auto"/>
              </w:rPr>
            </w:pPr>
            <w:r>
              <w:rPr>
                <w:rFonts w:ascii="Arial" w:cs="Arial" w:eastAsia="Arial" w:hAnsi="Arial"/>
                <w:sz w:val="18"/>
                <w:szCs w:val="18"/>
                <w:color w:val="auto"/>
              </w:rPr>
              <w:t>Wholesale repurchase agreements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15,290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13"/>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8,352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8"/>
              </w:rPr>
              <w:t>Capital lease obligation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11,029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ind w:left="160"/>
              <w:spacing w:after="0" w:line="201" w:lineRule="exact"/>
              <w:rPr>
                <w:sz w:val="20"/>
                <w:szCs w:val="20"/>
                <w:color w:val="auto"/>
              </w:rPr>
            </w:pPr>
            <w:r>
              <w:rPr>
                <w:rFonts w:ascii="Arial" w:cs="Arial" w:eastAsia="Arial" w:hAnsi="Arial"/>
                <w:sz w:val="18"/>
                <w:szCs w:val="18"/>
                <w:color w:val="auto"/>
                <w:w w:val="95"/>
              </w:rPr>
              <w:t>Preferred stock, $1.00 par value, 1,000,000 shares authorized; no shares issued and outstanding at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December 31, 2013 and June 30, 2013</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Voting common stock, $1.00 par value, 25,000,000 shares authorized; 9,551,531 and 9,565,680 shares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December 31, 2013 and June 30, 2013, respectively</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9,552</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ind w:left="160"/>
              <w:spacing w:after="0" w:line="201" w:lineRule="exact"/>
              <w:rPr>
                <w:sz w:val="20"/>
                <w:szCs w:val="20"/>
                <w:color w:val="auto"/>
              </w:rPr>
            </w:pPr>
            <w:r>
              <w:rPr>
                <w:rFonts w:ascii="Arial" w:cs="Arial" w:eastAsia="Arial" w:hAnsi="Arial"/>
                <w:sz w:val="18"/>
                <w:szCs w:val="18"/>
                <w:color w:val="auto"/>
                <w:w w:val="93"/>
              </w:rPr>
              <w:t>Non-voting common stock, $1.00 par value, 3,000,000 shares authorized; 880,963 shares issued and</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outstanding at December 31, 2013 and June 30, 2013</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93,230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12,358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114,383</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732,625</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10,282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8,267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18,739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979</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16,122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securities gains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 held for sale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(Loss) gain recognized on real estate owned and other repossessed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collateral, net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1,311</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2,625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settlement recovery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751</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1,395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income from discontinued operations before tax (benefit)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10,432,833</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10,383,441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10,436,673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10,383,441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10,432,833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10,383,441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10,436,673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2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1,517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8"/>
              </w:rPr>
              <w:t>Change in net unrealized gain or loss on available-for-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 securities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w:t>
            </w:r>
          </w:p>
        </w:tc>
        <w:tc>
          <w:tcPr>
            <w:tcW w:w="9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520"/>
              <w:spacing w:after="0" w:line="201" w:lineRule="exact"/>
              <w:rPr>
                <w:sz w:val="20"/>
                <w:szCs w:val="20"/>
                <w:color w:val="auto"/>
              </w:rPr>
            </w:pPr>
            <w:r>
              <w:rPr>
                <w:rFonts w:ascii="Arial" w:cs="Arial" w:eastAsia="Arial" w:hAnsi="Arial"/>
                <w:sz w:val="18"/>
                <w:szCs w:val="18"/>
                <w:color w:val="auto"/>
                <w:w w:val="96"/>
              </w:rPr>
              <w:t>Reclassification adjustment for net gains included in net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Change in accumulated loss on effective cash flow</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hedges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520"/>
              <w:spacing w:after="0" w:line="201" w:lineRule="exact"/>
              <w:rPr>
                <w:sz w:val="20"/>
                <w:szCs w:val="20"/>
                <w:color w:val="auto"/>
              </w:rPr>
            </w:pPr>
            <w:r>
              <w:rPr>
                <w:rFonts w:ascii="Arial" w:cs="Arial" w:eastAsia="Arial" w:hAnsi="Arial"/>
                <w:sz w:val="18"/>
                <w:szCs w:val="18"/>
                <w:color w:val="auto"/>
                <w:w w:val="94"/>
              </w:rPr>
              <w:t>Reclassification adjustments for net gains included in net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other comprehensive (loss) income, before tax</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Income tax expense (benefit) related to other comprehensive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income</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9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1,328</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rPr>
              <w:t>Non-</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Preferred Stock</w:t>
            </w:r>
          </w:p>
        </w:tc>
        <w:tc>
          <w:tcPr>
            <w:tcW w:w="1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Voting Common Stock</w:t>
            </w:r>
          </w:p>
        </w:tc>
        <w:tc>
          <w:tcPr>
            <w:tcW w:w="5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voting Common Stock</w:t>
            </w:r>
          </w:p>
        </w:tc>
        <w:tc>
          <w:tcPr>
            <w:tcW w:w="11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7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5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10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8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0"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4,227</w:t>
            </w:r>
          </w:p>
        </w:tc>
        <w:tc>
          <w:tcPr>
            <w:tcW w:w="4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9,307,127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1,076,314</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96,359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$ 12,235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 loss, net of</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Conversion of non-voting</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common stock to voting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common stock</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160,245</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(160,245)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on preferred stock</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$0.18 per share</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Offering costs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Redemption of preferred stock</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and warrants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(4,227)</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Accretion of preferred stock</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268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9,467,372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92,461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9,565,680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92,745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$ 12,524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 income, net</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of tax</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$0.18 per share</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Forfeiture of restricted common</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(14,149)</w:t>
            </w:r>
          </w:p>
        </w:tc>
        <w:tc>
          <w:tcPr>
            <w:tcW w:w="1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9,551,531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$ 12,358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21"/>
          </w:tcPr>
          <w:p>
            <w:pPr>
              <w:spacing w:after="0"/>
              <w:rPr>
                <w:sz w:val="20"/>
                <w:szCs w:val="20"/>
                <w:color w:val="auto"/>
              </w:rPr>
            </w:pPr>
            <w:r>
              <w:rPr>
                <w:rFonts w:ascii="Arial" w:cs="Arial" w:eastAsia="Arial" w:hAnsi="Arial"/>
                <w:sz w:val="18"/>
                <w:szCs w:val="18"/>
                <w:i w:val="1"/>
                <w:iCs w:val="1"/>
                <w:color w:val="auto"/>
                <w:w w:val="95"/>
              </w:rPr>
              <w:t>The accompanying notes are an integral part of these unaudited consolidated financial statements.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660" w:type="dxa"/>
            <w:vAlign w:val="bottom"/>
            <w:tcBorders>
              <w:bottom w:val="single" w:sz="8" w:color="010101"/>
            </w:tcBorders>
            <w:gridSpan w:val="2"/>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960" w:type="dxa"/>
            <w:vAlign w:val="bottom"/>
            <w:gridSpan w:val="8"/>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40" w:type="dxa"/>
            <w:vAlign w:val="bottom"/>
            <w:gridSpan w:val="10"/>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w w:val="98"/>
              </w:rPr>
              <w:t>Six Months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1,713</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16"/>
            <w:shd w:val="clear" w:color="auto" w:fill="CCEEFF"/>
          </w:tcPr>
          <w:p>
            <w:pPr>
              <w:ind w:left="160"/>
              <w:spacing w:after="0"/>
              <w:rPr>
                <w:sz w:val="20"/>
                <w:szCs w:val="20"/>
                <w:color w:val="auto"/>
              </w:rPr>
            </w:pPr>
            <w:r>
              <w:rPr>
                <w:rFonts w:ascii="Arial" w:cs="Arial" w:eastAsia="Arial" w:hAnsi="Arial"/>
                <w:sz w:val="18"/>
                <w:szCs w:val="18"/>
                <w:color w:val="auto"/>
                <w:w w:val="91"/>
              </w:rPr>
              <w:t>Adjustments to reconcile net income to net cash (used in) provided by operating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Provision for loan losses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w w:val="88"/>
              </w:rPr>
              <w:t>Loss (gain) on sale and impairment of real estate owned and other repossessed collateral,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tcPr>
          <w:p>
            <w:pPr>
              <w:ind w:left="340"/>
              <w:spacing w:after="0"/>
              <w:rPr>
                <w:sz w:val="20"/>
                <w:szCs w:val="20"/>
                <w:color w:val="auto"/>
              </w:rPr>
            </w:pPr>
            <w:r>
              <w:rPr>
                <w:rFonts w:ascii="Arial" w:cs="Arial" w:eastAsia="Arial" w:hAnsi="Arial"/>
                <w:sz w:val="18"/>
                <w:szCs w:val="18"/>
                <w:color w:val="auto"/>
                <w:w w:val="93"/>
              </w:rPr>
              <w:t>Accretion of fair value adjustments on loans,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(4,099)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9"/>
            <w:shd w:val="clear" w:color="auto" w:fill="CCEEFF"/>
          </w:tcPr>
          <w:p>
            <w:pPr>
              <w:ind w:left="340"/>
              <w:spacing w:after="0"/>
              <w:rPr>
                <w:sz w:val="20"/>
                <w:szCs w:val="20"/>
                <w:color w:val="auto"/>
              </w:rPr>
            </w:pPr>
            <w:r>
              <w:rPr>
                <w:rFonts w:ascii="Arial" w:cs="Arial" w:eastAsia="Arial" w:hAnsi="Arial"/>
                <w:sz w:val="18"/>
                <w:szCs w:val="18"/>
                <w:color w:val="auto"/>
                <w:w w:val="97"/>
              </w:rPr>
              <w:t>Accretion of fair value adjustments on deposits,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(415)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9"/>
          </w:tcPr>
          <w:p>
            <w:pPr>
              <w:ind w:left="340"/>
              <w:spacing w:after="0"/>
              <w:rPr>
                <w:sz w:val="20"/>
                <w:szCs w:val="20"/>
                <w:color w:val="auto"/>
              </w:rPr>
            </w:pPr>
            <w:r>
              <w:rPr>
                <w:rFonts w:ascii="Arial" w:cs="Arial" w:eastAsia="Arial" w:hAnsi="Arial"/>
                <w:sz w:val="18"/>
                <w:szCs w:val="18"/>
                <w:color w:val="auto"/>
                <w:w w:val="92"/>
              </w:rPr>
              <w:t>Accretion of fair value adjustments on borrowings,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(132)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5"/>
              </w:rPr>
              <w:t>Originations of loans held for sale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(44,651)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tcPr>
          <w:p>
            <w:pPr>
              <w:ind w:left="340"/>
              <w:spacing w:after="0"/>
              <w:rPr>
                <w:sz w:val="20"/>
                <w:szCs w:val="20"/>
                <w:color w:val="auto"/>
              </w:rPr>
            </w:pPr>
            <w:r>
              <w:rPr>
                <w:rFonts w:ascii="Arial" w:cs="Arial" w:eastAsia="Arial" w:hAnsi="Arial"/>
                <w:sz w:val="18"/>
                <w:szCs w:val="18"/>
                <w:color w:val="auto"/>
                <w:w w:val="97"/>
              </w:rPr>
              <w:t>Net proceeds from sales of loans held for sale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47,299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1"/>
              </w:rPr>
              <w:t>Gain on sales of loans held for sale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(880)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Gain on sales of portfolio loans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(230)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Amortization of intangible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color w:val="auto"/>
              </w:rPr>
              <w:t>Bank-owned life insurance income, net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(234)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7"/>
              </w:rPr>
              <w:t>Depreciation of premises and equipment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color w:val="auto"/>
                <w:w w:val="97"/>
              </w:rPr>
              <w:t>Gain on sale of premises and equipment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w w:val="95"/>
              </w:rPr>
              <w:t>Net gain on sale of available-for-sale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securities,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(6,568)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520"/>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gridSpan w:val="7"/>
            <w:shd w:val="clear" w:color="auto" w:fill="CCEEFF"/>
          </w:tcPr>
          <w:p>
            <w:pPr>
              <w:ind w:left="160"/>
              <w:spacing w:after="0"/>
              <w:rPr>
                <w:sz w:val="20"/>
                <w:szCs w:val="20"/>
                <w:color w:val="auto"/>
              </w:rPr>
            </w:pPr>
            <w:r>
              <w:rPr>
                <w:rFonts w:ascii="Arial" w:cs="Arial" w:eastAsia="Arial" w:hAnsi="Arial"/>
                <w:sz w:val="18"/>
                <w:szCs w:val="18"/>
                <w:color w:val="auto"/>
                <w:w w:val="94"/>
              </w:rPr>
              <w:t>Net cash (used in) provided by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tcPr>
          <w:p>
            <w:pPr>
              <w:ind w:left="160"/>
              <w:spacing w:after="0"/>
              <w:rPr>
                <w:sz w:val="20"/>
                <w:szCs w:val="20"/>
                <w:color w:val="auto"/>
              </w:rPr>
            </w:pPr>
            <w:r>
              <w:rPr>
                <w:rFonts w:ascii="Arial" w:cs="Arial" w:eastAsia="Arial" w:hAnsi="Arial"/>
                <w:sz w:val="18"/>
                <w:szCs w:val="18"/>
                <w:color w:val="auto"/>
                <w:w w:val="92"/>
              </w:rPr>
              <w:t>Proceeds from sales of available-for-sale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(12,083)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(167,294)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16"/>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18,165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(29,967)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(34,000)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9"/>
              </w:rPr>
              <w:t>Purchases of premises and equipment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(594)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7"/>
          </w:tcPr>
          <w:p>
            <w:pPr>
              <w:ind w:left="160"/>
              <w:spacing w:after="0"/>
              <w:rPr>
                <w:sz w:val="20"/>
                <w:szCs w:val="20"/>
                <w:color w:val="auto"/>
              </w:rPr>
            </w:pPr>
            <w:r>
              <w:rPr>
                <w:rFonts w:ascii="Arial" w:cs="Arial" w:eastAsia="Arial" w:hAnsi="Arial"/>
                <w:sz w:val="18"/>
                <w:szCs w:val="18"/>
                <w:color w:val="auto"/>
                <w:w w:val="97"/>
              </w:rPr>
              <w:t>Proceeds from sales of premises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14"/>
            <w:shd w:val="clear" w:color="auto" w:fill="CCEEFF"/>
          </w:tcPr>
          <w:p>
            <w:pPr>
              <w:ind w:left="160"/>
              <w:spacing w:after="0"/>
              <w:rPr>
                <w:sz w:val="20"/>
                <w:szCs w:val="20"/>
                <w:color w:val="auto"/>
              </w:rPr>
            </w:pPr>
            <w:r>
              <w:rPr>
                <w:rFonts w:ascii="Arial" w:cs="Arial" w:eastAsia="Arial" w:hAnsi="Arial"/>
                <w:sz w:val="18"/>
                <w:szCs w:val="18"/>
                <w:color w:val="auto"/>
                <w:w w:val="96"/>
              </w:rPr>
              <w:t>Proceeds from sales of real estate owned and other repossessed collateral</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w w:val="92"/>
              </w:rPr>
              <w:t>Proceeds from life insurance benefits</w:t>
            </w:r>
          </w:p>
        </w:tc>
        <w:tc>
          <w:tcPr>
            <w:tcW w:w="5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-6117590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-6117590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decrease in short-term borrowings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1,843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preferred stock</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FHLB advances</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Stock offering costs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Redemption of preferred stock and warrants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57,189</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65,934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63,427</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8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Transfers from real estate owned and other repossessed collateral to loans</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2013 (“Fiscal 2013”)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(“ASU”) No. 2011-11, </w:t>
      </w:r>
      <w:r>
        <w:rPr>
          <w:rFonts w:ascii="Arial" w:cs="Arial" w:eastAsia="Arial" w:hAnsi="Arial"/>
          <w:sz w:val="18"/>
          <w:szCs w:val="18"/>
          <w:i w:val="1"/>
          <w:iCs w:val="1"/>
          <w:color w:val="auto"/>
        </w:rPr>
        <w:t>Balance Sheet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210): Disclosures about Offsetting Assets and Liabilities </w:t>
      </w:r>
      <w:r>
        <w:rPr>
          <w:rFonts w:ascii="Arial" w:cs="Arial" w:eastAsia="Arial" w:hAnsi="Arial"/>
          <w:sz w:val="18"/>
          <w:szCs w:val="18"/>
          <w:color w:val="auto"/>
        </w:rPr>
        <w:t>(“ASU 2011-11”). The update requires entities to disclose information about offsetting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financial 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adoption of this guidance did not have a material impact on the consolidated financial statements.</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 xml:space="preserve">In January 2013, the FASB issued ASU No. 2013-01,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xml:space="preserve"> (“ASU 2013-01”). The amendments clarify that the scope of Update 2011-11 applies to derivatives accounted for in accordance with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new standards are effective for annual periods beginning January 1, 2013 and for interim periods within those annual periods. Retrospective application is required. The adoption of this guidance did not have a material impact on the consolidated financial statements.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July 2013, the FASB issued ASU No. 2013-10, </w:t>
      </w:r>
      <w:r>
        <w:rPr>
          <w:rFonts w:ascii="Arial" w:cs="Arial" w:eastAsia="Arial" w:hAnsi="Arial"/>
          <w:sz w:val="18"/>
          <w:szCs w:val="18"/>
          <w:i w:val="1"/>
          <w:iCs w:val="1"/>
          <w:color w:val="auto"/>
        </w:rPr>
        <w:t>Derivatives and Hedging (Topic 815): Inclusion of the Fed Funds Effective Swap Rate (or Overnight Index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Swap Rate) as a Benchmark Interest Rate for Hedge Accounting Purposes </w:t>
      </w:r>
      <w:r>
        <w:rPr>
          <w:rFonts w:ascii="Arial" w:cs="Arial" w:eastAsia="Arial" w:hAnsi="Arial"/>
          <w:sz w:val="18"/>
          <w:szCs w:val="18"/>
          <w:color w:val="auto"/>
        </w:rPr>
        <w:t>(“ASU 2013-30”). The amendments in ASU 2013-30 permit the Fed Funds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Swap Rate (OIS) to be used as a U.S. benchmark interest rate for hedge accounting purposes under Topic 815, in addition to UST and LIBOR. The amendments also remove the restriction on using different benchmark rates for similar hedges. The amendments are effective prospectively for qualifying new or redesignated hedging relationships entered into on or after July 17, 2013. ASU 2013-30 may impact the accounting for interest rate hedging relationships entered into after July 17, 2013.</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In January 2014, the FASB issued ASU No. 2014-04, </w:t>
      </w:r>
      <w:r>
        <w:rPr>
          <w:rFonts w:ascii="Arial" w:cs="Arial" w:eastAsia="Arial" w:hAnsi="Arial"/>
          <w:sz w:val="16"/>
          <w:szCs w:val="16"/>
          <w:i w:val="1"/>
          <w:iCs w:val="1"/>
          <w:color w:val="auto"/>
        </w:rPr>
        <w:t>Receivables (Topic 310): Troubled Debt Restructurings by Creditors</w:t>
      </w:r>
      <w:r>
        <w:rPr>
          <w:rFonts w:ascii="Arial" w:cs="Arial" w:eastAsia="Arial" w:hAnsi="Arial"/>
          <w:sz w:val="16"/>
          <w:szCs w:val="16"/>
          <w:color w:val="auto"/>
        </w:rPr>
        <w:t xml:space="preserve"> (“ASU 2014-04”). The amendments clarify that when an in substance repossession or foreclosure occurs,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w:t>
      </w:r>
    </w:p>
    <w:p>
      <w:pPr>
        <w:sectPr>
          <w:pgSz w:w="11900" w:h="16838" w:orient="portrait"/>
          <w:cols w:equalWidth="0" w:num="1">
            <w:col w:w="11420"/>
          </w:cols>
          <w:pgMar w:left="240" w:top="140" w:right="239" w:bottom="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completion of a deed in lieu of foreclosure or through a similar legal agreement. Additionally, the amendments require interim and annual disclosure of both</w:t>
      </w:r>
    </w:p>
    <w:p>
      <w:pPr>
        <w:spacing w:after="0" w:line="46" w:lineRule="exact"/>
        <w:rPr>
          <w:sz w:val="20"/>
          <w:szCs w:val="20"/>
          <w:color w:val="auto"/>
        </w:rPr>
      </w:pPr>
    </w:p>
    <w:p>
      <w:pPr>
        <w:ind w:firstLine="8"/>
        <w:spacing w:after="0" w:line="269"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 The amendments ASU 2013-04 are effective for annual periods, and interim periods within those annual periods, beginning after December 15, 2014. An entity can elect to adopt the amendments in ASU 2014-04 using either a modified retrospective transition method or a prospective transition method. Under the modified retrospective transition method, an entity should apply the amendments by means of a cumulative-effect adjustment to residential consumer mortgage loans and foreclosed residential real estate properties existing as of the beginning of the annual period for which the amendments are effective. The Company does not expect ASU 2014-04 to have material impact on the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7"/>
              </w:rPr>
              <w:t>Gross Unrealized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Value</w:t>
            </w:r>
          </w:p>
        </w:tc>
      </w:tr>
      <w:tr>
        <w:trPr>
          <w:trHeight w:val="142"/>
        </w:trPr>
        <w:tc>
          <w:tcPr>
            <w:tcW w:w="3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8"/>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45,152</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45,143</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72,331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(2,757)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69,574</w:t>
            </w:r>
          </w:p>
        </w:tc>
        <w:tc>
          <w:tcPr>
            <w:tcW w:w="100" w:type="dxa"/>
            <w:vAlign w:val="bottom"/>
          </w:tcPr>
          <w:p>
            <w:pPr>
              <w:spacing w:after="0"/>
              <w:rPr>
                <w:sz w:val="18"/>
                <w:szCs w:val="18"/>
                <w:color w:val="auto"/>
              </w:rPr>
            </w:pPr>
          </w:p>
        </w:tc>
      </w:tr>
      <w:tr>
        <w:trPr>
          <w:trHeight w:val="223"/>
        </w:trPr>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June 30, 2013</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Gross Unrealized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Value</w:t>
            </w:r>
          </w:p>
        </w:tc>
      </w:tr>
      <w:tr>
        <w:trPr>
          <w:trHeight w:val="142"/>
        </w:trPr>
        <w:tc>
          <w:tcPr>
            <w:tcW w:w="3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8"/>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45,289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45,333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78,944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(2,680)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76,264</w:t>
            </w:r>
          </w:p>
        </w:tc>
      </w:tr>
      <w:tr>
        <w:trPr>
          <w:trHeight w:val="223"/>
        </w:trPr>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70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93"/>
              </w:rPr>
              <w:t>Three Months Ended December 31,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Six Months Ended December 31,</w:t>
            </w:r>
          </w:p>
        </w:tc>
      </w:tr>
      <w:tr>
        <w:trPr>
          <w:trHeight w:val="142"/>
        </w:trPr>
        <w:tc>
          <w:tcPr>
            <w:tcW w:w="34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3"/>
          </w:tcPr>
          <w:p>
            <w:pPr>
              <w:jc w:val="center"/>
              <w:ind w:right="44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center"/>
              <w:ind w:left="45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Gross realized losses</w:t>
            </w:r>
          </w:p>
        </w:tc>
        <w:tc>
          <w:tcPr>
            <w:tcW w:w="82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2013, investment securities with a fair value of approximately $42.0 million were pledged as collateral to secure outstanding borrowings.</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31,2013</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More than 12 Months</w:t>
            </w:r>
          </w:p>
        </w:tc>
        <w:tc>
          <w:tcPr>
            <w:tcW w:w="240" w:type="dxa"/>
            <w:vAlign w:val="bottom"/>
          </w:tcPr>
          <w:p>
            <w:pPr>
              <w:spacing w:after="0"/>
              <w:rPr>
                <w:sz w:val="12"/>
                <w:szCs w:val="12"/>
                <w:color w:val="auto"/>
              </w:rPr>
            </w:pPr>
          </w:p>
        </w:tc>
        <w:tc>
          <w:tcPr>
            <w:tcW w:w="126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33,623</w:t>
            </w: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35,951</w:t>
            </w: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(2,757)</w:t>
            </w:r>
          </w:p>
        </w:tc>
      </w:tr>
      <w:tr>
        <w:trPr>
          <w:trHeight w:val="223"/>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2"/>
              </w:rPr>
              <w:t>June 30, 2013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More than 12 Months</w:t>
            </w:r>
          </w:p>
        </w:tc>
        <w:tc>
          <w:tcPr>
            <w:tcW w:w="240" w:type="dxa"/>
            <w:vAlign w:val="bottom"/>
          </w:tcPr>
          <w:p>
            <w:pPr>
              <w:spacing w:after="0"/>
              <w:rPr>
                <w:sz w:val="12"/>
                <w:szCs w:val="12"/>
                <w:color w:val="auto"/>
              </w:rPr>
            </w:pPr>
          </w:p>
        </w:tc>
        <w:tc>
          <w:tcPr>
            <w:tcW w:w="126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76,264</w:t>
            </w: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six months ended December 31, 2013 or 2012.</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At December 31, 2013, the Company had eleven securities in a continuous loss position for greater than twelve months. At December 31, 2013, all of the Company’s available-for-sale securities were issued or guaranteed by either government agencies or government-sponsored enterprises. The decline in fair value of the Company’s available-for-sale securities at December 31, 2013 is attributable to changes in interest rates.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December 31, 2013.</w:t>
      </w:r>
    </w:p>
    <w:p>
      <w:pPr>
        <w:sectPr>
          <w:pgSz w:w="11900" w:h="16838" w:orient="portrait"/>
          <w:cols w:equalWidth="0" w:num="1">
            <w:col w:w="11380"/>
          </w:cols>
          <w:pgMar w:left="240" w:top="125" w:right="27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December 31, 2013.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422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22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7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33,070</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33,082</w:t>
            </w:r>
          </w:p>
        </w:tc>
        <w:tc>
          <w:tcPr>
            <w:tcW w:w="42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12,081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12,061</w:t>
            </w:r>
          </w:p>
        </w:tc>
        <w:tc>
          <w:tcPr>
            <w:tcW w:w="42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36,684</w:t>
            </w:r>
          </w:p>
        </w:tc>
        <w:tc>
          <w:tcPr>
            <w:tcW w:w="42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Due after ten years</w:t>
            </w: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34,733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32,890</w:t>
            </w:r>
          </w:p>
        </w:tc>
        <w:tc>
          <w:tcPr>
            <w:tcW w:w="4220" w:type="dxa"/>
            <w:vAlign w:val="bottom"/>
          </w:tcPr>
          <w:p>
            <w:pPr>
              <w:spacing w:after="0"/>
              <w:rPr>
                <w:sz w:val="18"/>
                <w:szCs w:val="18"/>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32"/>
        </w:trPr>
        <w:tc>
          <w:tcPr>
            <w:tcW w:w="4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2013</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Originated</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Purchased</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120,814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92,440</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30,065</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35,389</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292,802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264,448</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11,722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40" w:type="dxa"/>
            <w:vAlign w:val="bottom"/>
          </w:tcPr>
          <w:p>
            <w:pPr>
              <w:spacing w:after="0"/>
              <w:rPr>
                <w:sz w:val="18"/>
                <w:szCs w:val="18"/>
                <w:color w:val="auto"/>
              </w:rPr>
            </w:pP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5" w:gutter="0" w:footer="0" w:header="0"/>
        </w:sectPr>
      </w:pPr>
    </w:p>
    <w:bookmarkStart w:id="8" w:name="page9"/>
    <w:bookmarkEnd w:id="8"/>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6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40" w:right="22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40" w:right="20" w:firstLine="10"/>
        <w:spacing w:after="0" w:line="293"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three and six months ended December 31, 2013 or 2012.</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separately identify individual consumer and residential loans for individual impairment and disclosure. However, all TDRs are individually reviewed for impairment.</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w:t>
      </w:r>
    </w:p>
    <w:p>
      <w:pPr>
        <w:sectPr>
          <w:pgSz w:w="11900" w:h="16908" w:orient="portrait"/>
          <w:cols w:equalWidth="0" w:num="1">
            <w:col w:w="11420"/>
          </w:cols>
          <w:pgMar w:left="240" w:top="125" w:right="239" w:bottom="0" w:gutter="0" w:footer="0" w:header="0"/>
        </w:sectPr>
      </w:pPr>
    </w:p>
    <w:bookmarkStart w:id="9" w:name="page10"/>
    <w:bookmarkEnd w:id="9"/>
    <w:p>
      <w:pPr>
        <w:ind w:right="80"/>
        <w:spacing w:after="0" w:line="290" w:lineRule="auto"/>
        <w:rPr>
          <w:sz w:val="20"/>
          <w:szCs w:val="20"/>
          <w:color w:val="auto"/>
        </w:rPr>
      </w:pPr>
      <w:r>
        <w:rPr>
          <w:rFonts w:ascii="Arial" w:cs="Arial" w:eastAsia="Arial" w:hAnsi="Arial"/>
          <w:sz w:val="16"/>
          <w:szCs w:val="16"/>
          <w:color w:val="auto"/>
        </w:rPr>
        <w:t>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 2013</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 2012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Six Months Ended 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Six Months Ended December 31, 2012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148,671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2013</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122,497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Unpaid</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2012</w:t>
            </w:r>
          </w:p>
        </w:tc>
        <w:tc>
          <w:tcPr>
            <w:tcW w:w="1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4"/>
              <w:spacing w:after="0" w:line="119"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56"/>
              <w:spacing w:after="0" w:line="119" w:lineRule="exact"/>
              <w:rPr>
                <w:sz w:val="20"/>
                <w:szCs w:val="20"/>
                <w:color w:val="auto"/>
              </w:rPr>
            </w:pPr>
            <w:r>
              <w:rPr>
                <w:rFonts w:ascii="Arial" w:cs="Arial" w:eastAsia="Arial" w:hAnsi="Arial"/>
                <w:sz w:val="13"/>
                <w:szCs w:val="13"/>
                <w:b w:val="1"/>
                <w:bCs w:val="1"/>
                <w:color w:val="auto"/>
              </w:rPr>
              <w:t>Interest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34"/>
              <w:spacing w:after="0" w:line="119"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2"/>
              </w:rPr>
              <w:t>Recorded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4"/>
                <w:szCs w:val="14"/>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Originated: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Originated: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8"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December 31,</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w w:val="89"/>
              </w:rPr>
              <w:t>2012</w:t>
            </w:r>
          </w:p>
        </w:tc>
        <w:tc>
          <w:tcPr>
            <w:tcW w:w="1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3"/>
              <w:spacing w:after="0" w:line="119"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Interest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33"/>
              <w:spacing w:after="0" w:line="119"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13"/>
              <w:spacing w:after="0" w:line="119"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2"/>
                <w:szCs w:val="12"/>
                <w:color w:val="auto"/>
              </w:rPr>
            </w:pPr>
          </w:p>
        </w:tc>
        <w:tc>
          <w:tcPr>
            <w:tcW w:w="11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Recorded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4"/>
                <w:szCs w:val="14"/>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4"/>
          </w:tcPr>
          <w:p>
            <w:pPr>
              <w:jc w:val="right"/>
              <w:ind w:right="753"/>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Originated: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Originated: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015"/>
              <w:spacing w:after="0"/>
              <w:rPr>
                <w:sz w:val="20"/>
                <w:szCs w:val="20"/>
                <w:color w:val="auto"/>
              </w:rPr>
            </w:pPr>
            <w:r>
              <w:rPr>
                <w:rFonts w:ascii="Arial" w:cs="Arial" w:eastAsia="Arial" w:hAnsi="Arial"/>
                <w:sz w:val="18"/>
                <w:szCs w:val="18"/>
                <w:color w:val="auto"/>
                <w:w w:val="79"/>
              </w:rPr>
              <w:t>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 defined weakness or weaknesses that jeopardize the orderly liquidation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500"/>
              <w:spacing w:after="0" w:line="142" w:lineRule="exact"/>
              <w:rPr>
                <w:sz w:val="20"/>
                <w:szCs w:val="20"/>
                <w:color w:val="auto"/>
              </w:rPr>
            </w:pPr>
            <w:r>
              <w:rPr>
                <w:rFonts w:ascii="Arial" w:cs="Arial" w:eastAsia="Arial" w:hAnsi="Arial"/>
                <w:sz w:val="14"/>
                <w:szCs w:val="14"/>
                <w:b w:val="1"/>
                <w:bCs w:val="1"/>
                <w:color w:val="auto"/>
              </w:rPr>
              <w:t>Originated Portfolio</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Purchased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Residential(1)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327,564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177,435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500"/>
              <w:spacing w:after="0" w:line="142" w:lineRule="exact"/>
              <w:rPr>
                <w:sz w:val="20"/>
                <w:szCs w:val="20"/>
                <w:color w:val="auto"/>
              </w:rPr>
            </w:pPr>
            <w:r>
              <w:rPr>
                <w:rFonts w:ascii="Arial" w:cs="Arial" w:eastAsia="Arial" w:hAnsi="Arial"/>
                <w:sz w:val="14"/>
                <w:szCs w:val="14"/>
                <w:b w:val="1"/>
                <w:bCs w:val="1"/>
                <w:color w:val="auto"/>
              </w:rPr>
              <w:t>Originated Portfolio</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Purchased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Residential(1)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(Dollars in thousands)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95,834</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161,965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300,291</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7</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3,226</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7,483</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9</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277"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Company’s loans originated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1,684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117,941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120,814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117,986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43,644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43,687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324,274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3,224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174,816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2"/>
              </w:rPr>
              <w:t>June 30, 2013</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87,083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100,402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Three Months Ended December 31,</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2"/>
              </w:rPr>
              <w:t>Six Months Ended December 31,</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4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040" w:type="dxa"/>
            <w:vAlign w:val="bottom"/>
          </w:tcPr>
          <w:p>
            <w:pPr>
              <w:spacing w:after="0"/>
              <w:rPr>
                <w:sz w:val="10"/>
                <w:szCs w:val="10"/>
                <w:color w:val="auto"/>
              </w:rPr>
            </w:pPr>
          </w:p>
        </w:tc>
        <w:tc>
          <w:tcPr>
            <w:tcW w:w="10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8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Recorded</w:t>
            </w:r>
          </w:p>
        </w:tc>
        <w:tc>
          <w:tcPr>
            <w:tcW w:w="160" w:type="dxa"/>
            <w:vAlign w:val="bottom"/>
          </w:tcPr>
          <w:p>
            <w:pPr>
              <w:spacing w:after="0"/>
              <w:rPr>
                <w:sz w:val="10"/>
                <w:szCs w:val="10"/>
                <w:color w:val="auto"/>
              </w:rPr>
            </w:pPr>
          </w:p>
        </w:tc>
        <w:tc>
          <w:tcPr>
            <w:tcW w:w="10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88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0"/>
                <w:szCs w:val="10"/>
                <w:color w:val="auto"/>
              </w:rPr>
            </w:pPr>
          </w:p>
        </w:tc>
        <w:tc>
          <w:tcPr>
            <w:tcW w:w="880" w:type="dxa"/>
            <w:vAlign w:val="bottom"/>
          </w:tcPr>
          <w:p>
            <w:pPr>
              <w:jc w:val="center"/>
              <w:ind w:left="51"/>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Recorded</w:t>
            </w:r>
          </w:p>
        </w:tc>
        <w:tc>
          <w:tcPr>
            <w:tcW w:w="180" w:type="dxa"/>
            <w:vAlign w:val="bottom"/>
          </w:tcPr>
          <w:p>
            <w:pPr>
              <w:spacing w:after="0"/>
              <w:rPr>
                <w:sz w:val="10"/>
                <w:szCs w:val="10"/>
                <w:color w:val="auto"/>
              </w:rPr>
            </w:pPr>
          </w:p>
        </w:tc>
        <w:tc>
          <w:tcPr>
            <w:tcW w:w="840" w:type="dxa"/>
            <w:vAlign w:val="bottom"/>
          </w:tcPr>
          <w:p>
            <w:pPr>
              <w:jc w:val="center"/>
              <w:ind w:left="111"/>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Pr>
          <w:p>
            <w:pPr>
              <w:spacing w:after="0"/>
              <w:rPr>
                <w:sz w:val="10"/>
                <w:szCs w:val="10"/>
                <w:color w:val="auto"/>
              </w:rPr>
            </w:pPr>
          </w:p>
        </w:tc>
      </w:tr>
      <w:tr>
        <w:trPr>
          <w:trHeight w:val="171"/>
        </w:trPr>
        <w:tc>
          <w:tcPr>
            <w:tcW w:w="204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Investment</w:t>
            </w:r>
          </w:p>
        </w:tc>
        <w:tc>
          <w:tcPr>
            <w:tcW w:w="1080" w:type="dxa"/>
            <w:vAlign w:val="bottom"/>
          </w:tcPr>
          <w:p>
            <w:pPr>
              <w:jc w:val="right"/>
              <w:ind w:right="202"/>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Investment</w:t>
            </w:r>
          </w:p>
        </w:tc>
        <w:tc>
          <w:tcPr>
            <w:tcW w:w="880" w:type="dxa"/>
            <w:vAlign w:val="bottom"/>
          </w:tcPr>
          <w:p>
            <w:pPr>
              <w:jc w:val="center"/>
              <w:ind w:left="51"/>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Investment</w:t>
            </w:r>
          </w:p>
        </w:tc>
        <w:tc>
          <w:tcPr>
            <w:tcW w:w="840" w:type="dxa"/>
            <w:vAlign w:val="bottom"/>
          </w:tcPr>
          <w:p>
            <w:pPr>
              <w:jc w:val="center"/>
              <w:ind w:left="91"/>
              <w:spacing w:after="0"/>
              <w:rPr>
                <w:sz w:val="20"/>
                <w:szCs w:val="20"/>
                <w:color w:val="auto"/>
              </w:rPr>
            </w:pPr>
            <w:r>
              <w:rPr>
                <w:rFonts w:ascii="Arial" w:cs="Arial" w:eastAsia="Arial" w:hAnsi="Arial"/>
                <w:sz w:val="14"/>
                <w:szCs w:val="14"/>
                <w:b w:val="1"/>
                <w:bCs w:val="1"/>
                <w:color w:val="auto"/>
                <w:w w:val="91"/>
              </w:rPr>
              <w:t>Contracts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r>
      <w:tr>
        <w:trPr>
          <w:trHeight w:val="142"/>
        </w:trPr>
        <w:tc>
          <w:tcPr>
            <w:tcW w:w="20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1,763</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1,777</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26"/>
        </w:trPr>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interest rate</w:t>
            </w:r>
          </w:p>
        </w:tc>
        <w:tc>
          <w:tcPr>
            <w:tcW w:w="1080" w:type="dxa"/>
            <w:vAlign w:val="bottom"/>
            <w:tcBorders>
              <w:bottom w:val="single" w:sz="8" w:color="CCEEFF"/>
            </w:tcBorders>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82</w:t>
            </w: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20"/>
          </w:cols>
          <w:pgMar w:left="240" w:top="118"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Principal deferment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7"/>
              </w:rPr>
              <w:t>Court ordered concession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left="116"/>
              <w:spacing w:after="0"/>
              <w:rPr>
                <w:sz w:val="20"/>
                <w:szCs w:val="20"/>
                <w:color w:val="auto"/>
              </w:rPr>
            </w:pPr>
            <w:r>
              <w:rPr>
                <w:rFonts w:ascii="Arial" w:cs="Arial" w:eastAsia="Arial" w:hAnsi="Arial"/>
                <w:sz w:val="14"/>
                <w:szCs w:val="14"/>
                <w:b w:val="1"/>
                <w:bCs w:val="1"/>
                <w:color w:val="auto"/>
                <w:w w:val="93"/>
              </w:rPr>
              <w:t>Three Months Ended December 31,</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14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Recorded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136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Pre-Modification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Post-Modification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jc w:val="center"/>
              <w:ind w:left="9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w w:val="98"/>
              </w:rPr>
              <w:t>Commercial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real estate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Total purchased portfolio</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116"/>
              <w:spacing w:after="0"/>
              <w:rPr>
                <w:sz w:val="20"/>
                <w:szCs w:val="20"/>
                <w:color w:val="auto"/>
              </w:rPr>
            </w:pPr>
            <w:r>
              <w:rPr>
                <w:rFonts w:ascii="Arial" w:cs="Arial" w:eastAsia="Arial" w:hAnsi="Arial"/>
                <w:sz w:val="14"/>
                <w:szCs w:val="14"/>
                <w:b w:val="1"/>
                <w:bCs w:val="1"/>
                <w:color w:val="auto"/>
                <w:w w:val="93"/>
              </w:rPr>
              <w:t>Six Months Ended December 31,</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14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Recorded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136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Pre-Modification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Post-Modification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jc w:val="center"/>
              <w:ind w:left="9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w w:val="98"/>
              </w:rPr>
              <w:t>Commercial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real estate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Total purchased portfolio</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loans that have been modified during the past twelve months which have subsequently defaulted during the periods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 loan to have defaulted when it reaches 90 days past due.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4"/>
              </w:rPr>
              <w:t>Three Months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Six Months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660" w:type="dxa"/>
            <w:vAlign w:val="bottom"/>
          </w:tcPr>
          <w:p>
            <w:pPr>
              <w:spacing w:after="0"/>
              <w:rPr>
                <w:sz w:val="12"/>
                <w:szCs w:val="12"/>
                <w:color w:val="auto"/>
              </w:rPr>
            </w:pPr>
          </w:p>
        </w:tc>
        <w:tc>
          <w:tcPr>
            <w:tcW w:w="1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1660" w:type="dxa"/>
            <w:vAlign w:val="bottom"/>
          </w:tcPr>
          <w:p>
            <w:pPr>
              <w:spacing w:after="0"/>
              <w:rPr>
                <w:sz w:val="10"/>
                <w:szCs w:val="10"/>
                <w:color w:val="auto"/>
              </w:rPr>
            </w:pPr>
          </w:p>
        </w:tc>
        <w:tc>
          <w:tcPr>
            <w:tcW w:w="132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Recorded</w:t>
            </w:r>
          </w:p>
        </w:tc>
        <w:tc>
          <w:tcPr>
            <w:tcW w:w="160" w:type="dxa"/>
            <w:vAlign w:val="bottom"/>
          </w:tcPr>
          <w:p>
            <w:pPr>
              <w:spacing w:after="0"/>
              <w:rPr>
                <w:sz w:val="10"/>
                <w:szCs w:val="10"/>
                <w:color w:val="auto"/>
              </w:rPr>
            </w:pPr>
          </w:p>
        </w:tc>
        <w:tc>
          <w:tcPr>
            <w:tcW w:w="11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Recorded</w:t>
            </w:r>
          </w:p>
        </w:tc>
        <w:tc>
          <w:tcPr>
            <w:tcW w:w="180" w:type="dxa"/>
            <w:vAlign w:val="bottom"/>
          </w:tcPr>
          <w:p>
            <w:pPr>
              <w:spacing w:after="0"/>
              <w:rPr>
                <w:sz w:val="10"/>
                <w:szCs w:val="10"/>
                <w:color w:val="auto"/>
              </w:rPr>
            </w:pP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9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Recorded</w:t>
            </w:r>
          </w:p>
        </w:tc>
        <w:tc>
          <w:tcPr>
            <w:tcW w:w="40" w:type="dxa"/>
            <w:vAlign w:val="bottom"/>
            <w:gridSpan w:val="2"/>
          </w:tcPr>
          <w:p>
            <w:pPr>
              <w:spacing w:after="0"/>
              <w:rPr>
                <w:sz w:val="10"/>
                <w:szCs w:val="10"/>
                <w:color w:val="auto"/>
              </w:rPr>
            </w:pPr>
          </w:p>
        </w:tc>
      </w:tr>
      <w:tr>
        <w:trPr>
          <w:trHeight w:val="171"/>
        </w:trPr>
        <w:tc>
          <w:tcPr>
            <w:tcW w:w="1660" w:type="dxa"/>
            <w:vAlign w:val="bottom"/>
          </w:tcPr>
          <w:p>
            <w:pPr>
              <w:spacing w:after="0"/>
              <w:rPr>
                <w:sz w:val="14"/>
                <w:szCs w:val="14"/>
                <w:color w:val="auto"/>
              </w:rPr>
            </w:pP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Contracts</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w:t>
            </w:r>
          </w:p>
        </w:tc>
      </w:tr>
      <w:tr>
        <w:trPr>
          <w:trHeight w:val="142"/>
        </w:trPr>
        <w:tc>
          <w:tcPr>
            <w:tcW w:w="16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3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Home equity</w:t>
            </w:r>
          </w:p>
        </w:tc>
        <w:tc>
          <w:tcPr>
            <w:tcW w:w="13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36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3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0"/>
        </w:trPr>
        <w:tc>
          <w:tcPr>
            <w:tcW w:w="166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36</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36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were no further commitments to lend associated with loans modified in a TDR.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loans accounted for under ASC 310-30 that were acquired by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December 31, 2013</w:t>
            </w:r>
          </w:p>
        </w:tc>
      </w:tr>
      <w:tr>
        <w:trPr>
          <w:trHeight w:val="142"/>
        </w:trPr>
        <w:tc>
          <w:tcPr>
            <w:tcW w:w="4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4"/>
          </w:tcPr>
          <w:p>
            <w:pPr>
              <w:jc w:val="right"/>
              <w:ind w:right="975"/>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43,082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Accretable yield</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(6,826)</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(12,522)</w:t>
            </w: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Pr>
          <w:p>
            <w:pPr>
              <w:spacing w:after="0"/>
              <w:rPr>
                <w:sz w:val="14"/>
                <w:szCs w:val="14"/>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December 31, 2013</w:t>
            </w:r>
          </w:p>
        </w:tc>
      </w:tr>
      <w:tr>
        <w:trPr>
          <w:trHeight w:val="142"/>
        </w:trPr>
        <w:tc>
          <w:tcPr>
            <w:tcW w:w="4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gridSpan w:val="2"/>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108,251</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6,826</w:t>
            </w:r>
          </w:p>
        </w:tc>
        <w:tc>
          <w:tcPr>
            <w:tcW w:w="1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12,522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Reclassifications to accretable yield</w:t>
            </w:r>
          </w:p>
        </w:tc>
        <w:tc>
          <w:tcPr>
            <w:tcW w:w="16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(9,783)</w:t>
            </w: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End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5"/>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210,297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203,755</w:t>
            </w: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175,416</w:t>
            </w: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166,506</w:t>
            </w:r>
          </w:p>
        </w:tc>
        <w:tc>
          <w:tcPr>
            <w:tcW w:w="12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December 31,</w:t>
            </w:r>
          </w:p>
        </w:tc>
        <w:tc>
          <w:tcPr>
            <w:tcW w:w="300" w:type="dxa"/>
            <w:vAlign w:val="bottom"/>
          </w:tcPr>
          <w:p>
            <w:pPr>
              <w:spacing w:after="0"/>
              <w:rPr>
                <w:sz w:val="14"/>
                <w:szCs w:val="14"/>
                <w:color w:val="auto"/>
              </w:rPr>
            </w:pPr>
          </w:p>
        </w:tc>
        <w:tc>
          <w:tcPr>
            <w:tcW w:w="2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0"/>
              </w:rPr>
              <w:t>(Dollars in thousands, except share and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10,432,833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10,383,441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10,436,673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w w:val="97"/>
              </w:rPr>
              <w:t>Incremental shares from assumed exercise of dilutive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10,432,833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10,383,441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10,436,673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16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December 31,</w:t>
            </w:r>
          </w:p>
        </w:tc>
        <w:tc>
          <w:tcPr>
            <w:tcW w:w="3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December 31,</w:t>
            </w:r>
          </w:p>
        </w:tc>
        <w:tc>
          <w:tcPr>
            <w:tcW w:w="1560" w:type="dxa"/>
            <w:vAlign w:val="bottom"/>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1560" w:type="dxa"/>
            <w:vAlign w:val="bottom"/>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1,136,080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783,149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1,151,442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787,449</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65,742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66,850</w:t>
            </w:r>
          </w:p>
        </w:tc>
        <w:tc>
          <w:tcPr>
            <w:tcW w:w="1560" w:type="dxa"/>
            <w:vAlign w:val="bottom"/>
          </w:tcPr>
          <w:p>
            <w:pPr>
              <w:spacing w:after="0"/>
              <w:rPr>
                <w:sz w:val="18"/>
                <w:szCs w:val="18"/>
                <w:color w:val="auto"/>
              </w:rPr>
            </w:pPr>
          </w:p>
        </w:tc>
      </w:tr>
      <w:tr>
        <w:trPr>
          <w:trHeight w:val="210"/>
        </w:trPr>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7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34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ectPr>
          <w:pgSz w:w="11900" w:h="16838" w:orient="portrait"/>
          <w:cols w:equalWidth="0" w:num="1">
            <w:col w:w="11460"/>
          </w:cols>
          <w:pgMar w:left="240" w:top="125" w:right="199" w:bottom="0" w:gutter="0" w:footer="0" w:header="0"/>
        </w:sectPr>
      </w:pPr>
    </w:p>
    <w:bookmarkStart w:id="15" w:name="page16"/>
    <w:bookmarkEnd w:id="15"/>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660" w:right="220"/>
        <w:spacing w:after="0" w:line="312"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deposits with no stated maturity, such as noninterest-bearing demand deposits, savings, NOW accounts and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w:t>
      </w:r>
    </w:p>
    <w:p>
      <w:pPr>
        <w:sectPr>
          <w:pgSz w:w="11900" w:h="16838" w:orient="portrait"/>
          <w:cols w:equalWidth="0" w:num="1">
            <w:col w:w="11420"/>
          </w:cols>
          <w:pgMar w:left="240" w:top="125" w:right="239" w:bottom="0" w:gutter="0" w:footer="0" w:header="0"/>
        </w:sectPr>
      </w:pPr>
    </w:p>
    <w:bookmarkStart w:id="16" w:name="page17"/>
    <w:bookmarkEnd w:id="16"/>
    <w:p>
      <w:pPr>
        <w:spacing w:after="0" w:line="6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include the benefit that results from the low-cost funding provided by the deposit liabilities compared to the cost of borrowing funds in the market. If that value were considered, the fair value of the Company’s net assets could increase.</w:t>
      </w:r>
    </w:p>
    <w:p>
      <w:pPr>
        <w:spacing w:after="0" w:line="17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Level 2</w:t>
            </w: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gridSpan w:val="3"/>
          </w:tcPr>
          <w:p>
            <w:pPr>
              <w:ind w:left="96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6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45,143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45,143</w:t>
            </w:r>
          </w:p>
        </w:tc>
        <w:tc>
          <w:tcPr>
            <w:tcW w:w="11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69,574</w:t>
            </w:r>
          </w:p>
        </w:tc>
        <w:tc>
          <w:tcPr>
            <w:tcW w:w="1180" w:type="dxa"/>
            <w:vAlign w:val="bottom"/>
          </w:tcPr>
          <w:p>
            <w:pPr>
              <w:spacing w:after="0"/>
              <w:rPr>
                <w:sz w:val="18"/>
                <w:szCs w:val="18"/>
                <w:color w:val="auto"/>
              </w:rPr>
            </w:pP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69,574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 assets — interest rate swaps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478</w:t>
            </w:r>
          </w:p>
        </w:tc>
        <w:tc>
          <w:tcPr>
            <w:tcW w:w="1180" w:type="dxa"/>
            <w:vAlign w:val="bottom"/>
          </w:tcPr>
          <w:p>
            <w:pPr>
              <w:spacing w:after="0"/>
              <w:rPr>
                <w:sz w:val="18"/>
                <w:szCs w:val="18"/>
                <w:color w:val="auto"/>
              </w:rPr>
            </w:pP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478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3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283</w:t>
            </w:r>
          </w:p>
        </w:tc>
        <w:tc>
          <w:tcPr>
            <w:tcW w:w="118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283</w:t>
            </w:r>
          </w:p>
        </w:tc>
        <w:tc>
          <w:tcPr>
            <w:tcW w:w="11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w w:val="92"/>
              </w:rPr>
              <w:t>June 30, 2013</w:t>
            </w: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Level 2</w:t>
            </w: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gridSpan w:val="3"/>
          </w:tcPr>
          <w:p>
            <w:pPr>
              <w:ind w:left="96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6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45,333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45,333</w:t>
            </w:r>
          </w:p>
        </w:tc>
        <w:tc>
          <w:tcPr>
            <w:tcW w:w="11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76,264</w:t>
            </w:r>
          </w:p>
        </w:tc>
        <w:tc>
          <w:tcPr>
            <w:tcW w:w="1180" w:type="dxa"/>
            <w:vAlign w:val="bottom"/>
          </w:tcPr>
          <w:p>
            <w:pPr>
              <w:spacing w:after="0"/>
              <w:rPr>
                <w:sz w:val="18"/>
                <w:szCs w:val="18"/>
                <w:color w:val="auto"/>
              </w:rPr>
            </w:pP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76,264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389</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11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40" w:type="dxa"/>
            <w:vAlign w:val="bottom"/>
            <w:gridSpan w:val="8"/>
          </w:tcPr>
          <w:p>
            <w:pPr>
              <w:spacing w:after="0"/>
              <w:rPr>
                <w:sz w:val="20"/>
                <w:szCs w:val="20"/>
                <w:color w:val="auto"/>
              </w:rPr>
            </w:pPr>
            <w:r>
              <w:rPr>
                <w:rFonts w:ascii="Arial" w:cs="Arial" w:eastAsia="Arial" w:hAnsi="Arial"/>
                <w:sz w:val="18"/>
                <w:szCs w:val="18"/>
                <w:color w:val="auto"/>
                <w:w w:val="96"/>
              </w:rPr>
              <w:t>Assets measured at fair value on a nonrecurring basis are summarized below.</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w w:val="95"/>
              </w:rPr>
              <w:t>Total</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3,211</w:t>
            </w:r>
          </w:p>
        </w:tc>
        <w:tc>
          <w:tcPr>
            <w:tcW w:w="48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660"/>
              <w:spacing w:after="0"/>
              <w:rPr>
                <w:sz w:val="20"/>
                <w:szCs w:val="20"/>
                <w:color w:val="auto"/>
              </w:rPr>
            </w:pPr>
            <w:r>
              <w:rPr>
                <w:rFonts w:ascii="Arial" w:cs="Arial" w:eastAsia="Arial" w:hAnsi="Arial"/>
                <w:sz w:val="14"/>
                <w:szCs w:val="14"/>
                <w:b w:val="1"/>
                <w:bCs w:val="1"/>
                <w:color w:val="auto"/>
                <w:w w:val="92"/>
              </w:rPr>
              <w:t>June 30, 2013</w:t>
            </w: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w w:val="95"/>
              </w:rPr>
              <w:t>Total</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2,134</w:t>
            </w:r>
          </w:p>
        </w:tc>
        <w:tc>
          <w:tcPr>
            <w:tcW w:w="48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Fair Value Measurements at December 31, 2013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63,427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63,427</w:t>
            </w:r>
          </w:p>
        </w:tc>
        <w:tc>
          <w:tcPr>
            <w:tcW w:w="4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63,427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114,717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114,717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5,721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5,721</w:t>
            </w:r>
          </w:p>
        </w:tc>
        <w:tc>
          <w:tcPr>
            <w:tcW w:w="4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5,721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6,835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500,359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517,284</w:t>
            </w:r>
          </w:p>
        </w:tc>
        <w:tc>
          <w:tcPr>
            <w:tcW w:w="4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1,442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536,522</w:t>
            </w: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498,582</w:t>
            </w: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rPr>
              <w:t>498,582</w:t>
            </w: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42,931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44,162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15,290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15,715</w:t>
            </w:r>
          </w:p>
        </w:tc>
        <w:tc>
          <w:tcPr>
            <w:tcW w:w="4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15,715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2,468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1,804</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8"/>
              </w:rPr>
              <w:t>Fair Value Measurements at June 30, 2013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65,934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65,934</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65,934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121,597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121,597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5,721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5,721</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5,721</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8,602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434,233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444,988</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1,396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484,623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449,857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449,857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28,040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29,404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29,404</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26,092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1,926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8,268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 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December 31, 2013, the Company had posted cash collateral totaling $800 thousand with dealer banks related to derivative instruments in a net liability position.</w:t>
      </w:r>
    </w:p>
    <w:p>
      <w:pPr>
        <w:spacing w:after="0" w:line="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13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prudent to limit the variability of a portion of its interest payments and, therefore, generally hedges a portion of its variable-rate interest payments.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December 31, 2013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8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rPr>
              <w:t>Notional</w:t>
            </w: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rPr>
              <w:t>Receive</w:t>
            </w:r>
          </w:p>
        </w:tc>
        <w:tc>
          <w:tcPr>
            <w:tcW w:w="2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left="78"/>
              <w:spacing w:after="0" w:line="110" w:lineRule="exact"/>
              <w:rPr>
                <w:sz w:val="20"/>
                <w:szCs w:val="20"/>
                <w:color w:val="auto"/>
              </w:rPr>
            </w:pPr>
            <w:r>
              <w:rPr>
                <w:rFonts w:ascii="Arial" w:cs="Arial" w:eastAsia="Arial" w:hAnsi="Arial"/>
                <w:sz w:val="12"/>
                <w:szCs w:val="12"/>
                <w:b w:val="1"/>
                <w:bCs w:val="1"/>
                <w:color w:val="auto"/>
              </w:rPr>
              <w:t>Strike</w:t>
            </w:r>
          </w:p>
        </w:tc>
        <w:tc>
          <w:tcPr>
            <w:tcW w:w="3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4"/>
          </w:tcPr>
          <w:p>
            <w:pPr>
              <w:jc w:val="right"/>
              <w:ind w:right="360"/>
              <w:spacing w:after="0" w:line="110" w:lineRule="exact"/>
              <w:rPr>
                <w:sz w:val="20"/>
                <w:szCs w:val="20"/>
                <w:color w:val="auto"/>
              </w:rPr>
            </w:pPr>
            <w:r>
              <w:rPr>
                <w:rFonts w:ascii="Arial" w:cs="Arial" w:eastAsia="Arial" w:hAnsi="Arial"/>
                <w:sz w:val="12"/>
                <w:szCs w:val="12"/>
                <w:b w:val="1"/>
                <w:bCs w:val="1"/>
                <w:color w:val="auto"/>
              </w:rPr>
              <w:t>Unrealized Gain</w:t>
            </w: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b w:val="1"/>
                <w:bCs w:val="1"/>
                <w:color w:val="auto"/>
                <w:w w:val="91"/>
              </w:rPr>
              <w:t>Inception Date</w:t>
            </w:r>
          </w:p>
        </w:tc>
        <w:tc>
          <w:tcPr>
            <w:tcW w:w="1500" w:type="dxa"/>
            <w:vAlign w:val="bottom"/>
          </w:tcPr>
          <w:p>
            <w:pPr>
              <w:jc w:val="right"/>
              <w:ind w:right="457"/>
              <w:spacing w:after="0"/>
              <w:rPr>
                <w:sz w:val="20"/>
                <w:szCs w:val="20"/>
                <w:color w:val="auto"/>
              </w:rPr>
            </w:pPr>
            <w:r>
              <w:rPr>
                <w:rFonts w:ascii="Arial" w:cs="Arial" w:eastAsia="Arial" w:hAnsi="Arial"/>
                <w:sz w:val="13"/>
                <w:szCs w:val="13"/>
                <w:b w:val="1"/>
                <w:bCs w:val="1"/>
                <w:color w:val="auto"/>
                <w:w w:val="90"/>
              </w:rPr>
              <w:t>Termination Date</w:t>
            </w:r>
          </w:p>
        </w:tc>
        <w:tc>
          <w:tcPr>
            <w:tcW w:w="1180" w:type="dxa"/>
            <w:vAlign w:val="bottom"/>
          </w:tcPr>
          <w:p>
            <w:pPr>
              <w:jc w:val="center"/>
              <w:ind w:right="357"/>
              <w:spacing w:after="0"/>
              <w:rPr>
                <w:sz w:val="20"/>
                <w:szCs w:val="20"/>
                <w:color w:val="auto"/>
              </w:rPr>
            </w:pPr>
            <w:r>
              <w:rPr>
                <w:rFonts w:ascii="Arial" w:cs="Arial" w:eastAsia="Arial" w:hAnsi="Arial"/>
                <w:sz w:val="13"/>
                <w:szCs w:val="13"/>
                <w:b w:val="1"/>
                <w:bCs w:val="1"/>
                <w:color w:val="auto"/>
                <w:w w:val="94"/>
              </w:rPr>
              <w:t>Index</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auto"/>
              </w:rPr>
              <w:t>Rate</w:t>
            </w:r>
          </w:p>
        </w:tc>
        <w:tc>
          <w:tcPr>
            <w:tcW w:w="70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w w:val="83"/>
              </w:rPr>
              <w:t>Pay Rate</w:t>
            </w:r>
          </w:p>
        </w:tc>
        <w:tc>
          <w:tcPr>
            <w:tcW w:w="480" w:type="dxa"/>
            <w:vAlign w:val="bottom"/>
          </w:tcPr>
          <w:p>
            <w:pPr>
              <w:jc w:val="center"/>
              <w:ind w:left="118"/>
              <w:spacing w:after="0"/>
              <w:rPr>
                <w:sz w:val="20"/>
                <w:szCs w:val="20"/>
                <w:color w:val="auto"/>
              </w:rPr>
            </w:pPr>
            <w:r>
              <w:rPr>
                <w:rFonts w:ascii="Arial" w:cs="Arial" w:eastAsia="Arial" w:hAnsi="Arial"/>
                <w:sz w:val="13"/>
                <w:szCs w:val="13"/>
                <w:b w:val="1"/>
                <w:bCs w:val="1"/>
                <w:color w:val="auto"/>
                <w:w w:val="92"/>
              </w:rPr>
              <w:t>Rate</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278"/>
              <w:spacing w:after="0"/>
              <w:rPr>
                <w:sz w:val="20"/>
                <w:szCs w:val="20"/>
                <w:color w:val="auto"/>
              </w:rPr>
            </w:pPr>
            <w:r>
              <w:rPr>
                <w:rFonts w:ascii="Arial" w:cs="Arial" w:eastAsia="Arial" w:hAnsi="Arial"/>
                <w:sz w:val="13"/>
                <w:szCs w:val="13"/>
                <w:b w:val="1"/>
                <w:bCs w:val="1"/>
                <w:color w:val="auto"/>
                <w:w w:val="96"/>
              </w:rPr>
              <w:t>Fair Value</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2"/>
          </w:tcPr>
          <w:p>
            <w:pPr>
              <w:jc w:val="center"/>
              <w:ind w:left="777"/>
              <w:spacing w:after="0" w:line="129" w:lineRule="exact"/>
              <w:rPr>
                <w:sz w:val="20"/>
                <w:szCs w:val="20"/>
                <w:color w:val="auto"/>
              </w:rPr>
            </w:pPr>
            <w:r>
              <w:rPr>
                <w:rFonts w:ascii="Arial" w:cs="Arial" w:eastAsia="Arial" w:hAnsi="Arial"/>
                <w:sz w:val="13"/>
                <w:szCs w:val="13"/>
                <w:b w:val="1"/>
                <w:bCs w:val="1"/>
                <w:color w:val="auto"/>
                <w:w w:val="85"/>
              </w:rPr>
              <w:t>(Dollars in thousands)</w:t>
            </w: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Interest rate swaps:</w:t>
            </w:r>
          </w:p>
        </w:tc>
        <w:tc>
          <w:tcPr>
            <w:tcW w:w="1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w:t>
            </w:r>
          </w:p>
        </w:tc>
        <w:tc>
          <w:tcPr>
            <w:tcW w:w="40" w:type="dxa"/>
            <w:vAlign w:val="bottom"/>
          </w:tcPr>
          <w:p>
            <w:pPr>
              <w:spacing w:after="0"/>
              <w:rPr>
                <w:sz w:val="11"/>
                <w:szCs w:val="11"/>
                <w:color w:val="auto"/>
              </w:rPr>
            </w:pPr>
          </w:p>
        </w:tc>
        <w:tc>
          <w:tcPr>
            <w:tcW w:w="12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February 2010</w:t>
            </w:r>
          </w:p>
        </w:tc>
        <w:tc>
          <w:tcPr>
            <w:tcW w:w="150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February 2015</w:t>
            </w:r>
          </w:p>
        </w:tc>
        <w:tc>
          <w:tcPr>
            <w:tcW w:w="1180" w:type="dxa"/>
            <w:vAlign w:val="bottom"/>
          </w:tcPr>
          <w:p>
            <w:pPr>
              <w:jc w:val="center"/>
              <w:ind w:right="357"/>
              <w:spacing w:after="0" w:line="135" w:lineRule="exact"/>
              <w:rPr>
                <w:sz w:val="20"/>
                <w:szCs w:val="20"/>
                <w:color w:val="auto"/>
              </w:rPr>
            </w:pPr>
            <w:r>
              <w:rPr>
                <w:rFonts w:ascii="Arial" w:cs="Arial" w:eastAsia="Arial" w:hAnsi="Arial"/>
                <w:sz w:val="13"/>
                <w:szCs w:val="13"/>
                <w:color w:val="auto"/>
                <w:w w:val="95"/>
              </w:rPr>
              <w:t>3 Mo. LIBOR</w:t>
            </w:r>
          </w:p>
        </w:tc>
        <w:tc>
          <w:tcPr>
            <w:tcW w:w="840" w:type="dxa"/>
            <w:vAlign w:val="bottom"/>
          </w:tcPr>
          <w:p>
            <w:pPr>
              <w:ind w:left="420"/>
              <w:spacing w:after="0" w:line="135" w:lineRule="exact"/>
              <w:rPr>
                <w:sz w:val="20"/>
                <w:szCs w:val="20"/>
                <w:color w:val="auto"/>
              </w:rPr>
            </w:pPr>
            <w:r>
              <w:rPr>
                <w:rFonts w:ascii="Arial" w:cs="Arial" w:eastAsia="Arial" w:hAnsi="Arial"/>
                <w:sz w:val="13"/>
                <w:szCs w:val="13"/>
                <w:color w:val="auto"/>
              </w:rPr>
              <w:t>2.16%</w:t>
            </w:r>
          </w:p>
        </w:tc>
        <w:tc>
          <w:tcPr>
            <w:tcW w:w="2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4.69%</w:t>
            </w:r>
          </w:p>
        </w:tc>
        <w:tc>
          <w:tcPr>
            <w:tcW w:w="48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n/a  $</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(283)</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July 2013</w:t>
            </w:r>
          </w:p>
        </w:tc>
        <w:tc>
          <w:tcPr>
            <w:tcW w:w="150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July 2033</w:t>
            </w:r>
          </w:p>
        </w:tc>
        <w:tc>
          <w:tcPr>
            <w:tcW w:w="1180" w:type="dxa"/>
            <w:vAlign w:val="bottom"/>
            <w:shd w:val="clear" w:color="auto" w:fill="CCEEFF"/>
          </w:tcPr>
          <w:p>
            <w:pPr>
              <w:jc w:val="center"/>
              <w:ind w:right="357"/>
              <w:spacing w:after="0" w:line="135" w:lineRule="exact"/>
              <w:rPr>
                <w:sz w:val="20"/>
                <w:szCs w:val="20"/>
                <w:color w:val="auto"/>
              </w:rPr>
            </w:pPr>
            <w:r>
              <w:rPr>
                <w:rFonts w:ascii="Arial" w:cs="Arial" w:eastAsia="Arial" w:hAnsi="Arial"/>
                <w:sz w:val="13"/>
                <w:szCs w:val="13"/>
                <w:color w:val="auto"/>
                <w:w w:val="95"/>
              </w:rPr>
              <w:t>3 Mo. LIBOR</w:t>
            </w:r>
          </w:p>
        </w:tc>
        <w:tc>
          <w:tcPr>
            <w:tcW w:w="84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0.27%</w:t>
            </w: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w:t>
            </w:r>
          </w:p>
        </w:tc>
        <w:tc>
          <w:tcPr>
            <w:tcW w:w="4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n/a</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237</w:t>
            </w: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40" w:type="dxa"/>
            <w:vAlign w:val="bottom"/>
          </w:tcPr>
          <w:p>
            <w:pPr>
              <w:spacing w:after="0"/>
              <w:rPr>
                <w:sz w:val="11"/>
                <w:szCs w:val="11"/>
                <w:color w:val="auto"/>
              </w:rPr>
            </w:pPr>
          </w:p>
        </w:tc>
        <w:tc>
          <w:tcPr>
            <w:tcW w:w="12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July 2013</w:t>
            </w:r>
          </w:p>
        </w:tc>
        <w:tc>
          <w:tcPr>
            <w:tcW w:w="150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July 2028</w:t>
            </w:r>
          </w:p>
        </w:tc>
        <w:tc>
          <w:tcPr>
            <w:tcW w:w="1180" w:type="dxa"/>
            <w:vAlign w:val="bottom"/>
          </w:tcPr>
          <w:p>
            <w:pPr>
              <w:jc w:val="center"/>
              <w:ind w:right="357"/>
              <w:spacing w:after="0" w:line="135" w:lineRule="exact"/>
              <w:rPr>
                <w:sz w:val="20"/>
                <w:szCs w:val="20"/>
                <w:color w:val="auto"/>
              </w:rPr>
            </w:pPr>
            <w:r>
              <w:rPr>
                <w:rFonts w:ascii="Arial" w:cs="Arial" w:eastAsia="Arial" w:hAnsi="Arial"/>
                <w:sz w:val="13"/>
                <w:szCs w:val="13"/>
                <w:color w:val="auto"/>
                <w:w w:val="95"/>
              </w:rPr>
              <w:t>3 Mo. LIBOR</w:t>
            </w:r>
          </w:p>
        </w:tc>
        <w:tc>
          <w:tcPr>
            <w:tcW w:w="840" w:type="dxa"/>
            <w:vAlign w:val="bottom"/>
          </w:tcPr>
          <w:p>
            <w:pPr>
              <w:ind w:left="420"/>
              <w:spacing w:after="0" w:line="135" w:lineRule="exact"/>
              <w:rPr>
                <w:sz w:val="20"/>
                <w:szCs w:val="20"/>
                <w:color w:val="auto"/>
              </w:rPr>
            </w:pPr>
            <w:r>
              <w:rPr>
                <w:rFonts w:ascii="Arial" w:cs="Arial" w:eastAsia="Arial" w:hAnsi="Arial"/>
                <w:sz w:val="13"/>
                <w:szCs w:val="13"/>
                <w:color w:val="auto"/>
              </w:rPr>
              <w:t>0.27%</w:t>
            </w:r>
          </w:p>
        </w:tc>
        <w:tc>
          <w:tcPr>
            <w:tcW w:w="2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3.23%</w:t>
            </w:r>
          </w:p>
        </w:tc>
        <w:tc>
          <w:tcPr>
            <w:tcW w:w="48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n/a</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159</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w:t>
            </w: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July 2013</w:t>
            </w:r>
          </w:p>
        </w:tc>
        <w:tc>
          <w:tcPr>
            <w:tcW w:w="150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July 2023</w:t>
            </w:r>
          </w:p>
        </w:tc>
        <w:tc>
          <w:tcPr>
            <w:tcW w:w="1180" w:type="dxa"/>
            <w:vAlign w:val="bottom"/>
            <w:shd w:val="clear" w:color="auto" w:fill="CCEEFF"/>
          </w:tcPr>
          <w:p>
            <w:pPr>
              <w:jc w:val="center"/>
              <w:ind w:right="357"/>
              <w:spacing w:after="0" w:line="135" w:lineRule="exact"/>
              <w:rPr>
                <w:sz w:val="20"/>
                <w:szCs w:val="20"/>
                <w:color w:val="auto"/>
              </w:rPr>
            </w:pPr>
            <w:r>
              <w:rPr>
                <w:rFonts w:ascii="Arial" w:cs="Arial" w:eastAsia="Arial" w:hAnsi="Arial"/>
                <w:sz w:val="13"/>
                <w:szCs w:val="13"/>
                <w:color w:val="auto"/>
                <w:w w:val="95"/>
              </w:rPr>
              <w:t>3 Mo. LIBOR</w:t>
            </w:r>
          </w:p>
        </w:tc>
        <w:tc>
          <w:tcPr>
            <w:tcW w:w="84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0.27%</w:t>
            </w: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w:t>
            </w:r>
          </w:p>
        </w:tc>
        <w:tc>
          <w:tcPr>
            <w:tcW w:w="4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n/a</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82</w:t>
            </w: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Interest rate caps:</w:t>
            </w:r>
          </w:p>
        </w:tc>
        <w:tc>
          <w:tcPr>
            <w:tcW w:w="1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w:t>
            </w: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September 2009</w:t>
            </w:r>
          </w:p>
        </w:tc>
        <w:tc>
          <w:tcPr>
            <w:tcW w:w="150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September 2014</w:t>
            </w:r>
          </w:p>
        </w:tc>
        <w:tc>
          <w:tcPr>
            <w:tcW w:w="1180" w:type="dxa"/>
            <w:vAlign w:val="bottom"/>
            <w:shd w:val="clear" w:color="auto" w:fill="CCEEFF"/>
          </w:tcPr>
          <w:p>
            <w:pPr>
              <w:jc w:val="center"/>
              <w:ind w:right="357"/>
              <w:spacing w:after="0" w:line="135" w:lineRule="exact"/>
              <w:rPr>
                <w:sz w:val="20"/>
                <w:szCs w:val="20"/>
                <w:color w:val="auto"/>
              </w:rPr>
            </w:pPr>
            <w:r>
              <w:rPr>
                <w:rFonts w:ascii="Arial" w:cs="Arial" w:eastAsia="Arial" w:hAnsi="Arial"/>
                <w:sz w:val="13"/>
                <w:szCs w:val="13"/>
                <w:color w:val="auto"/>
                <w:w w:val="95"/>
              </w:rPr>
              <w:t>3 Mo. LIBOR</w:t>
            </w:r>
          </w:p>
        </w:tc>
        <w:tc>
          <w:tcPr>
            <w:tcW w:w="840" w:type="dxa"/>
            <w:vAlign w:val="bottom"/>
            <w:shd w:val="clear" w:color="auto" w:fill="CCEEFF"/>
          </w:tcPr>
          <w:p>
            <w:pPr>
              <w:ind w:left="480"/>
              <w:spacing w:after="0" w:line="135" w:lineRule="exact"/>
              <w:rPr>
                <w:sz w:val="20"/>
                <w:szCs w:val="20"/>
                <w:color w:val="auto"/>
              </w:rPr>
            </w:pPr>
            <w:r>
              <w:rPr>
                <w:rFonts w:ascii="Arial" w:cs="Arial" w:eastAsia="Arial" w:hAnsi="Arial"/>
                <w:sz w:val="13"/>
                <w:szCs w:val="13"/>
                <w:color w:val="auto"/>
              </w:rPr>
              <w:t>n/a</w:t>
            </w: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2.51%</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31,000</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285</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195</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20" w:type="dxa"/>
            <w:vAlign w:val="bottom"/>
            <w:gridSpan w:val="2"/>
            <w:vMerge w:val="restart"/>
          </w:tcPr>
          <w:p>
            <w:pPr>
              <w:jc w:val="center"/>
              <w:ind w:left="777"/>
              <w:spacing w:after="0"/>
              <w:rPr>
                <w:sz w:val="20"/>
                <w:szCs w:val="20"/>
                <w:color w:val="auto"/>
              </w:rPr>
            </w:pPr>
            <w:r>
              <w:rPr>
                <w:rFonts w:ascii="Arial" w:cs="Arial" w:eastAsia="Arial" w:hAnsi="Arial"/>
                <w:sz w:val="13"/>
                <w:szCs w:val="13"/>
                <w:b w:val="1"/>
                <w:bCs w:val="1"/>
                <w:color w:val="auto"/>
                <w:w w:val="87"/>
              </w:rPr>
              <w:t>June 30, 2013</w:t>
            </w: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tcPr>
          <w:p>
            <w:pPr>
              <w:spacing w:after="0" w:line="110" w:lineRule="exact"/>
              <w:rPr>
                <w:sz w:val="20"/>
                <w:szCs w:val="20"/>
                <w:color w:val="auto"/>
              </w:rPr>
            </w:pPr>
            <w:r>
              <w:rPr>
                <w:rFonts w:ascii="Arial" w:cs="Arial" w:eastAsia="Arial" w:hAnsi="Arial"/>
                <w:sz w:val="12"/>
                <w:szCs w:val="12"/>
                <w:b w:val="1"/>
                <w:bCs w:val="1"/>
                <w:color w:val="auto"/>
              </w:rPr>
              <w:t>Notional</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ind w:left="400"/>
              <w:spacing w:after="0" w:line="110" w:lineRule="exact"/>
              <w:rPr>
                <w:sz w:val="20"/>
                <w:szCs w:val="20"/>
                <w:color w:val="auto"/>
              </w:rPr>
            </w:pPr>
            <w:r>
              <w:rPr>
                <w:rFonts w:ascii="Arial" w:cs="Arial" w:eastAsia="Arial" w:hAnsi="Arial"/>
                <w:sz w:val="12"/>
                <w:szCs w:val="12"/>
                <w:b w:val="1"/>
                <w:bCs w:val="1"/>
                <w:color w:val="auto"/>
                <w:w w:val="92"/>
              </w:rPr>
              <w:t>Receive</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3"/>
          </w:tcPr>
          <w:p>
            <w:pPr>
              <w:jc w:val="center"/>
              <w:ind w:right="333"/>
              <w:spacing w:after="0" w:line="110" w:lineRule="exact"/>
              <w:rPr>
                <w:sz w:val="20"/>
                <w:szCs w:val="20"/>
                <w:color w:val="auto"/>
              </w:rPr>
            </w:pPr>
            <w:r>
              <w:rPr>
                <w:rFonts w:ascii="Arial" w:cs="Arial" w:eastAsia="Arial" w:hAnsi="Arial"/>
                <w:sz w:val="12"/>
                <w:szCs w:val="12"/>
                <w:b w:val="1"/>
                <w:bCs w:val="1"/>
                <w:color w:val="auto"/>
              </w:rPr>
              <w:t>Strike</w:t>
            </w:r>
          </w:p>
        </w:tc>
        <w:tc>
          <w:tcPr>
            <w:tcW w:w="104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w w:val="99"/>
              </w:rPr>
              <w:t>Unrealized Gain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jc w:val="center"/>
              <w:ind w:right="18"/>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jc w:val="right"/>
              <w:ind w:right="137"/>
              <w:spacing w:after="0"/>
              <w:rPr>
                <w:sz w:val="20"/>
                <w:szCs w:val="20"/>
                <w:color w:val="auto"/>
              </w:rPr>
            </w:pPr>
            <w:r>
              <w:rPr>
                <w:rFonts w:ascii="Arial" w:cs="Arial" w:eastAsia="Arial" w:hAnsi="Arial"/>
                <w:sz w:val="13"/>
                <w:szCs w:val="13"/>
                <w:b w:val="1"/>
                <w:bCs w:val="1"/>
                <w:color w:val="auto"/>
              </w:rPr>
              <w:t>Inception Date</w:t>
            </w:r>
          </w:p>
        </w:tc>
        <w:tc>
          <w:tcPr>
            <w:tcW w:w="1500" w:type="dxa"/>
            <w:vAlign w:val="bottom"/>
          </w:tcPr>
          <w:p>
            <w:pPr>
              <w:jc w:val="right"/>
              <w:ind w:right="177"/>
              <w:spacing w:after="0"/>
              <w:rPr>
                <w:sz w:val="20"/>
                <w:szCs w:val="20"/>
                <w:color w:val="auto"/>
              </w:rPr>
            </w:pPr>
            <w:r>
              <w:rPr>
                <w:rFonts w:ascii="Arial" w:cs="Arial" w:eastAsia="Arial" w:hAnsi="Arial"/>
                <w:sz w:val="13"/>
                <w:szCs w:val="13"/>
                <w:b w:val="1"/>
                <w:bCs w:val="1"/>
                <w:color w:val="auto"/>
              </w:rPr>
              <w:t>Termination Date</w:t>
            </w:r>
          </w:p>
        </w:tc>
        <w:tc>
          <w:tcPr>
            <w:tcW w:w="1180" w:type="dxa"/>
            <w:vAlign w:val="bottom"/>
          </w:tcPr>
          <w:p>
            <w:pPr>
              <w:jc w:val="center"/>
              <w:ind w:left="197"/>
              <w:spacing w:after="0"/>
              <w:rPr>
                <w:sz w:val="20"/>
                <w:szCs w:val="20"/>
                <w:color w:val="auto"/>
              </w:rPr>
            </w:pPr>
            <w:r>
              <w:rPr>
                <w:rFonts w:ascii="Arial" w:cs="Arial" w:eastAsia="Arial" w:hAnsi="Arial"/>
                <w:sz w:val="13"/>
                <w:szCs w:val="13"/>
                <w:b w:val="1"/>
                <w:bCs w:val="1"/>
                <w:color w:val="auto"/>
                <w:w w:val="94"/>
              </w:rPr>
              <w:t>Index</w:t>
            </w:r>
          </w:p>
        </w:tc>
        <w:tc>
          <w:tcPr>
            <w:tcW w:w="840" w:type="dxa"/>
            <w:vAlign w:val="bottom"/>
          </w:tcPr>
          <w:p>
            <w:pPr>
              <w:ind w:left="500"/>
              <w:spacing w:after="0"/>
              <w:rPr>
                <w:sz w:val="20"/>
                <w:szCs w:val="20"/>
                <w:color w:val="auto"/>
              </w:rPr>
            </w:pPr>
            <w:r>
              <w:rPr>
                <w:rFonts w:ascii="Arial" w:cs="Arial" w:eastAsia="Arial" w:hAnsi="Arial"/>
                <w:sz w:val="13"/>
                <w:szCs w:val="13"/>
                <w:b w:val="1"/>
                <w:bCs w:val="1"/>
                <w:color w:val="auto"/>
              </w:rPr>
              <w:t>Rate</w:t>
            </w:r>
          </w:p>
        </w:tc>
        <w:tc>
          <w:tcPr>
            <w:tcW w:w="280" w:type="dxa"/>
            <w:vAlign w:val="bottom"/>
          </w:tcPr>
          <w:p>
            <w:pPr>
              <w:spacing w:after="0"/>
              <w:rPr>
                <w:sz w:val="13"/>
                <w:szCs w:val="13"/>
                <w:color w:val="auto"/>
              </w:rPr>
            </w:pPr>
          </w:p>
        </w:tc>
        <w:tc>
          <w:tcPr>
            <w:tcW w:w="900" w:type="dxa"/>
            <w:vAlign w:val="bottom"/>
            <w:gridSpan w:val="2"/>
          </w:tcPr>
          <w:p>
            <w:pPr>
              <w:jc w:val="right"/>
              <w:ind w:right="298"/>
              <w:spacing w:after="0"/>
              <w:rPr>
                <w:sz w:val="20"/>
                <w:szCs w:val="20"/>
                <w:color w:val="auto"/>
              </w:rPr>
            </w:pPr>
            <w:r>
              <w:rPr>
                <w:rFonts w:ascii="Arial" w:cs="Arial" w:eastAsia="Arial" w:hAnsi="Arial"/>
                <w:sz w:val="13"/>
                <w:szCs w:val="13"/>
                <w:b w:val="1"/>
                <w:bCs w:val="1"/>
                <w:color w:val="auto"/>
                <w:w w:val="94"/>
              </w:rPr>
              <w:t>Pay Rate</w:t>
            </w:r>
          </w:p>
        </w:tc>
        <w:tc>
          <w:tcPr>
            <w:tcW w:w="720" w:type="dxa"/>
            <w:vAlign w:val="bottom"/>
            <w:gridSpan w:val="3"/>
          </w:tcPr>
          <w:p>
            <w:pPr>
              <w:jc w:val="center"/>
              <w:ind w:right="293"/>
              <w:spacing w:after="0"/>
              <w:rPr>
                <w:sz w:val="20"/>
                <w:szCs w:val="20"/>
                <w:color w:val="auto"/>
              </w:rPr>
            </w:pPr>
            <w:r>
              <w:rPr>
                <w:rFonts w:ascii="Arial" w:cs="Arial" w:eastAsia="Arial" w:hAnsi="Arial"/>
                <w:sz w:val="13"/>
                <w:szCs w:val="13"/>
                <w:b w:val="1"/>
                <w:bCs w:val="1"/>
                <w:color w:val="auto"/>
                <w:w w:val="92"/>
              </w:rPr>
              <w:t>Rate</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3"/>
                <w:szCs w:val="13"/>
                <w:b w:val="1"/>
                <w:bCs w:val="1"/>
                <w:color w:val="auto"/>
                <w:w w:val="93"/>
              </w:rPr>
              <w:t>Fair Value</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2"/>
          </w:tcPr>
          <w:p>
            <w:pPr>
              <w:jc w:val="center"/>
              <w:ind w:left="777"/>
              <w:spacing w:after="0" w:line="129" w:lineRule="exact"/>
              <w:rPr>
                <w:sz w:val="20"/>
                <w:szCs w:val="20"/>
                <w:color w:val="auto"/>
              </w:rPr>
            </w:pPr>
            <w:r>
              <w:rPr>
                <w:rFonts w:ascii="Arial" w:cs="Arial" w:eastAsia="Arial" w:hAnsi="Arial"/>
                <w:sz w:val="13"/>
                <w:szCs w:val="13"/>
                <w:b w:val="1"/>
                <w:bCs w:val="1"/>
                <w:color w:val="auto"/>
                <w:w w:val="85"/>
              </w:rPr>
              <w:t>(Dollars in thousands)</w:t>
            </w: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Interest rate swaps:</w:t>
            </w:r>
          </w:p>
        </w:tc>
        <w:tc>
          <w:tcPr>
            <w:tcW w:w="1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10,000</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February 2010</w:t>
            </w: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February 2015</w:t>
            </w:r>
          </w:p>
        </w:tc>
        <w:tc>
          <w:tcPr>
            <w:tcW w:w="118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3 Mo. LIBOR</w:t>
            </w:r>
          </w:p>
        </w:tc>
        <w:tc>
          <w:tcPr>
            <w:tcW w:w="1120" w:type="dxa"/>
            <w:vAlign w:val="bottom"/>
            <w:gridSpan w:val="2"/>
          </w:tcPr>
          <w:p>
            <w:pPr>
              <w:ind w:left="760"/>
              <w:spacing w:after="0" w:line="135" w:lineRule="exact"/>
              <w:rPr>
                <w:sz w:val="20"/>
                <w:szCs w:val="20"/>
                <w:color w:val="auto"/>
              </w:rPr>
            </w:pPr>
            <w:r>
              <w:rPr>
                <w:rFonts w:ascii="Arial" w:cs="Arial" w:eastAsia="Arial" w:hAnsi="Arial"/>
                <w:sz w:val="13"/>
                <w:szCs w:val="13"/>
                <w:color w:val="auto"/>
                <w:w w:val="92"/>
              </w:rPr>
              <w:t>2.16%</w:t>
            </w:r>
          </w:p>
        </w:tc>
        <w:tc>
          <w:tcPr>
            <w:tcW w:w="420" w:type="dxa"/>
            <w:vAlign w:val="bottom"/>
          </w:tcPr>
          <w:p>
            <w:pPr>
              <w:spacing w:after="0"/>
              <w:rPr>
                <w:sz w:val="11"/>
                <w:szCs w:val="11"/>
                <w:color w:val="auto"/>
              </w:rPr>
            </w:pPr>
          </w:p>
        </w:tc>
        <w:tc>
          <w:tcPr>
            <w:tcW w:w="480" w:type="dxa"/>
            <w:vAlign w:val="bottom"/>
          </w:tcPr>
          <w:p>
            <w:pPr>
              <w:jc w:val="right"/>
              <w:ind w:right="98"/>
              <w:spacing w:after="0" w:line="135" w:lineRule="exact"/>
              <w:rPr>
                <w:sz w:val="20"/>
                <w:szCs w:val="20"/>
                <w:color w:val="auto"/>
              </w:rPr>
            </w:pPr>
            <w:r>
              <w:rPr>
                <w:rFonts w:ascii="Arial" w:cs="Arial" w:eastAsia="Arial" w:hAnsi="Arial"/>
                <w:sz w:val="13"/>
                <w:szCs w:val="13"/>
                <w:color w:val="auto"/>
                <w:w w:val="81"/>
              </w:rPr>
              <w:t>4.69%</w:t>
            </w:r>
          </w:p>
        </w:tc>
        <w:tc>
          <w:tcPr>
            <w:tcW w:w="30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n/a  $</w:t>
            </w: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w:t>
            </w: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(389)</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Interest rate caps:</w:t>
            </w:r>
          </w:p>
        </w:tc>
        <w:tc>
          <w:tcPr>
            <w:tcW w:w="1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6,000</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September 2009</w:t>
            </w: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September 2014</w:t>
            </w:r>
          </w:p>
        </w:tc>
        <w:tc>
          <w:tcPr>
            <w:tcW w:w="118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3 Mo. LIBOR</w:t>
            </w:r>
          </w:p>
        </w:tc>
        <w:tc>
          <w:tcPr>
            <w:tcW w:w="1120" w:type="dxa"/>
            <w:vAlign w:val="bottom"/>
            <w:gridSpan w:val="2"/>
          </w:tcPr>
          <w:p>
            <w:pPr>
              <w:ind w:left="820"/>
              <w:spacing w:after="0" w:line="135" w:lineRule="exact"/>
              <w:rPr>
                <w:sz w:val="20"/>
                <w:szCs w:val="20"/>
                <w:color w:val="auto"/>
              </w:rPr>
            </w:pPr>
            <w:r>
              <w:rPr>
                <w:rFonts w:ascii="Arial" w:cs="Arial" w:eastAsia="Arial" w:hAnsi="Arial"/>
                <w:sz w:val="13"/>
                <w:szCs w:val="13"/>
                <w:color w:val="auto"/>
              </w:rPr>
              <w:t>n/a</w:t>
            </w:r>
          </w:p>
        </w:tc>
        <w:tc>
          <w:tcPr>
            <w:tcW w:w="420" w:type="dxa"/>
            <w:vAlign w:val="bottom"/>
          </w:tcPr>
          <w:p>
            <w:pPr>
              <w:spacing w:after="0"/>
              <w:rPr>
                <w:sz w:val="11"/>
                <w:szCs w:val="11"/>
                <w:color w:val="auto"/>
              </w:rPr>
            </w:pPr>
          </w:p>
        </w:tc>
        <w:tc>
          <w:tcPr>
            <w:tcW w:w="48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n/a</w:t>
            </w:r>
          </w:p>
        </w:tc>
        <w:tc>
          <w:tcPr>
            <w:tcW w:w="640" w:type="dxa"/>
            <w:vAlign w:val="bottom"/>
            <w:gridSpan w:val="2"/>
          </w:tcPr>
          <w:p>
            <w:pPr>
              <w:ind w:left="300"/>
              <w:spacing w:after="0" w:line="135" w:lineRule="exact"/>
              <w:rPr>
                <w:sz w:val="20"/>
                <w:szCs w:val="20"/>
                <w:color w:val="auto"/>
              </w:rPr>
            </w:pPr>
            <w:r>
              <w:rPr>
                <w:rFonts w:ascii="Arial" w:cs="Arial" w:eastAsia="Arial" w:hAnsi="Arial"/>
                <w:sz w:val="13"/>
                <w:szCs w:val="13"/>
                <w:color w:val="auto"/>
                <w:w w:val="86"/>
              </w:rPr>
              <w:t>2.51%</w:t>
            </w:r>
          </w:p>
        </w:tc>
        <w:tc>
          <w:tcPr>
            <w:tcW w:w="80" w:type="dxa"/>
            <w:vAlign w:val="bottom"/>
          </w:tcPr>
          <w:p>
            <w:pPr>
              <w:spacing w:after="0"/>
              <w:rPr>
                <w:sz w:val="11"/>
                <w:szCs w:val="11"/>
                <w:color w:val="auto"/>
              </w:rPr>
            </w:pP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16,000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(263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(389</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130" w:gutter="0" w:footer="0" w:header="0"/>
        </w:sectPr>
      </w:pPr>
    </w:p>
    <w:bookmarkStart w:id="18" w:name="page19"/>
    <w:bookmarkEnd w:id="18"/>
    <w:p>
      <w:pPr>
        <w:ind w:right="100"/>
        <w:spacing w:after="0" w:line="276" w:lineRule="auto"/>
        <w:rPr>
          <w:sz w:val="20"/>
          <w:szCs w:val="20"/>
          <w:color w:val="auto"/>
        </w:rPr>
      </w:pPr>
      <w:r>
        <w:rPr>
          <w:rFonts w:ascii="Arial" w:cs="Arial" w:eastAsia="Arial" w:hAnsi="Arial"/>
          <w:sz w:val="17"/>
          <w:szCs w:val="17"/>
          <w:color w:val="auto"/>
        </w:rPr>
        <w:t>During the three and six months ended December 31, 2013 and 2012,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six months ended December 31, 2013 and 2012 related to the balance sheet hedging of variable rate debt indicates that the hedges were effective.</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80" w:type="dxa"/>
            <w:vAlign w:val="bottom"/>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rate caps</w:t>
            </w:r>
          </w:p>
        </w:tc>
        <w:tc>
          <w:tcPr>
            <w:tcW w:w="218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center"/>
              <w:ind w:left="674"/>
              <w:spacing w:after="0"/>
              <w:rPr>
                <w:sz w:val="20"/>
                <w:szCs w:val="20"/>
                <w:color w:val="auto"/>
              </w:rPr>
            </w:pPr>
            <w:r>
              <w:rPr>
                <w:rFonts w:ascii="Arial" w:cs="Arial" w:eastAsia="Arial" w:hAnsi="Arial"/>
                <w:sz w:val="18"/>
                <w:szCs w:val="18"/>
                <w:color w:val="auto"/>
                <w:w w:val="93"/>
              </w:rPr>
              <w:t>(14)</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754"/>
              <w:spacing w:after="0"/>
              <w:rPr>
                <w:sz w:val="20"/>
                <w:szCs w:val="20"/>
                <w:color w:val="auto"/>
              </w:rPr>
            </w:pPr>
            <w:r>
              <w:rPr>
                <w:rFonts w:ascii="Arial" w:cs="Arial" w:eastAsia="Arial" w:hAnsi="Arial"/>
                <w:sz w:val="18"/>
                <w:szCs w:val="18"/>
                <w:color w:val="auto"/>
                <w:w w:val="89"/>
              </w:rPr>
              <w:t>51</w:t>
            </w:r>
          </w:p>
        </w:tc>
        <w:tc>
          <w:tcPr>
            <w:tcW w:w="80" w:type="dxa"/>
            <w:vAlign w:val="bottom"/>
            <w:shd w:val="clear" w:color="auto" w:fill="CCEEFF"/>
          </w:tcPr>
          <w:p>
            <w:pPr>
              <w:spacing w:after="0"/>
              <w:rPr>
                <w:sz w:val="18"/>
                <w:szCs w:val="18"/>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center"/>
              <w:ind w:left="774"/>
              <w:spacing w:after="0"/>
              <w:rPr>
                <w:sz w:val="20"/>
                <w:szCs w:val="20"/>
                <w:color w:val="auto"/>
              </w:rPr>
            </w:pPr>
            <w:r>
              <w:rPr>
                <w:rFonts w:ascii="Arial" w:cs="Arial" w:eastAsia="Arial" w:hAnsi="Arial"/>
                <w:sz w:val="18"/>
                <w:szCs w:val="18"/>
                <w:color w:val="auto"/>
                <w:w w:val="89"/>
              </w:rPr>
              <w:t>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expects to record interest income of $100 thousand related to interest rate swap ineffectiveness in the next twelve months. The Company expects to record interest expense of $26 thousand related to its purchased interest rate caps in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(522)</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8"/>
                <w:szCs w:val="18"/>
                <w:color w:val="auto"/>
              </w:rPr>
            </w:pP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December 31, 2013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2013</w:t>
            </w:r>
          </w:p>
        </w:tc>
      </w:tr>
      <w:tr>
        <w:trPr>
          <w:trHeight w:val="142"/>
        </w:trPr>
        <w:tc>
          <w:tcPr>
            <w:tcW w:w="4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r>
      <w:tr>
        <w:trPr>
          <w:trHeight w:val="210"/>
        </w:trPr>
        <w:tc>
          <w:tcPr>
            <w:tcW w:w="4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0"/>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that represent credit risk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Residential real estate mortgages</w:t>
            </w: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13,198</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loans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mortgages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Commercial business loans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8,040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Unused lines of credit</w:t>
            </w:r>
          </w:p>
        </w:tc>
        <w:tc>
          <w:tcPr>
            <w:tcW w:w="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35,488</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Unadvanced portions of construction loans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concluded all investment brokerage activities in the second quarter of fiscal 2014. Accordingly, operations associated with these activities have been classified in as discontinued operations in the accompanying consolidated statements of income. The following summarizes the operations of the Company’s investment brokerage division for the three and six months ended December 31, 2013 and 2012.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4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4"/>
                <w:szCs w:val="14"/>
                <w:color w:val="auto"/>
              </w:rPr>
            </w:pPr>
          </w:p>
        </w:tc>
        <w:tc>
          <w:tcPr>
            <w:tcW w:w="28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80" w:type="dxa"/>
            <w:vAlign w:val="bottom"/>
            <w:gridSpan w:val="5"/>
          </w:tcPr>
          <w:p>
            <w:pPr>
              <w:jc w:val="right"/>
              <w:ind w:right="10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Investment commissions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income</w:t>
            </w:r>
          </w:p>
        </w:tc>
        <w:tc>
          <w:tcPr>
            <w:tcW w:w="9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Noninterest expense:</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expense</w:t>
            </w:r>
          </w:p>
        </w:tc>
        <w:tc>
          <w:tcPr>
            <w:tcW w:w="9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(Loss) income before tax</w:t>
            </w:r>
          </w:p>
        </w:tc>
        <w:tc>
          <w:tcPr>
            <w:tcW w:w="9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8" w:right="25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8" w:right="25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2013,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2013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which has ten banking branches. The Bank, which was originally organized in 1872 as a Maine-chartered mutual savings bank, is a Maine -chartered bank and a member of the Federal Reserve System. As such, the Company and the Bank are currently subject to the regulatory oversight of the Federal Reserve and the State of Maine Bureau of Financial Institutions (the “Bureau”).</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December 31, 2013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r>
        <w:trPr>
          <w:trHeight w:val="523"/>
        </w:trPr>
        <w:tc>
          <w:tcPr>
            <w:tcW w:w="52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3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9"/>
              </w:rPr>
              <w:t>Ratios at December 31, 2013</w:t>
            </w:r>
          </w:p>
        </w:tc>
        <w:tc>
          <w:tcPr>
            <w:tcW w:w="240" w:type="dxa"/>
            <w:vAlign w:val="bottom"/>
            <w:tcBorders>
              <w:bottom w:val="single" w:sz="8" w:color="CCEEFF"/>
            </w:tcBorders>
          </w:tcPr>
          <w:p>
            <w:pPr>
              <w:spacing w:after="0"/>
              <w:rPr>
                <w:sz w:val="24"/>
                <w:szCs w:val="24"/>
                <w:color w:val="auto"/>
              </w:rPr>
            </w:pPr>
          </w:p>
        </w:tc>
        <w:tc>
          <w:tcPr>
            <w:tcW w:w="3100" w:type="dxa"/>
            <w:vAlign w:val="bottom"/>
          </w:tcPr>
          <w:p>
            <w:pPr>
              <w:spacing w:after="0"/>
              <w:rPr>
                <w:sz w:val="24"/>
                <w:szCs w:val="24"/>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w:t>
            </w:r>
          </w:p>
        </w:tc>
        <w:tc>
          <w:tcPr>
            <w:tcW w:w="310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(ii) Total risk-based capital ratio</w:t>
            </w:r>
          </w:p>
        </w:tc>
        <w:tc>
          <w:tcPr>
            <w:tcW w:w="3120" w:type="dxa"/>
            <w:vAlign w:val="bottom"/>
            <w:gridSpan w:val="4"/>
          </w:tcPr>
          <w:p>
            <w:pPr>
              <w:jc w:val="right"/>
              <w:ind w:right="80"/>
              <w:spacing w:after="0"/>
              <w:rPr>
                <w:sz w:val="20"/>
                <w:szCs w:val="20"/>
                <w:color w:val="auto"/>
              </w:rPr>
            </w:pPr>
            <w:r>
              <w:rPr>
                <w:rFonts w:ascii="Arial" w:cs="Arial" w:eastAsia="Arial" w:hAnsi="Arial"/>
                <w:sz w:val="18"/>
                <w:szCs w:val="18"/>
                <w:color w:val="auto"/>
              </w:rPr>
              <w:t>24.61%</w:t>
            </w:r>
          </w:p>
        </w:tc>
        <w:tc>
          <w:tcPr>
            <w:tcW w:w="310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3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34.89%</w:t>
            </w:r>
          </w:p>
        </w:tc>
        <w:tc>
          <w:tcPr>
            <w:tcW w:w="3100" w:type="dxa"/>
            <w:vAlign w:val="bottom"/>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(iv) Ratio of loans to core deposits</w:t>
            </w:r>
          </w:p>
        </w:tc>
        <w:tc>
          <w:tcPr>
            <w:tcW w:w="3120" w:type="dxa"/>
            <w:vAlign w:val="bottom"/>
            <w:gridSpan w:val="4"/>
          </w:tcPr>
          <w:p>
            <w:pPr>
              <w:jc w:val="right"/>
              <w:ind w:right="80"/>
              <w:spacing w:after="0"/>
              <w:rPr>
                <w:sz w:val="20"/>
                <w:szCs w:val="20"/>
                <w:color w:val="auto"/>
              </w:rPr>
            </w:pPr>
            <w:r>
              <w:rPr>
                <w:rFonts w:ascii="Arial" w:cs="Arial" w:eastAsia="Arial" w:hAnsi="Arial"/>
                <w:sz w:val="18"/>
                <w:szCs w:val="18"/>
                <w:color w:val="auto"/>
              </w:rPr>
              <w:t>95.10%</w:t>
            </w:r>
          </w:p>
        </w:tc>
        <w:tc>
          <w:tcPr>
            <w:tcW w:w="310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(v) Ratio of commercial real estate loans to total risk-based capital</w:t>
            </w:r>
          </w:p>
        </w:tc>
        <w:tc>
          <w:tcPr>
            <w:tcW w:w="3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170.69%</w:t>
            </w:r>
          </w:p>
        </w:tc>
        <w:tc>
          <w:tcPr>
            <w:tcW w:w="3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December 31, 2013, the Company, on a consolidated basis, had total assets of $732.6 million, total deposits of $536.5 million, and stockholders’ equity of $114.4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 The Community Banking Division, with ten full-service branches and seven loan production offices, operates from the Bank’s headquarters in Lewiston, Maine. The Company operates ableBanking and the LASG from its offices in Boston, Massachusetts.</w:t>
      </w:r>
    </w:p>
    <w:p>
      <w:pPr>
        <w:sectPr>
          <w:pgSz w:w="11900" w:h="16838" w:orient="portrait"/>
          <w:cols w:equalWidth="0" w:num="1">
            <w:col w:w="11460"/>
          </w:cols>
          <w:pgMar w:left="240" w:top="368" w:right="19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Measured growth of the commercial loan portfolio</w:t>
      </w:r>
      <w:r>
        <w:rPr>
          <w:rFonts w:ascii="Arial" w:cs="Arial" w:eastAsia="Arial" w:hAnsi="Arial"/>
          <w:sz w:val="18"/>
          <w:szCs w:val="18"/>
          <w:color w:val="auto"/>
        </w:rPr>
        <w:t>. The Company’s LASG purchases performing commercial real estate loans, on a nationwide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at a discount from their outstanding principal balances, producing yields higher than those normally achieved on our originated loan portfolio. Loans are purchased on a nationwide basis from a variety of sources, including banks, insurance companies, investment funds and government agencies, either directly or indirectly through a broker. To a lesser extent, this group also originates, on a nationwide basis, commercial real estate and commercial business loans.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Company offers a full line of deposit products to customers in the Community Banking Division’s market area through its ten-branch network. In June 2012, we launched our online affinity deposit program, ableBanking, a division of Northeast Bank, as an additional channel through which to raise core deposits to fund the Company’s asset strategy.</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allows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2013 to gain a better understanding of how Northeast’s financial performance is measured and reported. There has been no material change in critical accounting policies during the six months ended December 31, 2013.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income was $1.4 million for the quarter ended December 31, 2013, compared to $1.5 million for the quarter ended December 31, 2012. Net income for the six months ended December 31, 2013 was $1.7 million, compared to $2.6 million for the six months ended December 31, 2012.</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available to common stockholders was $1.4 million, or $0.13 per diluted common share, for the quarter ended December 31, 2013, compared to $1.3 million, or $0.12 per diluted common share, for the quarter ended December 31, 2012. For the six months ended December 31, 2013, net income available to common stockholders was $1.7 million, or $0.16 per diluted common share, compared to $2.2 million, or $0.18 per diluted common share, for the six months ended December 31, 2012.</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interest income before provision increased by $2.0 million, or 27.8%, to $9.0 million for the quarter ended December 31, 2013 compared to the quarter ended December 31, 2012, primarily due to growth in the LASG loan portfolio. This result is evident in the net interest margin, which increased to 5.16% for the quarter ended December 31, 2013, compared to 4.28% for the quarter ended December 31, 2012.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income decreased by $1.9 million for the quarter ended December 31, 2013, compared to the quarter ended December 31, 2012, principally due to the following:</w:t>
      </w:r>
    </w:p>
    <w:p>
      <w:pPr>
        <w:spacing w:after="0" w:line="170" w:lineRule="exact"/>
        <w:rPr>
          <w:sz w:val="20"/>
          <w:szCs w:val="20"/>
          <w:color w:val="auto"/>
        </w:rPr>
      </w:pPr>
    </w:p>
    <w:p>
      <w:pPr>
        <w:ind w:left="1300" w:right="180" w:hanging="320"/>
        <w:spacing w:after="0" w:line="258"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$573 thousand in gain on sales of loans held for sale, a volume related difference principally due to the increased proportion of residential mortgages held in portfolio.</w:t>
      </w:r>
    </w:p>
    <w:p>
      <w:pPr>
        <w:spacing w:after="0" w:line="1" w:lineRule="exact"/>
        <w:rPr>
          <w:rFonts w:ascii="Arial" w:cs="Arial" w:eastAsia="Arial" w:hAnsi="Arial"/>
          <w:sz w:val="18"/>
          <w:szCs w:val="18"/>
          <w:color w:val="auto"/>
        </w:rPr>
      </w:pPr>
    </w:p>
    <w:p>
      <w:pPr>
        <w:ind w:left="1300" w:right="200" w:hanging="320"/>
        <w:spacing w:after="0" w:line="250"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$985 thousand in gains on sales of portfolio loans. In the quarter ended December 31, 2012, the Company recognized $817 thousand on the sale of a purchased loan.</w:t>
      </w:r>
    </w:p>
    <w:p>
      <w:pPr>
        <w:ind w:left="1300" w:right="200" w:hanging="320"/>
        <w:spacing w:after="0" w:line="261"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$242 thousand in bank-owned life insurance income. In the quarter ended December 31, 2012, the Company received $235 thousand in life insurance death benefits.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Noninterest expense increased by $197 thousand for the quarter ended December 31, 2013, compared to the quarter ended December 31, 2012, principally due to the following:</w:t>
      </w:r>
    </w:p>
    <w:p>
      <w:pPr>
        <w:spacing w:after="0" w:line="170" w:lineRule="exact"/>
        <w:rPr>
          <w:sz w:val="20"/>
          <w:szCs w:val="20"/>
          <w:color w:val="auto"/>
        </w:rPr>
      </w:pPr>
    </w:p>
    <w:p>
      <w:pPr>
        <w:ind w:left="1300" w:right="320" w:hanging="320"/>
        <w:spacing w:after="0" w:line="258"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$410 thousand in salaries and employee benefits principally due to increased incentive compensation and increases in the cost of employee medical insurance benefits.</w:t>
      </w:r>
    </w:p>
    <w:p>
      <w:pPr>
        <w:spacing w:after="0" w:line="1" w:lineRule="exact"/>
        <w:rPr>
          <w:rFonts w:ascii="Arial" w:cs="Arial" w:eastAsia="Arial" w:hAnsi="Arial"/>
          <w:sz w:val="18"/>
          <w:szCs w:val="18"/>
          <w:color w:val="auto"/>
        </w:rPr>
      </w:pPr>
    </w:p>
    <w:p>
      <w:pPr>
        <w:ind w:left="1300" w:right="200" w:hanging="320"/>
        <w:spacing w:after="0" w:line="250"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$207 thousand in occupancy expense resulting from the relocation of the Company’s Boston office in the second quarter of fiscal 2013.</w:t>
      </w: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$144 thousand in marketing expenses, principally due to a reduction in deposit marketing.</w:t>
      </w:r>
    </w:p>
    <w:p>
      <w:pPr>
        <w:spacing w:after="0" w:line="9" w:lineRule="exact"/>
        <w:rPr>
          <w:rFonts w:ascii="Arial" w:cs="Arial" w:eastAsia="Arial" w:hAnsi="Arial"/>
          <w:sz w:val="18"/>
          <w:szCs w:val="18"/>
          <w:color w:val="auto"/>
        </w:rPr>
      </w:pPr>
    </w:p>
    <w:p>
      <w:pPr>
        <w:ind w:left="1300" w:right="540" w:hanging="320"/>
        <w:spacing w:after="0" w:line="261"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$189 thousand in loan acquisition and collection expenses, principally due to a decreased level of loan purchases in the quarter ended December 31, 2013 when compared to the quarter ended December 31,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assets increased by $62.0 million, or 9.0%, to $732.6 million at December 31, 2013, compared to June 30, 2013. The principal components of the change in the balance sheet were as follows:</w:t>
      </w:r>
    </w:p>
    <w:p>
      <w:pPr>
        <w:sectPr>
          <w:pgSz w:w="11900" w:h="16838" w:orient="portrait"/>
          <w:cols w:equalWidth="0" w:num="1">
            <w:col w:w="11420"/>
          </w:cols>
          <w:pgMar w:left="240" w:top="341" w:right="239" w:bottom="45" w:gutter="0" w:footer="0" w:header="0"/>
        </w:sectPr>
      </w:pPr>
    </w:p>
    <w:bookmarkStart w:id="22" w:name="page23"/>
    <w:bookmarkEnd w:id="22"/>
    <w:p>
      <w:pPr>
        <w:spacing w:after="0" w:line="39" w:lineRule="exact"/>
        <w:rPr>
          <w:sz w:val="20"/>
          <w:szCs w:val="20"/>
          <w:color w:val="auto"/>
        </w:rPr>
      </w:pPr>
    </w:p>
    <w:p>
      <w:pPr>
        <w:ind w:left="660" w:right="80" w:hanging="328"/>
        <w:spacing w:after="0" w:line="255"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loan portfolio grew by $66.3 million, or 15.2%, compared to June 30, 2013, principally due to net growth of $50.6 million in commercial loans purchased or originated by the LASG and $15.7 million of net growth in loans originated by the Community Banking Division. Growth in the Community Banking Division during the quarter was principally due to $40.4 million of residential loan originations held in portfolio. As has been discussed in the Company’s prior SEC filings, the Company made certain commitments to the Board of Governors of the Federal Reserve System in connection with the merger of FHB Formation LLC with and into the Company in December 2010. The Company’s loan purchase capacity under these conditions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Basis for</w:t>
            </w:r>
          </w:p>
        </w:tc>
        <w:tc>
          <w:tcPr>
            <w:tcW w:w="532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Condition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Purchased Loan Capacity at</w:t>
            </w: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Regulatory Condition</w:t>
            </w:r>
          </w:p>
        </w:tc>
        <w:tc>
          <w:tcPr>
            <w:tcW w:w="5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jc w:val="center"/>
              <w:ind w:right="101"/>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Regulatory Capital</w:t>
            </w:r>
          </w:p>
        </w:tc>
        <w:tc>
          <w:tcPr>
            <w:tcW w:w="5320" w:type="dxa"/>
            <w:vAlign w:val="bottom"/>
          </w:tcPr>
          <w:p>
            <w:pPr>
              <w:spacing w:after="0" w:line="201" w:lineRule="exact"/>
              <w:rPr>
                <w:sz w:val="20"/>
                <w:szCs w:val="20"/>
                <w:color w:val="auto"/>
              </w:rPr>
            </w:pPr>
            <w:r>
              <w:rPr>
                <w:rFonts w:ascii="Arial" w:cs="Arial" w:eastAsia="Arial" w:hAnsi="Arial"/>
                <w:sz w:val="18"/>
                <w:szCs w:val="18"/>
                <w:color w:val="auto"/>
                <w:w w:val="94"/>
              </w:rPr>
              <w:t>Commercial real estate loans may not exceed 300% of total risk-based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capital</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3"/>
              </w:rPr>
              <w:t>Three Months Ended December 31,</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9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4"/>
              </w:rPr>
              <w:t>Originated</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4"/>
          </w:tcPr>
          <w:p>
            <w:pPr>
              <w:jc w:val="center"/>
              <w:ind w:right="27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Loans purchased or originated during the</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15,663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17,138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32,801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47,295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4,026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13,619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17,138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32,864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4,026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Yield</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3"/>
              </w:rPr>
              <w:t>Six Months Ended December 31,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9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7"/>
              </w:rPr>
              <w:t>Purchased</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4"/>
              </w:rPr>
              <w:t>Originated</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Total LASG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4"/>
          </w:tcPr>
          <w:p>
            <w:pPr>
              <w:jc w:val="center"/>
              <w:ind w:right="27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Loans purchased or originated during the</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33,994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43,564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77,558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89,568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12,825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29,967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43,564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73,531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64,213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12,825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Yield</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212,767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78,828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291,595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172,030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15,937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177,435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78,868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256,303</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133,724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15,945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77" w:lineRule="auto"/>
        <w:tabs>
          <w:tab w:leader="none" w:pos="2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Deposits and borrowings increased by $51.9 million and $6.6 million, respectively, from June 30, 2013. Growth in each was tied to the Company’s strategy for funding its loan growth, and in particular to mitigate the interest rate risk associated with the increase in its residential loan portfolio. To date, the Company has duration-matched such growth with a mix of term funding raised through deposit listing services and Federal Home Loan Bank (“FHLB”) advances, the latter in conjunction with interest rate swaps.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and short-term investments were $63.4 million as of December 31, 2013, a decrease of $2.5 million, or 3.8%, from $65.9 million at June 30, 2013.</w:t>
      </w:r>
    </w:p>
    <w:p>
      <w:pPr>
        <w:spacing w:after="0" w:line="23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Available-for-sale securities, consisting of securities issued by government agencies and government-sponsored enterprises, totaled $114.7 million as of December 31, 2013. At December 31, 2013, securities with a fair value of $42.0 million were pledged for outstanding borrowings.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0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Total loans, excluding loans held for sale, amounted to $501.7 million as of December 31, 2013, an increase of $66.3 million, or 15.2%, from $435.4 million as of June 30, 2013. The increase consisted of net growth in loans purchased or originated by the LASG of $50.6 million and net growth in loans originated by the Community Banking Division of $15.7 million. The composition of the Company’s loan portfolio follows.</w:t>
      </w:r>
    </w:p>
    <w:p>
      <w:pPr>
        <w:sectPr>
          <w:pgSz w:w="11900" w:h="16878" w:orient="portrait"/>
          <w:cols w:equalWidth="0" w:num="1">
            <w:col w:w="11420"/>
          </w:cols>
          <w:pgMar w:left="240" w:top="125" w:right="239" w:bottom="0" w:gutter="0" w:footer="0" w:header="0"/>
        </w:sectPr>
      </w:pPr>
    </w:p>
    <w:p>
      <w:pPr>
        <w:spacing w:after="0" w:line="51" w:lineRule="exact"/>
        <w:rPr>
          <w:sz w:val="20"/>
          <w:szCs w:val="20"/>
          <w:color w:val="auto"/>
        </w:rPr>
      </w:pPr>
    </w:p>
    <w:p>
      <w:pPr>
        <w:ind w:left="6600"/>
        <w:spacing w:after="0"/>
        <w:rPr>
          <w:sz w:val="20"/>
          <w:szCs w:val="20"/>
          <w:color w:val="auto"/>
        </w:rPr>
      </w:pPr>
      <w:r>
        <w:rPr>
          <w:rFonts w:ascii="Arial" w:cs="Arial" w:eastAsia="Arial" w:hAnsi="Arial"/>
          <w:sz w:val="12"/>
          <w:szCs w:val="12"/>
          <w:b w:val="1"/>
          <w:bCs w:val="1"/>
          <w:color w:val="auto"/>
        </w:rPr>
        <w:t>December 31, 2013</w:t>
      </w:r>
    </w:p>
    <w:p>
      <w:pPr>
        <w:sectPr>
          <w:pgSz w:w="11900" w:h="16878" w:orient="portrait"/>
          <w:cols w:equalWidth="0" w:num="1">
            <w:col w:w="11420"/>
          </w:cols>
          <w:pgMar w:left="240" w:top="125" w:right="239" w:bottom="0" w:gutter="0" w:footer="0" w:header="0"/>
          <w:type w:val="continuous"/>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Community</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12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120,664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120,814</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30,065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30,065</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47,519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36,788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84,307</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33,679</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43,687</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11,722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11,722</w:t>
            </w:r>
          </w:p>
        </w:tc>
        <w:tc>
          <w:tcPr>
            <w:tcW w:w="30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245,406</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78,868</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324,274</w:t>
            </w:r>
          </w:p>
        </w:tc>
        <w:tc>
          <w:tcPr>
            <w:tcW w:w="300" w:type="dxa"/>
            <w:vAlign w:val="bottom"/>
            <w:vMerge w:val="continue"/>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Purchased loans: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2,606</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125,901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125,901</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48,915</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177,435</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177,435</w:t>
            </w:r>
          </w:p>
        </w:tc>
        <w:tc>
          <w:tcPr>
            <w:tcW w:w="300" w:type="dxa"/>
            <w:vAlign w:val="bottom"/>
            <w:vMerge w:val="continue"/>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0"/>
        </w:trPr>
        <w:tc>
          <w:tcPr>
            <w:tcW w:w="4280" w:type="dxa"/>
            <w:vAlign w:val="bottom"/>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501,709</w:t>
            </w:r>
          </w:p>
        </w:tc>
        <w:tc>
          <w:tcPr>
            <w:tcW w:w="3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2013</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89,584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89,734</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35,389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35,389</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48,428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66,554</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33,848</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29,686</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13,337</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229,711</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300" w:type="dxa"/>
            <w:vAlign w:val="bottom"/>
            <w:vMerge w:val="continue"/>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Purchased loans: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2,706</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125,496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125,496</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38,550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38,550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300" w:type="dxa"/>
            <w:vAlign w:val="bottom"/>
            <w:vMerge w:val="continue"/>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3"/>
        </w:trPr>
        <w:tc>
          <w:tcPr>
            <w:tcW w:w="4280" w:type="dxa"/>
            <w:vAlign w:val="bottom"/>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10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Loans are classified as non-performing when 90 days past due, unless a loan is well-secured and in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December 31, 2013 and June 30, 2013. The net increase in nonperforming assets during the six months ended December 31, 2013 was principally due to three purchased loan relationships. Management believes that, based on their carrying amounts, nonperforming assets are well secured based on the estimated fair value of underlying collateral.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center"/>
              <w:ind w:right="105"/>
              <w:spacing w:after="0"/>
              <w:rPr>
                <w:sz w:val="20"/>
                <w:szCs w:val="20"/>
                <w:color w:val="auto"/>
              </w:rPr>
            </w:pPr>
            <w:r>
              <w:rPr>
                <w:rFonts w:ascii="Arial" w:cs="Arial" w:eastAsia="Arial" w:hAnsi="Arial"/>
                <w:sz w:val="14"/>
                <w:szCs w:val="14"/>
                <w:b w:val="1"/>
                <w:bCs w:val="1"/>
                <w:color w:val="auto"/>
                <w:w w:val="91"/>
              </w:rPr>
              <w:t>Non-Performing Assets at December 31, 2013</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88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Community Banking</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LASG</w:t>
            </w:r>
          </w:p>
        </w:tc>
        <w:tc>
          <w:tcPr>
            <w:tcW w:w="400" w:type="dxa"/>
            <w:vAlign w:val="bottom"/>
          </w:tcPr>
          <w:p>
            <w:pPr>
              <w:spacing w:after="0"/>
              <w:rPr>
                <w:sz w:val="10"/>
                <w:szCs w:val="10"/>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00" w:type="dxa"/>
            <w:vAlign w:val="bottom"/>
          </w:tcPr>
          <w:p>
            <w:pPr>
              <w:jc w:val="center"/>
              <w:ind w:left="584"/>
              <w:spacing w:after="0"/>
              <w:rPr>
                <w:sz w:val="20"/>
                <w:szCs w:val="20"/>
                <w:color w:val="auto"/>
              </w:rPr>
            </w:pPr>
            <w:r>
              <w:rPr>
                <w:rFonts w:ascii="Arial" w:cs="Arial" w:eastAsia="Arial" w:hAnsi="Arial"/>
                <w:sz w:val="14"/>
                <w:szCs w:val="14"/>
                <w:b w:val="1"/>
                <w:bCs w:val="1"/>
                <w:color w:val="auto"/>
                <w:w w:val="91"/>
              </w:rPr>
              <w:t>Division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3,245</w:t>
            </w: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20" w:right="25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2,756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3,395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6,151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07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9,362</w:t>
            </w:r>
          </w:p>
        </w:tc>
        <w:tc>
          <w:tcPr>
            <w:tcW w:w="160" w:type="dxa"/>
            <w:vAlign w:val="bottom"/>
            <w:tcBorders>
              <w:bottom w:val="single" w:sz="8" w:color="CCEEFF"/>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691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Loans risk rated substandard or worse</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On nonaccrual status</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957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9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right="85"/>
              <w:spacing w:after="0"/>
              <w:rPr>
                <w:sz w:val="20"/>
                <w:szCs w:val="20"/>
                <w:color w:val="auto"/>
              </w:rPr>
            </w:pPr>
            <w:r>
              <w:rPr>
                <w:rFonts w:ascii="Arial" w:cs="Arial" w:eastAsia="Arial" w:hAnsi="Arial"/>
                <w:sz w:val="14"/>
                <w:szCs w:val="14"/>
                <w:b w:val="1"/>
                <w:bCs w:val="1"/>
                <w:color w:val="auto"/>
                <w:w w:val="91"/>
              </w:rPr>
              <w:t>Non-Performing Assets at June 30, 2013</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8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Community Banking</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LASG</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Division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60" w:type="dxa"/>
            <w:vAlign w:val="bottom"/>
          </w:tcPr>
          <w:p>
            <w:pPr>
              <w:jc w:val="right"/>
              <w:ind w:right="1077"/>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54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07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1,457</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1.12%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Loans risk rated substandard or worse</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3,417</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Nonaccrual status</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4"/>
                <w:szCs w:val="24"/>
                <w:color w:val="auto"/>
              </w:rPr>
            </w:pPr>
          </w:p>
        </w:tc>
        <w:tc>
          <w:tcPr>
            <w:tcW w:w="1260" w:type="dxa"/>
            <w:vAlign w:val="bottom"/>
          </w:tcPr>
          <w:p>
            <w:pPr>
              <w:jc w:val="right"/>
              <w:ind w:right="297"/>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Company’s allowance for loan losses was $1.4 million as of December 31, 2013, which represents an increase of $207 thousand from $1.1 million as of June 30, 2013. The increase during the period was principally due to increases in reserves necessary for loans accounted for under ASC 310-30 and general allowances on newly originated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December, 2012</w:t>
            </w:r>
          </w:p>
        </w:tc>
        <w:tc>
          <w:tcPr>
            <w:tcW w:w="28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$234 thousand, or 1.6% to $14.6 million at December 31, 2013, compared to $14.4 million at June 30, 2013.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11.9% of the Company’s total risk-based capital at December 31, 2013.</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Intangible assets totaled $3.1 million and $3.5 million at December 31, 2013 and June 30, 2013, respectively. The $420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0" w:lineRule="exact"/>
        <w:rPr>
          <w:sz w:val="20"/>
          <w:szCs w:val="20"/>
          <w:color w:val="auto"/>
        </w:rPr>
      </w:pPr>
    </w:p>
    <w:p>
      <w:pPr>
        <w:sectPr>
          <w:pgSz w:w="11900" w:h="16838" w:orient="portrait"/>
          <w:cols w:equalWidth="0" w:num="1">
            <w:col w:w="11460"/>
          </w:cols>
          <w:pgMar w:left="240" w:top="125" w:right="199" w:bottom="32" w:gutter="0" w:footer="0" w:header="0"/>
        </w:sectPr>
      </w:pPr>
    </w:p>
    <w:bookmarkStart w:id="25" w:name="page26"/>
    <w:bookmarkEnd w:id="25"/>
    <w:p>
      <w:pPr>
        <w:ind w:right="6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December 31, 2013, non-maturity accounts and certificates of deposit with balances less than $250 thousand represented 99.4% of total deposits.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deposits increased $51.9 million to $536.5 million as of December 31, 2013 from $484.6 million as of June 30, 2013. The increase, which funded growth in the Company’s loan portfolio, was principally from term deposits raised through listing services, which has provided the Bank with longer term funding than can typically be attracted through retail channels. At December 31, 2013, the Bank had $120.1 million of such deposit funding, with a weighted-average original term of 3.0 years. The composition of total deposits at December 31, 2013 and June 30, 2013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4"/>
          </w:tcPr>
          <w:p>
            <w:pPr>
              <w:jc w:val="right"/>
              <w:ind w:right="95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4"/>
                <w:szCs w:val="14"/>
                <w:color w:val="auto"/>
              </w:rPr>
            </w:pPr>
          </w:p>
        </w:tc>
        <w:tc>
          <w:tcPr>
            <w:tcW w:w="266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June 30, 2013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Percent of</w:t>
            </w: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Percent of</w:t>
            </w:r>
          </w:p>
        </w:tc>
        <w:tc>
          <w:tcPr>
            <w:tcW w:w="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50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6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47,015</w:t>
            </w: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46,425</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NOW accounts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58,859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57,334</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11.83%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34,535</w:t>
            </w: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33,636</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Money market deposits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88,156</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84,416</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17.42%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228,565</w:t>
            </w:r>
          </w:p>
        </w:tc>
        <w:tc>
          <w:tcPr>
            <w:tcW w:w="2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221,811</w:t>
            </w:r>
          </w:p>
        </w:tc>
        <w:tc>
          <w:tcPr>
            <w:tcW w:w="2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45.77%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Term certificates less than $250 thousand</w:t>
            </w: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304,757</w:t>
            </w:r>
          </w:p>
        </w:tc>
        <w:tc>
          <w:tcPr>
            <w:tcW w:w="280" w:type="dxa"/>
            <w:vAlign w:val="bottom"/>
            <w:vMerge w:val="continue"/>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56.80%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254,384</w:t>
            </w:r>
          </w:p>
        </w:tc>
        <w:tc>
          <w:tcPr>
            <w:tcW w:w="280" w:type="dxa"/>
            <w:vAlign w:val="bottom"/>
            <w:vMerge w:val="continue"/>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52.49%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of $250 thousand or more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3,200</w:t>
            </w: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8,428</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Total certificate accounts</w:t>
            </w: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307,957</w:t>
            </w:r>
          </w:p>
        </w:tc>
        <w:tc>
          <w:tcPr>
            <w:tcW w:w="280" w:type="dxa"/>
            <w:vAlign w:val="bottom"/>
            <w:vMerge w:val="continue"/>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57.40%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262,812</w:t>
            </w:r>
          </w:p>
        </w:tc>
        <w:tc>
          <w:tcPr>
            <w:tcW w:w="280" w:type="dxa"/>
            <w:vAlign w:val="bottom"/>
            <w:vMerge w:val="continue"/>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54.23%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536,522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815"/>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Advances from the FHLB were $42.9 million and $28.0 million at December 31, 2013 and June 30, 2013, the increase due to $15.0 million of new advances during the period used to fund residential loan growth. In conjunction with the aforementioned FHLB advances, the Company entered into interest rate swaps with a weighted average pay rate and term of 3.13% and 15 years, respectively. At December 31, 2013, the Company had pledged investment securities with a fair value of $27.1 million, as well as certain residential real estate loans, commercial real estate loans, and FHLB deposits free of liens or pledges to secure outstanding advances and available additional borrowing capacity.</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Wholesale repurchase agreements were $15.3 million and $25.4 million at December 31, 2013 and June 30, 2013, respectively. During the six months ended December 31, 2013, the Company repaid at maturity wholesale repurchase agreements totaling $10.0 million. At December 31, 2013, the Company had pledged investment securities with a fair value of $14.9 million as collateral for outstanding wholesale repurchase agreements.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$2.5 million and $625 thousand as of December 31, 2013 and June 30,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is a summary of the liquidity the Company had the ability to access as of December 31, 2013, in addition to traditional retail deposit products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183,156</w:t>
            </w: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64,553</w:t>
            </w:r>
          </w:p>
        </w:tc>
        <w:tc>
          <w:tcPr>
            <w:tcW w:w="4680" w:type="dxa"/>
            <w:vAlign w:val="bottom"/>
          </w:tcPr>
          <w:p>
            <w:pPr>
              <w:ind w:left="320"/>
              <w:spacing w:after="0"/>
              <w:rPr>
                <w:sz w:val="20"/>
                <w:szCs w:val="20"/>
                <w:color w:val="auto"/>
              </w:rPr>
            </w:pPr>
            <w:r>
              <w:rPr>
                <w:rFonts w:ascii="Arial" w:cs="Arial" w:eastAsia="Arial" w:hAnsi="Arial"/>
                <w:sz w:val="18"/>
                <w:szCs w:val="18"/>
                <w:color w:val="auto"/>
              </w:rPr>
              <w:t>Subject to eligible and qualified collateral</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Reserve Discount Window Borrower-in-</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Custody</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0"/>
                <w:szCs w:val="20"/>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Subject to the pledge of indirect auto loans</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247,728</w:t>
            </w: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72,738</w:t>
            </w:r>
          </w:p>
        </w:tc>
        <w:tc>
          <w:tcPr>
            <w:tcW w:w="468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320,466</w:t>
            </w:r>
          </w:p>
        </w:tc>
        <w:tc>
          <w:tcPr>
            <w:tcW w:w="20" w:type="dxa"/>
            <w:vAlign w:val="bottom"/>
            <w:tcBorders>
              <w:bottom w:val="single" w:sz="8" w:color="auto"/>
            </w:tcBorders>
          </w:tcPr>
          <w:p>
            <w:pPr>
              <w:spacing w:after="0"/>
              <w:rPr>
                <w:sz w:val="18"/>
                <w:szCs w:val="18"/>
                <w:color w:val="auto"/>
              </w:rPr>
            </w:pPr>
          </w:p>
        </w:tc>
        <w:tc>
          <w:tcPr>
            <w:tcW w:w="46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2013, the Company had $320.5 million of immediately accessible liquidity, defined as additional cash that could be raised within seven days through collateralized borrowings, brokered deposits or security sales. This position represented 43.8% of total assets. The Company also had $63.4 million of cash and cash equivalents at December 31, 2013.</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$8.4 million and $16.5 million, respectively, as of December 31, 2013. This debt represents qualifying Tier 1 capital for the Company, up to a maximum of 25% of total Tier 1 capital. At December 31, 2013, the carrying amounts of the junior subordinated notes, net of the Company’s $496 thousand investment in the affiliated trusts, qualified as Tier 1 capital.</w:t>
      </w:r>
    </w:p>
    <w:p>
      <w:pPr>
        <w:sectPr>
          <w:pgSz w:w="11900" w:h="16838" w:orient="portrait"/>
          <w:cols w:equalWidth="0" w:num="1">
            <w:col w:w="11460"/>
          </w:cols>
          <w:pgMar w:left="240" w:top="125" w:right="199" w:bottom="0" w:gutter="0" w:footer="0" w:header="0"/>
        </w:sectPr>
      </w:pPr>
    </w:p>
    <w:bookmarkStart w:id="26" w:name="page27"/>
    <w:bookmarkEnd w:id="26"/>
    <w:p>
      <w:pPr>
        <w:spacing w:after="0" w:line="36"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At December 31, 2013, stockholders’ equity was $114.4 million, an increase of $581 thousand compared to June 30, 2013. Book value per outstanding common share was $10.96 at December 31, 2013 and $10.89 at June 30, 2013. Tier 1 capital to total average assets of the Company was 16.66% as of December 31, 2013 and 17.78% at June 30, 2013.</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Federal Reserve’s capital adequacy standards also apply to state-chartered banks that are members of the Federal Reserve System, such as the Bank. Moreover, the Federal Reserve has promulgated corresponding regulations to implement the system of prompt corrective action established by Section 38 of the Federal Deposit Insurance Act. Under these regulations, a bank is “well capitalized” if it has: (i) a total risk-based capital ratio of 10.0% or greater; (ii) a Tier 1 risk-based capital ratio of 6.0% or greater; (iii) a leverage capital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ratio of 5.0% or greater; and (iv) 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47"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July 2, 2013, the Federal Reserve, along with the other federal banking agencies, issued a final rule (the “Final Capital Rule”) implementing the Basel III capital standards and establishing the minimum capital requirements for 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 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above the minimum risk-based capital requirements for “adequately capitalized” institutions equal to 2.5% of total risk weight assets, or face restrictions on capital distributions and executive bonuses.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comply with the Final Capital Rule beginning on January 1, 2015.</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Bank and the Company are subject to capital commitments with the Federal Reserve and the Bureau that require higher minimum capital ratios. These commitments require that the Company and the Bank (i) maintain a Tier 1 leverage ratio of at least 10%; and (ii) maintain a total risk-based capital ratio of at least 15%. The Bank and the Company were in compliance with these commitments at December 31,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left="519"/>
              <w:spacing w:after="0"/>
              <w:rPr>
                <w:sz w:val="20"/>
                <w:szCs w:val="20"/>
                <w:color w:val="auto"/>
              </w:rPr>
            </w:pPr>
            <w:r>
              <w:rPr>
                <w:rFonts w:ascii="Arial" w:cs="Arial" w:eastAsia="Arial" w:hAnsi="Arial"/>
                <w:sz w:val="14"/>
                <w:szCs w:val="14"/>
                <w:b w:val="1"/>
                <w:bCs w:val="1"/>
                <w:color w:val="auto"/>
              </w:rPr>
              <w:t>Minimum</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center"/>
              <w:ind w:left="438"/>
              <w:spacing w:after="0"/>
              <w:rPr>
                <w:sz w:val="20"/>
                <w:szCs w:val="20"/>
                <w:color w:val="auto"/>
              </w:rPr>
            </w:pPr>
            <w:r>
              <w:rPr>
                <w:rFonts w:ascii="Arial" w:cs="Arial" w:eastAsia="Arial" w:hAnsi="Arial"/>
                <w:sz w:val="14"/>
                <w:szCs w:val="14"/>
                <w:b w:val="1"/>
                <w:bCs w:val="1"/>
                <w:color w:val="auto"/>
              </w:rPr>
              <w:t>Minimum</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519"/>
              <w:spacing w:after="0" w:line="149" w:lineRule="exact"/>
              <w:rPr>
                <w:sz w:val="20"/>
                <w:szCs w:val="20"/>
                <w:color w:val="auto"/>
              </w:rPr>
            </w:pPr>
            <w:r>
              <w:rPr>
                <w:rFonts w:ascii="Arial" w:cs="Arial" w:eastAsia="Arial" w:hAnsi="Arial"/>
                <w:sz w:val="14"/>
                <w:szCs w:val="14"/>
                <w:b w:val="1"/>
                <w:bCs w:val="1"/>
                <w:color w:val="auto"/>
                <w:w w:val="92"/>
              </w:rPr>
              <w:t>To Be Well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left="438"/>
              <w:spacing w:after="0" w:line="149" w:lineRule="exact"/>
              <w:rPr>
                <w:sz w:val="20"/>
                <w:szCs w:val="20"/>
                <w:color w:val="auto"/>
              </w:rPr>
            </w:pPr>
            <w:r>
              <w:rPr>
                <w:rFonts w:ascii="Arial" w:cs="Arial" w:eastAsia="Arial" w:hAnsi="Arial"/>
                <w:sz w:val="14"/>
                <w:szCs w:val="14"/>
                <w:b w:val="1"/>
                <w:bCs w:val="1"/>
                <w:color w:val="auto"/>
                <w:w w:val="98"/>
              </w:rPr>
              <w:t>Capital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left="438"/>
              <w:spacing w:after="0"/>
              <w:rPr>
                <w:sz w:val="20"/>
                <w:szCs w:val="20"/>
                <w:color w:val="auto"/>
              </w:rPr>
            </w:pPr>
            <w:r>
              <w:rPr>
                <w:rFonts w:ascii="Arial" w:cs="Arial" w:eastAsia="Arial" w:hAnsi="Arial"/>
                <w:sz w:val="14"/>
                <w:szCs w:val="14"/>
                <w:b w:val="1"/>
                <w:bCs w:val="1"/>
                <w:color w:val="auto"/>
                <w:w w:val="92"/>
              </w:rPr>
              <w:t>Requirements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58"/>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9"/>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bottom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123,154</w:t>
            </w:r>
          </w:p>
        </w:tc>
        <w:tc>
          <w:tcPr>
            <w:tcW w:w="1260" w:type="dxa"/>
            <w:vAlign w:val="bottom"/>
            <w:gridSpan w:val="3"/>
            <w:shd w:val="clear" w:color="auto" w:fill="CCEEFF"/>
          </w:tcPr>
          <w:p>
            <w:pPr>
              <w:ind w:left="440"/>
              <w:spacing w:after="0" w:line="176" w:lineRule="exact"/>
              <w:rPr>
                <w:sz w:val="20"/>
                <w:szCs w:val="20"/>
                <w:color w:val="auto"/>
              </w:rPr>
            </w:pPr>
            <w:r>
              <w:rPr>
                <w:rFonts w:ascii="Arial" w:cs="Arial" w:eastAsia="Arial" w:hAnsi="Arial"/>
                <w:sz w:val="18"/>
                <w:szCs w:val="18"/>
                <w:color w:val="auto"/>
              </w:rPr>
              <w:t>24.61% $</w:t>
            </w:r>
          </w:p>
        </w:tc>
        <w:tc>
          <w:tcPr>
            <w:tcW w:w="1460" w:type="dxa"/>
            <w:vAlign w:val="bottom"/>
            <w:shd w:val="clear" w:color="auto" w:fill="CCEEFF"/>
          </w:tcPr>
          <w:p>
            <w:pPr>
              <w:jc w:val="right"/>
              <w:ind w:right="438"/>
              <w:spacing w:after="0" w:line="176" w:lineRule="exact"/>
              <w:rPr>
                <w:sz w:val="20"/>
                <w:szCs w:val="20"/>
                <w:color w:val="auto"/>
              </w:rPr>
            </w:pPr>
            <w:r>
              <w:rPr>
                <w:rFonts w:ascii="Arial" w:cs="Arial" w:eastAsia="Arial" w:hAnsi="Arial"/>
                <w:sz w:val="18"/>
                <w:szCs w:val="18"/>
                <w:color w:val="auto"/>
              </w:rPr>
              <w:t>40,026</w:t>
            </w:r>
          </w:p>
        </w:tc>
        <w:tc>
          <w:tcPr>
            <w:tcW w:w="400" w:type="dxa"/>
            <w:vAlign w:val="bottom"/>
            <w:shd w:val="clear" w:color="auto" w:fill="CCEEFF"/>
          </w:tcPr>
          <w:p>
            <w:pPr>
              <w:spacing w:after="0"/>
              <w:rPr>
                <w:sz w:val="15"/>
                <w:szCs w:val="15"/>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42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4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101,808</w:t>
            </w:r>
          </w:p>
        </w:tc>
        <w:tc>
          <w:tcPr>
            <w:tcW w:w="106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8"/>
              </w:rPr>
              <w:t>20.32%</w:t>
            </w:r>
          </w:p>
        </w:tc>
        <w:tc>
          <w:tcPr>
            <w:tcW w:w="200" w:type="dxa"/>
            <w:vAlign w:val="bottom"/>
          </w:tcPr>
          <w:p>
            <w:pPr>
              <w:spacing w:after="0"/>
              <w:rPr>
                <w:sz w:val="15"/>
                <w:szCs w:val="15"/>
                <w:color w:val="auto"/>
              </w:rPr>
            </w:pPr>
          </w:p>
        </w:tc>
        <w:tc>
          <w:tcPr>
            <w:tcW w:w="1460" w:type="dxa"/>
            <w:vAlign w:val="bottom"/>
          </w:tcPr>
          <w:p>
            <w:pPr>
              <w:jc w:val="right"/>
              <w:ind w:right="438"/>
              <w:spacing w:after="0" w:line="176" w:lineRule="exact"/>
              <w:rPr>
                <w:sz w:val="20"/>
                <w:szCs w:val="20"/>
                <w:color w:val="auto"/>
              </w:rPr>
            </w:pPr>
            <w:r>
              <w:rPr>
                <w:rFonts w:ascii="Arial" w:cs="Arial" w:eastAsia="Arial" w:hAnsi="Arial"/>
                <w:sz w:val="18"/>
                <w:szCs w:val="18"/>
                <w:color w:val="auto"/>
              </w:rPr>
              <w:t>40,079</w:t>
            </w:r>
          </w:p>
        </w:tc>
        <w:tc>
          <w:tcPr>
            <w:tcW w:w="40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200" w:type="dxa"/>
            <w:vAlign w:val="bottom"/>
          </w:tcPr>
          <w:p>
            <w:pPr>
              <w:spacing w:after="0"/>
              <w:rPr>
                <w:sz w:val="15"/>
                <w:szCs w:val="15"/>
                <w:color w:val="auto"/>
              </w:rPr>
            </w:pPr>
          </w:p>
        </w:tc>
        <w:tc>
          <w:tcPr>
            <w:tcW w:w="142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50,099</w:t>
            </w:r>
          </w:p>
        </w:tc>
        <w:tc>
          <w:tcPr>
            <w:tcW w:w="106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121,804</w:t>
            </w:r>
          </w:p>
        </w:tc>
        <w:tc>
          <w:tcPr>
            <w:tcW w:w="10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24.34%</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38"/>
              <w:spacing w:after="0" w:line="176" w:lineRule="exact"/>
              <w:rPr>
                <w:sz w:val="20"/>
                <w:szCs w:val="20"/>
                <w:color w:val="auto"/>
              </w:rPr>
            </w:pPr>
            <w:r>
              <w:rPr>
                <w:rFonts w:ascii="Arial" w:cs="Arial" w:eastAsia="Arial" w:hAnsi="Arial"/>
                <w:sz w:val="18"/>
                <w:szCs w:val="18"/>
                <w:color w:val="auto"/>
              </w:rPr>
              <w:t>20,013</w:t>
            </w:r>
          </w:p>
        </w:tc>
        <w:tc>
          <w:tcPr>
            <w:tcW w:w="4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4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97,746</w:t>
            </w:r>
          </w:p>
        </w:tc>
        <w:tc>
          <w:tcPr>
            <w:tcW w:w="106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8"/>
              </w:rPr>
              <w:t>19.51%</w:t>
            </w:r>
          </w:p>
        </w:tc>
        <w:tc>
          <w:tcPr>
            <w:tcW w:w="200" w:type="dxa"/>
            <w:vAlign w:val="bottom"/>
          </w:tcPr>
          <w:p>
            <w:pPr>
              <w:spacing w:after="0"/>
              <w:rPr>
                <w:sz w:val="15"/>
                <w:szCs w:val="15"/>
                <w:color w:val="auto"/>
              </w:rPr>
            </w:pPr>
          </w:p>
        </w:tc>
        <w:tc>
          <w:tcPr>
            <w:tcW w:w="1460" w:type="dxa"/>
            <w:vAlign w:val="bottom"/>
          </w:tcPr>
          <w:p>
            <w:pPr>
              <w:jc w:val="right"/>
              <w:ind w:right="438"/>
              <w:spacing w:after="0" w:line="176" w:lineRule="exact"/>
              <w:rPr>
                <w:sz w:val="20"/>
                <w:szCs w:val="20"/>
                <w:color w:val="auto"/>
              </w:rPr>
            </w:pPr>
            <w:r>
              <w:rPr>
                <w:rFonts w:ascii="Arial" w:cs="Arial" w:eastAsia="Arial" w:hAnsi="Arial"/>
                <w:sz w:val="18"/>
                <w:szCs w:val="18"/>
                <w:color w:val="auto"/>
              </w:rPr>
              <w:t>20,040</w:t>
            </w:r>
          </w:p>
        </w:tc>
        <w:tc>
          <w:tcPr>
            <w:tcW w:w="40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42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30,060</w:t>
            </w:r>
          </w:p>
        </w:tc>
        <w:tc>
          <w:tcPr>
            <w:tcW w:w="106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121,804</w:t>
            </w:r>
          </w:p>
        </w:tc>
        <w:tc>
          <w:tcPr>
            <w:tcW w:w="10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16.66%</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38"/>
              <w:spacing w:after="0" w:line="176" w:lineRule="exact"/>
              <w:rPr>
                <w:sz w:val="20"/>
                <w:szCs w:val="20"/>
                <w:color w:val="auto"/>
              </w:rPr>
            </w:pPr>
            <w:r>
              <w:rPr>
                <w:rFonts w:ascii="Arial" w:cs="Arial" w:eastAsia="Arial" w:hAnsi="Arial"/>
                <w:sz w:val="18"/>
                <w:szCs w:val="18"/>
                <w:color w:val="auto"/>
              </w:rPr>
              <w:t>29,251</w:t>
            </w:r>
          </w:p>
        </w:tc>
        <w:tc>
          <w:tcPr>
            <w:tcW w:w="4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4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97,746</w:t>
            </w:r>
          </w:p>
        </w:tc>
        <w:tc>
          <w:tcPr>
            <w:tcW w:w="106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8"/>
              </w:rPr>
              <w:t>13.42%</w:t>
            </w:r>
          </w:p>
        </w:tc>
        <w:tc>
          <w:tcPr>
            <w:tcW w:w="200" w:type="dxa"/>
            <w:vAlign w:val="bottom"/>
          </w:tcPr>
          <w:p>
            <w:pPr>
              <w:spacing w:after="0"/>
              <w:rPr>
                <w:sz w:val="15"/>
                <w:szCs w:val="15"/>
                <w:color w:val="auto"/>
              </w:rPr>
            </w:pPr>
          </w:p>
        </w:tc>
        <w:tc>
          <w:tcPr>
            <w:tcW w:w="1460" w:type="dxa"/>
            <w:vAlign w:val="bottom"/>
          </w:tcPr>
          <w:p>
            <w:pPr>
              <w:jc w:val="right"/>
              <w:ind w:right="438"/>
              <w:spacing w:after="0" w:line="176" w:lineRule="exact"/>
              <w:rPr>
                <w:sz w:val="20"/>
                <w:szCs w:val="20"/>
                <w:color w:val="auto"/>
              </w:rPr>
            </w:pPr>
            <w:r>
              <w:rPr>
                <w:rFonts w:ascii="Arial" w:cs="Arial" w:eastAsia="Arial" w:hAnsi="Arial"/>
                <w:sz w:val="18"/>
                <w:szCs w:val="18"/>
                <w:color w:val="auto"/>
              </w:rPr>
              <w:t>20,040</w:t>
            </w:r>
          </w:p>
        </w:tc>
        <w:tc>
          <w:tcPr>
            <w:tcW w:w="40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42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36,427</w:t>
            </w:r>
          </w:p>
        </w:tc>
        <w:tc>
          <w:tcPr>
            <w:tcW w:w="106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June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capital to risk weighted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5" w:orient="portrait"/>
          <w:cols w:equalWidth="0" w:num="1">
            <w:col w:w="11420"/>
          </w:cols>
          <w:pgMar w:left="240" w:top="125" w:right="239" w:bottom="0" w:gutter="0" w:footer="0" w:header="0"/>
        </w:sectPr>
      </w:pPr>
    </w:p>
    <w:bookmarkStart w:id="27" w:name="page28"/>
    <w:bookmarkEnd w:id="2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Company</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122,291</w:t>
            </w:r>
          </w:p>
        </w:tc>
        <w:tc>
          <w:tcPr>
            <w:tcW w:w="1400" w:type="dxa"/>
            <w:vAlign w:val="bottom"/>
          </w:tcPr>
          <w:p>
            <w:pPr>
              <w:ind w:left="420"/>
              <w:spacing w:after="0"/>
              <w:rPr>
                <w:sz w:val="20"/>
                <w:szCs w:val="20"/>
                <w:color w:val="auto"/>
              </w:rPr>
            </w:pPr>
            <w:r>
              <w:rPr>
                <w:rFonts w:ascii="Arial" w:cs="Arial" w:eastAsia="Arial" w:hAnsi="Arial"/>
                <w:sz w:val="18"/>
                <w:szCs w:val="18"/>
                <w:color w:val="auto"/>
              </w:rPr>
              <w:t>27.54% $</w:t>
            </w:r>
          </w:p>
        </w:tc>
        <w:tc>
          <w:tcPr>
            <w:tcW w:w="1700" w:type="dxa"/>
            <w:vAlign w:val="bottom"/>
          </w:tcPr>
          <w:p>
            <w:pPr>
              <w:jc w:val="right"/>
              <w:ind w:right="830"/>
              <w:spacing w:after="0"/>
              <w:rPr>
                <w:sz w:val="20"/>
                <w:szCs w:val="20"/>
                <w:color w:val="auto"/>
              </w:rPr>
            </w:pPr>
            <w:r>
              <w:rPr>
                <w:rFonts w:ascii="Arial" w:cs="Arial" w:eastAsia="Arial" w:hAnsi="Arial"/>
                <w:sz w:val="18"/>
                <w:szCs w:val="18"/>
                <w:color w:val="auto"/>
              </w:rPr>
              <w:t>35,520</w:t>
            </w:r>
          </w:p>
        </w:tc>
        <w:tc>
          <w:tcPr>
            <w:tcW w:w="920" w:type="dxa"/>
            <w:vAlign w:val="bottom"/>
            <w:gridSpan w:val="2"/>
          </w:tcPr>
          <w:p>
            <w:pPr>
              <w:spacing w:after="0"/>
              <w:rPr>
                <w:sz w:val="20"/>
                <w:szCs w:val="20"/>
                <w:color w:val="auto"/>
              </w:rPr>
            </w:pPr>
            <w:r>
              <w:rPr>
                <w:rFonts w:ascii="Arial" w:cs="Arial" w:eastAsia="Arial" w:hAnsi="Arial"/>
                <w:sz w:val="18"/>
                <w:szCs w:val="18"/>
                <w:color w:val="auto"/>
              </w:rPr>
              <w:t>&gt;8.0% $</w:t>
            </w:r>
          </w:p>
        </w:tc>
        <w:tc>
          <w:tcPr>
            <w:tcW w:w="1620" w:type="dxa"/>
            <w:vAlign w:val="bottom"/>
          </w:tcPr>
          <w:p>
            <w:pPr>
              <w:jc w:val="right"/>
              <w:ind w:right="77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99,527</w:t>
            </w:r>
          </w:p>
        </w:tc>
        <w:tc>
          <w:tcPr>
            <w:tcW w:w="140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22.30%</w:t>
            </w:r>
          </w:p>
        </w:tc>
        <w:tc>
          <w:tcPr>
            <w:tcW w:w="1700" w:type="dxa"/>
            <w:vAlign w:val="bottom"/>
            <w:shd w:val="clear" w:color="auto" w:fill="CCEEFF"/>
          </w:tcPr>
          <w:p>
            <w:pPr>
              <w:jc w:val="right"/>
              <w:ind w:right="830"/>
              <w:spacing w:after="0" w:line="176" w:lineRule="exact"/>
              <w:rPr>
                <w:sz w:val="20"/>
                <w:szCs w:val="20"/>
                <w:color w:val="auto"/>
              </w:rPr>
            </w:pPr>
            <w:r>
              <w:rPr>
                <w:rFonts w:ascii="Arial" w:cs="Arial" w:eastAsia="Arial" w:hAnsi="Arial"/>
                <w:sz w:val="18"/>
                <w:szCs w:val="18"/>
                <w:color w:val="auto"/>
              </w:rPr>
              <w:t>35,709</w:t>
            </w: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&gt;8.0%</w:t>
            </w:r>
          </w:p>
        </w:tc>
        <w:tc>
          <w:tcPr>
            <w:tcW w:w="1620" w:type="dxa"/>
            <w:vAlign w:val="bottom"/>
            <w:shd w:val="clear" w:color="auto" w:fill="CCEEFF"/>
          </w:tcPr>
          <w:p>
            <w:pPr>
              <w:jc w:val="right"/>
              <w:ind w:right="770"/>
              <w:spacing w:after="0" w:line="176" w:lineRule="exact"/>
              <w:rPr>
                <w:sz w:val="20"/>
                <w:szCs w:val="20"/>
                <w:color w:val="auto"/>
              </w:rPr>
            </w:pPr>
            <w:r>
              <w:rPr>
                <w:rFonts w:ascii="Arial" w:cs="Arial" w:eastAsia="Arial" w:hAnsi="Arial"/>
                <w:sz w:val="18"/>
                <w:szCs w:val="18"/>
                <w:color w:val="auto"/>
              </w:rPr>
              <w:t>44,637</w:t>
            </w:r>
          </w:p>
        </w:tc>
        <w:tc>
          <w:tcPr>
            <w:tcW w:w="68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w w:val="87"/>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760" w:type="dxa"/>
            <w:vAlign w:val="bottom"/>
          </w:tcPr>
          <w:p>
            <w:pPr>
              <w:spacing w:after="0"/>
              <w:rPr>
                <w:sz w:val="15"/>
                <w:szCs w:val="15"/>
                <w:color w:val="auto"/>
              </w:rPr>
            </w:pPr>
          </w:p>
        </w:tc>
        <w:tc>
          <w:tcPr>
            <w:tcW w:w="12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400" w:type="dxa"/>
            <w:vAlign w:val="bottom"/>
          </w:tcPr>
          <w:p>
            <w:pPr>
              <w:ind w:left="420"/>
              <w:spacing w:after="0" w:line="176" w:lineRule="exact"/>
              <w:rPr>
                <w:sz w:val="20"/>
                <w:szCs w:val="20"/>
                <w:color w:val="auto"/>
              </w:rPr>
            </w:pPr>
            <w:r>
              <w:rPr>
                <w:rFonts w:ascii="Arial" w:cs="Arial" w:eastAsia="Arial" w:hAnsi="Arial"/>
                <w:sz w:val="18"/>
                <w:szCs w:val="18"/>
                <w:color w:val="auto"/>
              </w:rPr>
              <w:t>27.29%</w:t>
            </w:r>
          </w:p>
        </w:tc>
        <w:tc>
          <w:tcPr>
            <w:tcW w:w="1700" w:type="dxa"/>
            <w:vAlign w:val="bottom"/>
          </w:tcPr>
          <w:p>
            <w:pPr>
              <w:jc w:val="right"/>
              <w:ind w:right="830"/>
              <w:spacing w:after="0" w:line="176" w:lineRule="exact"/>
              <w:rPr>
                <w:sz w:val="20"/>
                <w:szCs w:val="20"/>
                <w:color w:val="auto"/>
              </w:rPr>
            </w:pPr>
            <w:r>
              <w:rPr>
                <w:rFonts w:ascii="Arial" w:cs="Arial" w:eastAsia="Arial" w:hAnsi="Arial"/>
                <w:sz w:val="18"/>
                <w:szCs w:val="18"/>
                <w:color w:val="auto"/>
              </w:rPr>
              <w:t>17,760</w:t>
            </w: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620" w:type="dxa"/>
            <w:vAlign w:val="bottom"/>
          </w:tcPr>
          <w:p>
            <w:pPr>
              <w:jc w:val="right"/>
              <w:ind w:right="770"/>
              <w:spacing w:after="0" w:line="176"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40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21.39%</w:t>
            </w:r>
          </w:p>
        </w:tc>
        <w:tc>
          <w:tcPr>
            <w:tcW w:w="1700" w:type="dxa"/>
            <w:vAlign w:val="bottom"/>
            <w:shd w:val="clear" w:color="auto" w:fill="CCEEFF"/>
          </w:tcPr>
          <w:p>
            <w:pPr>
              <w:jc w:val="right"/>
              <w:ind w:right="830"/>
              <w:spacing w:after="0" w:line="176" w:lineRule="exact"/>
              <w:rPr>
                <w:sz w:val="20"/>
                <w:szCs w:val="20"/>
                <w:color w:val="auto"/>
              </w:rPr>
            </w:pPr>
            <w:r>
              <w:rPr>
                <w:rFonts w:ascii="Arial" w:cs="Arial" w:eastAsia="Arial" w:hAnsi="Arial"/>
                <w:sz w:val="18"/>
                <w:szCs w:val="18"/>
                <w:color w:val="auto"/>
              </w:rPr>
              <w:t>17,855</w:t>
            </w: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20" w:type="dxa"/>
            <w:vAlign w:val="bottom"/>
            <w:shd w:val="clear" w:color="auto" w:fill="CCEEFF"/>
          </w:tcPr>
          <w:p>
            <w:pPr>
              <w:jc w:val="right"/>
              <w:ind w:right="770"/>
              <w:spacing w:after="0" w:line="176" w:lineRule="exact"/>
              <w:rPr>
                <w:sz w:val="20"/>
                <w:szCs w:val="20"/>
                <w:color w:val="auto"/>
              </w:rPr>
            </w:pPr>
            <w:r>
              <w:rPr>
                <w:rFonts w:ascii="Arial" w:cs="Arial" w:eastAsia="Arial" w:hAnsi="Arial"/>
                <w:sz w:val="18"/>
                <w:szCs w:val="18"/>
                <w:color w:val="auto"/>
              </w:rPr>
              <w:t>26,782</w:t>
            </w:r>
          </w:p>
        </w:tc>
        <w:tc>
          <w:tcPr>
            <w:tcW w:w="68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760" w:type="dxa"/>
            <w:vAlign w:val="bottom"/>
          </w:tcPr>
          <w:p>
            <w:pPr>
              <w:spacing w:after="0"/>
              <w:rPr>
                <w:sz w:val="15"/>
                <w:szCs w:val="15"/>
                <w:color w:val="auto"/>
              </w:rPr>
            </w:pPr>
          </w:p>
        </w:tc>
        <w:tc>
          <w:tcPr>
            <w:tcW w:w="12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400" w:type="dxa"/>
            <w:vAlign w:val="bottom"/>
          </w:tcPr>
          <w:p>
            <w:pPr>
              <w:ind w:left="420"/>
              <w:spacing w:after="0" w:line="176" w:lineRule="exact"/>
              <w:rPr>
                <w:sz w:val="20"/>
                <w:szCs w:val="20"/>
                <w:color w:val="auto"/>
              </w:rPr>
            </w:pPr>
            <w:r>
              <w:rPr>
                <w:rFonts w:ascii="Arial" w:cs="Arial" w:eastAsia="Arial" w:hAnsi="Arial"/>
                <w:sz w:val="18"/>
                <w:szCs w:val="18"/>
                <w:color w:val="auto"/>
              </w:rPr>
              <w:t>17.78%</w:t>
            </w:r>
          </w:p>
        </w:tc>
        <w:tc>
          <w:tcPr>
            <w:tcW w:w="1700" w:type="dxa"/>
            <w:vAlign w:val="bottom"/>
          </w:tcPr>
          <w:p>
            <w:pPr>
              <w:jc w:val="right"/>
              <w:ind w:right="830"/>
              <w:spacing w:after="0" w:line="176" w:lineRule="exact"/>
              <w:rPr>
                <w:sz w:val="20"/>
                <w:szCs w:val="20"/>
                <w:color w:val="auto"/>
              </w:rPr>
            </w:pPr>
            <w:r>
              <w:rPr>
                <w:rFonts w:ascii="Arial" w:cs="Arial" w:eastAsia="Arial" w:hAnsi="Arial"/>
                <w:sz w:val="18"/>
                <w:szCs w:val="18"/>
                <w:color w:val="auto"/>
              </w:rPr>
              <w:t>27,255</w:t>
            </w:r>
          </w:p>
        </w:tc>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620" w:type="dxa"/>
            <w:vAlign w:val="bottom"/>
          </w:tcPr>
          <w:p>
            <w:pPr>
              <w:jc w:val="right"/>
              <w:ind w:right="770"/>
              <w:spacing w:after="0" w:line="176"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40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14.08%</w:t>
            </w:r>
          </w:p>
        </w:tc>
        <w:tc>
          <w:tcPr>
            <w:tcW w:w="1700" w:type="dxa"/>
            <w:vAlign w:val="bottom"/>
            <w:shd w:val="clear" w:color="auto" w:fill="CCEEFF"/>
          </w:tcPr>
          <w:p>
            <w:pPr>
              <w:jc w:val="right"/>
              <w:ind w:right="830"/>
              <w:spacing w:after="0" w:line="176" w:lineRule="exact"/>
              <w:rPr>
                <w:sz w:val="20"/>
                <w:szCs w:val="20"/>
                <w:color w:val="auto"/>
              </w:rPr>
            </w:pPr>
            <w:r>
              <w:rPr>
                <w:rFonts w:ascii="Arial" w:cs="Arial" w:eastAsia="Arial" w:hAnsi="Arial"/>
                <w:sz w:val="18"/>
                <w:szCs w:val="18"/>
                <w:color w:val="auto"/>
              </w:rPr>
              <w:t>27,121</w:t>
            </w: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20" w:type="dxa"/>
            <w:vAlign w:val="bottom"/>
            <w:shd w:val="clear" w:color="auto" w:fill="CCEEFF"/>
          </w:tcPr>
          <w:p>
            <w:pPr>
              <w:jc w:val="right"/>
              <w:ind w:right="770"/>
              <w:spacing w:after="0" w:line="176" w:lineRule="exact"/>
              <w:rPr>
                <w:sz w:val="20"/>
                <w:szCs w:val="20"/>
                <w:color w:val="auto"/>
              </w:rPr>
            </w:pPr>
            <w:r>
              <w:rPr>
                <w:rFonts w:ascii="Arial" w:cs="Arial" w:eastAsia="Arial" w:hAnsi="Arial"/>
                <w:sz w:val="18"/>
                <w:szCs w:val="18"/>
                <w:color w:val="auto"/>
              </w:rPr>
              <w:t>33,902</w:t>
            </w:r>
          </w:p>
        </w:tc>
        <w:tc>
          <w:tcPr>
            <w:tcW w:w="68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income decreased by $124 thousand to $1.4 million for the quarter ended December 31, 2013, compared to $1.5 million for the quarter ended December 31, 2012. Net income decreased by $837 thousand to $1.7 million for the six months ended December 31, 2013, compared to $2.6 million for the six months ended December 31, 2012. When compared to the prior year, decreases in net income for both the three and six months ended December 31, 2013 resulted principally from lower transactional income on purchased loans, as well as lower gains on sales of residential mortgages and investment securities.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$2.1 million for the quarter ended December 31, 2013, an increase of $206 thousand from the quarter ended December 31, 2012. Transactional income for the six months ended December 31, 2013 was $3.0 million, a decrease of $668 thousand from the six months ended December 31, 2012 principally due to lower than average payoffs in the first quarter of fiscal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Total Return on Purchased Loans</w:t>
            </w:r>
          </w:p>
        </w:tc>
        <w:tc>
          <w:tcPr>
            <w:tcW w:w="1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1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34"/>
              <w:spacing w:after="0" w:line="142" w:lineRule="exact"/>
              <w:rPr>
                <w:sz w:val="20"/>
                <w:szCs w:val="20"/>
                <w:color w:val="auto"/>
              </w:rPr>
            </w:pPr>
            <w:r>
              <w:rPr>
                <w:rFonts w:ascii="Arial" w:cs="Arial" w:eastAsia="Arial" w:hAnsi="Arial"/>
                <w:sz w:val="14"/>
                <w:szCs w:val="14"/>
                <w:b w:val="1"/>
                <w:bCs w:val="1"/>
                <w:color w:val="auto"/>
                <w:w w:val="76"/>
              </w:rPr>
              <w:t>2012</w:t>
            </w:r>
          </w:p>
        </w:tc>
        <w:tc>
          <w:tcPr>
            <w:tcW w:w="22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Income</w:t>
            </w:r>
          </w:p>
        </w:tc>
        <w:tc>
          <w:tcPr>
            <w:tcW w:w="9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Return (1)</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Income</w:t>
            </w:r>
          </w:p>
        </w:tc>
        <w:tc>
          <w:tcPr>
            <w:tcW w:w="12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Return (1)</w:t>
            </w:r>
          </w:p>
        </w:tc>
        <w:tc>
          <w:tcPr>
            <w:tcW w:w="22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2,098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r>
      <w:tr>
        <w:trPr>
          <w:trHeight w:val="210"/>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15.95%</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3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 December 31,</w:t>
            </w:r>
          </w:p>
        </w:tc>
        <w:tc>
          <w:tcPr>
            <w:tcW w:w="1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3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34"/>
              <w:spacing w:after="0" w:line="142" w:lineRule="exact"/>
              <w:rPr>
                <w:sz w:val="20"/>
                <w:szCs w:val="20"/>
                <w:color w:val="auto"/>
              </w:rPr>
            </w:pPr>
            <w:r>
              <w:rPr>
                <w:rFonts w:ascii="Arial" w:cs="Arial" w:eastAsia="Arial" w:hAnsi="Arial"/>
                <w:sz w:val="14"/>
                <w:szCs w:val="14"/>
                <w:b w:val="1"/>
                <w:bCs w:val="1"/>
                <w:color w:val="auto"/>
                <w:w w:val="76"/>
              </w:rPr>
              <w:t>2012</w:t>
            </w:r>
          </w:p>
        </w:tc>
        <w:tc>
          <w:tcPr>
            <w:tcW w:w="22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Income</w:t>
            </w:r>
          </w:p>
        </w:tc>
        <w:tc>
          <w:tcPr>
            <w:tcW w:w="9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Return (1)</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Income</w:t>
            </w:r>
          </w:p>
        </w:tc>
        <w:tc>
          <w:tcPr>
            <w:tcW w:w="12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Return (1)</w:t>
            </w:r>
          </w:p>
        </w:tc>
        <w:tc>
          <w:tcPr>
            <w:tcW w:w="22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0.92%</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2,794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0"/>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r>
      <w:tr>
        <w:trPr>
          <w:trHeight w:val="210"/>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10,774</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12.20%</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w:t>
            </w:r>
          </w:p>
        </w:tc>
        <w:tc>
          <w:tcPr>
            <w:tcW w:w="20" w:type="dxa"/>
            <w:vAlign w:val="bottom"/>
            <w:tcBorders>
              <w:bottom w:val="single" w:sz="8" w:color="auto"/>
            </w:tcBorders>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2013 and 2012</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interest income for the three months ended December 31, 2013 and 2012 was $9.0 million and $7.1 million, respectively. The increase of $1.9 million was largely attributable to growth in the LASG loan portfolio, which earned a yield of 11.4% for the quarter ended December 31, 2013 on an average outstanding balance of $243.9 million. The following table summarizes interest income and related yields recognized on the Company’s loans for the three months ended December 31, 2013 and 2012.</w:t>
      </w:r>
    </w:p>
    <w:p>
      <w:pPr>
        <w:spacing w:after="0" w:line="17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Three Months Ended December 31,</w:t>
      </w:r>
    </w:p>
    <w:p>
      <w:pPr>
        <w:spacing w:after="0" w:line="10" w:lineRule="exact"/>
        <w:rPr>
          <w:sz w:val="20"/>
          <w:szCs w:val="20"/>
          <w:color w:val="auto"/>
        </w:rPr>
      </w:pPr>
    </w:p>
    <w:tbl>
      <w:tblPr>
        <w:tblLayout w:type="fixed"/>
        <w:tblInd w:w="2240" w:type="dxa"/>
        <w:tblCellMar>
          <w:top w:w="0" w:type="dxa"/>
          <w:left w:w="0" w:type="dxa"/>
          <w:bottom w:w="0" w:type="dxa"/>
          <w:right w:w="0" w:type="dxa"/>
        </w:tblCellMar>
      </w:tblPr>
      <w:tr>
        <w:trPr>
          <w:trHeight w:val="142"/>
        </w:trPr>
        <w:tc>
          <w:tcPr>
            <w:tcW w:w="13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2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2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Average</w:t>
            </w:r>
          </w:p>
        </w:tc>
        <w:tc>
          <w:tcPr>
            <w:tcW w:w="1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Interest</w:t>
            </w: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Yield</w:t>
            </w:r>
          </w:p>
        </w:tc>
        <w:tc>
          <w:tcPr>
            <w:tcW w:w="1260" w:type="dxa"/>
            <w:vAlign w:val="bottom"/>
          </w:tcPr>
          <w:p>
            <w:pPr>
              <w:ind w:left="320"/>
              <w:spacing w:after="0" w:line="119" w:lineRule="exact"/>
              <w:rPr>
                <w:sz w:val="20"/>
                <w:szCs w:val="20"/>
                <w:color w:val="auto"/>
              </w:rPr>
            </w:pPr>
            <w:r>
              <w:rPr>
                <w:rFonts w:ascii="Arial" w:cs="Arial" w:eastAsia="Arial" w:hAnsi="Arial"/>
                <w:sz w:val="13"/>
                <w:szCs w:val="13"/>
                <w:b w:val="1"/>
                <w:bCs w:val="1"/>
                <w:color w:val="auto"/>
              </w:rPr>
              <w:t>Average</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Interest</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Balance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58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Balance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08" w:right="239" w:bottom="0" w:gutter="0" w:footer="0" w:header="0"/>
        </w:sectPr>
      </w:pPr>
    </w:p>
    <w:bookmarkStart w:id="28" w:name="page29"/>
    <w:bookmarkEnd w:id="28"/>
    <w:p>
      <w:pPr>
        <w:spacing w:after="0" w:line="87"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247,057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3,284</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257,837</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3,988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LASG:</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68,449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334</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175,469</w:t>
            </w:r>
          </w:p>
        </w:tc>
        <w:tc>
          <w:tcPr>
            <w:tcW w:w="3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6,112</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13.82%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117,365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3,945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243,918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4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11.38%</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4,279</w:t>
            </w:r>
          </w:p>
        </w:tc>
        <w:tc>
          <w:tcPr>
            <w:tcW w:w="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5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490,975</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4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8.31%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4"/>
              </w:rPr>
              <w:t>8,267</w:t>
            </w: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vMerge w:val="restart"/>
          </w:tcPr>
          <w:p>
            <w:pPr>
              <w:jc w:val="right"/>
              <w:ind w:right="65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quarter ended December 31, 2013, net interest income was negatively affected by a lower level of noncash accretion of fair value adjustments resulting from the 2010 merger than in the quarter ended December 31, 2012.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 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6"/>
              </w:rPr>
              <w:t>2013</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3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Income</w:t>
            </w:r>
          </w:p>
        </w:tc>
        <w:tc>
          <w:tcPr>
            <w:tcW w:w="100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Effect on</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(Expense)</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 / Rate</w:t>
            </w: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(Expense)</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116,888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135,663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490,975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388,833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84,770</w:t>
            </w: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488,562</w:t>
            </w: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433,031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59,941</w:t>
            </w: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302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559,231</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interest rate spread and net interest margin increased by 92 basis points and 88 basis points, respectively, for the quarter ended December 31, 2013 compared to the quarter ended December 31, 2012. These increases were principally the result of the aforementioned increase in loan volume. The following sets forth the average balance sheets, interest income and interest expense, and average yields and costs for the three months ended December 31, 2013 and 2012.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Income/</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Yield/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Income/</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right"/>
              <w:ind w:righ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6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490,975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10,282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388,833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8,267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6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58,987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54,733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ectPr>
          <w:pgSz w:w="11900" w:h="16925" w:orient="portrait"/>
          <w:cols w:equalWidth="0" w:num="1">
            <w:col w:w="11460"/>
          </w:cols>
          <w:pgMar w:left="240" w:top="118" w:right="19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Demand deposits and escrow accounts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53,184</w:t>
            </w:r>
          </w:p>
        </w:tc>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52,297</w:t>
            </w:r>
          </w:p>
        </w:tc>
        <w:tc>
          <w:tcPr>
            <w:tcW w:w="9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5,677</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4,717</w:t>
            </w: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578,055</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113,816</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116,939</w:t>
            </w: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Net interest income</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0" w:type="dxa"/>
            <w:vAlign w:val="bottom"/>
            <w:gridSpan w:val="2"/>
            <w:shd w:val="clear" w:color="auto" w:fill="CCEEFF"/>
          </w:tcPr>
          <w:p>
            <w:pPr>
              <w:jc w:val="right"/>
              <w:ind w:right="2140"/>
              <w:spacing w:after="0"/>
              <w:rPr>
                <w:sz w:val="20"/>
                <w:szCs w:val="20"/>
                <w:color w:val="auto"/>
              </w:rPr>
            </w:pPr>
            <w:r>
              <w:rPr>
                <w:rFonts w:ascii="Arial" w:cs="Arial" w:eastAsia="Arial" w:hAnsi="Arial"/>
                <w:sz w:val="18"/>
                <w:szCs w:val="18"/>
                <w:color w:val="auto"/>
              </w:rPr>
              <w:t>9,017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85"/>
              </w:rPr>
              <w:t>Interest rate spread</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4.94%</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jc w:val="right"/>
              <w:ind w:right="1470"/>
              <w:spacing w:after="0"/>
              <w:rPr>
                <w:sz w:val="20"/>
                <w:szCs w:val="20"/>
                <w:color w:val="auto"/>
              </w:rPr>
            </w:pPr>
            <w:r>
              <w:rPr>
                <w:rFonts w:ascii="Arial" w:cs="Arial" w:eastAsia="Arial" w:hAnsi="Arial"/>
                <w:sz w:val="18"/>
                <w:szCs w:val="18"/>
                <w:color w:val="auto"/>
                <w:w w:val="89"/>
              </w:rPr>
              <w:t>Net interest margin (5)</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2"/>
          </w:tcPr>
          <w:p>
            <w:pPr>
              <w:jc w:val="right"/>
              <w:ind w:right="740"/>
              <w:spacing w:after="0"/>
              <w:rPr>
                <w:sz w:val="20"/>
                <w:szCs w:val="20"/>
                <w:color w:val="auto"/>
              </w:rPr>
            </w:pPr>
            <w:r>
              <w:rPr>
                <w:rFonts w:ascii="Arial" w:cs="Arial" w:eastAsia="Arial" w:hAnsi="Arial"/>
                <w:sz w:val="18"/>
                <w:szCs w:val="18"/>
                <w:color w:val="auto"/>
              </w:rPr>
              <w:t>5.16%</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Three Months Ended December 31, 2013 compared to 2012</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Change Due to Volume</w:t>
            </w:r>
          </w:p>
        </w:tc>
        <w:tc>
          <w:tcPr>
            <w:tcW w:w="14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Change Due to Rate</w:t>
            </w: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Total Change</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293"/>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2013 and 2012</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interest income for the six months ended December 31, 2013 and 2012 was $16.1 million and $13.2 million, respectively. The increase of $3.0 million was largely attributable to growth in the LASG loan portfolio, which earned a yield of 10.4% for the six ended December 31, 2013 on an average outstanding balance of $232.2 million. The following table summarizes interest income and related yields recognized on the Company’s loans for the six months ended December 31,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Interest</w:t>
            </w: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8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244,880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264,298</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LASG: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10,547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7,133</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0"/>
        </w:trPr>
        <w:tc>
          <w:tcPr>
            <w:tcW w:w="254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w:t>
            </w:r>
          </w:p>
        </w:tc>
        <w:tc>
          <w:tcPr>
            <w:tcW w:w="20" w:type="dxa"/>
            <w:vAlign w:val="bottom"/>
            <w:tcBorders>
              <w:bottom w:val="single" w:sz="8" w:color="auto"/>
            </w:tcBorders>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the six months ended December 31, 2013, net interest income was negatively affected by a lower level of noncash accretion of fair value adjustments resulting from the 2010 merger than in the six months ended December 31, 2012. The effect of such accretion will continue to diminish as financial instruments held at the merger mature or prepay. The following table summarizes the effects of such accretion.</w:t>
      </w:r>
    </w:p>
    <w:p>
      <w:pPr>
        <w:spacing w:after="0" w:line="157"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Six Months Ended December 31,</w:t>
      </w:r>
    </w:p>
    <w:p>
      <w:pPr>
        <w:spacing w:after="0" w:line="10" w:lineRule="exact"/>
        <w:rPr>
          <w:sz w:val="20"/>
          <w:szCs w:val="20"/>
          <w:color w:val="auto"/>
        </w:rPr>
      </w:pPr>
    </w:p>
    <w:tbl>
      <w:tblPr>
        <w:tblLayout w:type="fixed"/>
        <w:tblInd w:w="3040" w:type="dxa"/>
        <w:tblCellMar>
          <w:top w:w="0" w:type="dxa"/>
          <w:left w:w="0" w:type="dxa"/>
          <w:bottom w:w="0" w:type="dxa"/>
          <w:right w:w="0" w:type="dxa"/>
        </w:tblCellMar>
      </w:tblPr>
      <w:tr>
        <w:trPr>
          <w:trHeight w:val="142"/>
        </w:trPr>
        <w:tc>
          <w:tcPr>
            <w:tcW w:w="12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280" w:type="dxa"/>
            <w:vAlign w:val="bottom"/>
            <w:tcBorders>
              <w:top w:val="single" w:sz="8" w:color="auto"/>
              <w:bottom w:val="single" w:sz="8" w:color="auto"/>
            </w:tcBorders>
          </w:tcPr>
          <w:p>
            <w:pPr>
              <w:spacing w:after="0"/>
              <w:rPr>
                <w:sz w:val="12"/>
                <w:szCs w:val="12"/>
                <w:color w:val="auto"/>
              </w:rPr>
            </w:pPr>
          </w:p>
        </w:tc>
      </w:tr>
      <w:tr>
        <w:trPr>
          <w:trHeight w:val="119"/>
        </w:trPr>
        <w:tc>
          <w:tcPr>
            <w:tcW w:w="124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Average</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1280" w:type="dxa"/>
            <w:vAlign w:val="bottom"/>
          </w:tcPr>
          <w:p>
            <w:pPr>
              <w:jc w:val="center"/>
              <w:ind w:left="90"/>
              <w:spacing w:after="0" w:line="119" w:lineRule="exact"/>
              <w:rPr>
                <w:sz w:val="20"/>
                <w:szCs w:val="20"/>
                <w:color w:val="auto"/>
              </w:rPr>
            </w:pPr>
            <w:r>
              <w:rPr>
                <w:rFonts w:ascii="Arial" w:cs="Arial" w:eastAsia="Arial" w:hAnsi="Arial"/>
                <w:sz w:val="13"/>
                <w:szCs w:val="13"/>
                <w:b w:val="1"/>
                <w:bCs w:val="1"/>
                <w:color w:val="auto"/>
              </w:rPr>
              <w:t>Effect on</w:t>
            </w:r>
          </w:p>
        </w:tc>
        <w:tc>
          <w:tcPr>
            <w:tcW w:w="360" w:type="dxa"/>
            <w:vAlign w:val="bottom"/>
          </w:tcPr>
          <w:p>
            <w:pPr>
              <w:spacing w:after="0"/>
              <w:rPr>
                <w:sz w:val="10"/>
                <w:szCs w:val="10"/>
                <w:color w:val="auto"/>
              </w:rPr>
            </w:pPr>
          </w:p>
        </w:tc>
        <w:tc>
          <w:tcPr>
            <w:tcW w:w="1220" w:type="dxa"/>
            <w:vAlign w:val="bottom"/>
          </w:tcPr>
          <w:p>
            <w:pPr>
              <w:ind w:left="320"/>
              <w:spacing w:after="0" w:line="119" w:lineRule="exact"/>
              <w:rPr>
                <w:sz w:val="20"/>
                <w:szCs w:val="20"/>
                <w:color w:val="auto"/>
              </w:rPr>
            </w:pPr>
            <w:r>
              <w:rPr>
                <w:rFonts w:ascii="Arial" w:cs="Arial" w:eastAsia="Arial" w:hAnsi="Arial"/>
                <w:sz w:val="13"/>
                <w:szCs w:val="13"/>
                <w:b w:val="1"/>
                <w:bCs w:val="1"/>
                <w:color w:val="auto"/>
              </w:rPr>
              <w:t>Average</w:t>
            </w:r>
          </w:p>
        </w:tc>
        <w:tc>
          <w:tcPr>
            <w:tcW w:w="1340" w:type="dxa"/>
            <w:vAlign w:val="bottom"/>
          </w:tcPr>
          <w:p>
            <w:pPr>
              <w:jc w:val="center"/>
              <w:ind w:left="10"/>
              <w:spacing w:after="0" w:line="119" w:lineRule="exact"/>
              <w:rPr>
                <w:sz w:val="20"/>
                <w:szCs w:val="20"/>
                <w:color w:val="auto"/>
              </w:rPr>
            </w:pPr>
            <w:r>
              <w:rPr>
                <w:rFonts w:ascii="Arial" w:cs="Arial" w:eastAsia="Arial" w:hAnsi="Arial"/>
                <w:sz w:val="13"/>
                <w:szCs w:val="13"/>
                <w:b w:val="1"/>
                <w:bCs w:val="1"/>
                <w:color w:val="auto"/>
              </w:rPr>
              <w:t>Income</w:t>
            </w:r>
          </w:p>
        </w:tc>
        <w:tc>
          <w:tcPr>
            <w:tcW w:w="1280" w:type="dxa"/>
            <w:vAlign w:val="bottom"/>
          </w:tcPr>
          <w:p>
            <w:pPr>
              <w:jc w:val="center"/>
              <w:ind w:left="71"/>
              <w:spacing w:after="0" w:line="119" w:lineRule="exact"/>
              <w:rPr>
                <w:sz w:val="20"/>
                <w:szCs w:val="20"/>
                <w:color w:val="auto"/>
              </w:rPr>
            </w:pPr>
            <w:r>
              <w:rPr>
                <w:rFonts w:ascii="Arial" w:cs="Arial" w:eastAsia="Arial" w:hAnsi="Arial"/>
                <w:sz w:val="13"/>
                <w:szCs w:val="13"/>
                <w:b w:val="1"/>
                <w:bCs w:val="1"/>
                <w:color w:val="auto"/>
                <w:w w:val="97"/>
              </w:rPr>
              <w:t>Effect on</w:t>
            </w:r>
          </w:p>
        </w:tc>
      </w:tr>
      <w:tr>
        <w:trPr>
          <w:trHeight w:val="171"/>
        </w:trPr>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Balance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16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Yield / Rate</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Balance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128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97"/>
              </w:rPr>
              <w:t>Yield / Rate</w:t>
            </w:r>
          </w:p>
        </w:tc>
      </w:tr>
      <w:tr>
        <w:trPr>
          <w:trHeight w:val="144"/>
        </w:trPr>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gridSpan w:val="3"/>
          </w:tcPr>
          <w:p>
            <w:pPr>
              <w:ind w:left="760"/>
              <w:spacing w:after="0" w:line="144" w:lineRule="exact"/>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Interest-earning assets:</w:t>
      </w:r>
    </w:p>
    <w:p>
      <w:pPr>
        <w:sectPr>
          <w:pgSz w:w="11900" w:h="16838" w:orient="portrait"/>
          <w:cols w:equalWidth="0" w:num="1">
            <w:col w:w="11460"/>
          </w:cols>
          <w:pgMar w:left="240" w:top="120" w:right="199" w:bottom="0" w:gutter="0" w:footer="0" w:header="0"/>
        </w:sectPr>
      </w:pPr>
    </w:p>
    <w:bookmarkStart w:id="30" w:name="page31"/>
    <w:bookmarkEnd w:id="30"/>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118,093</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133,730</w:t>
            </w:r>
          </w:p>
        </w:tc>
        <w:tc>
          <w:tcPr>
            <w:tcW w:w="120" w:type="dxa"/>
            <w:vAlign w:val="bottom"/>
          </w:tcPr>
          <w:p>
            <w:pPr>
              <w:spacing w:after="0"/>
              <w:rPr>
                <w:sz w:val="20"/>
                <w:szCs w:val="20"/>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477,026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374</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83,949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475,845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537</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59,964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89,484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783</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6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713</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0.21%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0.52%</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interest rate spread and net interest margin increased by 70 basis points and 67 basis points, respectively, for the six months ended</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December 31, 2013 compared to the six months ended December 31, 2012. These increases were principally the result of the aforementioned increase in loan volume. The following sets forth the average balance sheets, interest income and interest expense, and average yields and costs for the six months ended December 31, 2013 and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Income/</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Yield/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Income/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Expense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477,026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18,739</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15,608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78,228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59,055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55,664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475,845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886</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89,484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945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Demand deposits and escrow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117,891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16,122</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13,155</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interest margin (5)</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w:t>
      </w:r>
    </w:p>
    <w:p>
      <w:pPr>
        <w:sectPr>
          <w:pgSz w:w="11900" w:h="16948" w:orient="portrait"/>
          <w:cols w:equalWidth="0" w:num="1">
            <w:col w:w="11460"/>
          </w:cols>
          <w:pgMar w:left="240" w:top="125" w:right="199" w:bottom="0" w:gutter="0" w:footer="0" w:header="0"/>
        </w:sectPr>
      </w:pPr>
    </w:p>
    <w:bookmarkStart w:id="31" w:name="page32"/>
    <w:bookmarkEnd w:id="31"/>
    <w:p>
      <w:pPr>
        <w:ind w:right="180"/>
        <w:spacing w:after="0" w:line="312" w:lineRule="auto"/>
        <w:rPr>
          <w:sz w:val="20"/>
          <w:szCs w:val="20"/>
          <w:color w:val="auto"/>
        </w:rPr>
      </w:pPr>
      <w:r>
        <w:rPr>
          <w:rFonts w:ascii="Arial" w:cs="Arial" w:eastAsia="Arial" w:hAnsi="Arial"/>
          <w:sz w:val="16"/>
          <w:szCs w:val="16"/>
          <w:color w:val="auto"/>
        </w:rPr>
        <w:t>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7"/>
          </w:tcPr>
          <w:p>
            <w:pPr>
              <w:jc w:val="center"/>
              <w:ind w:left="1093"/>
              <w:spacing w:after="0"/>
              <w:rPr>
                <w:sz w:val="20"/>
                <w:szCs w:val="20"/>
                <w:color w:val="auto"/>
              </w:rPr>
            </w:pPr>
            <w:r>
              <w:rPr>
                <w:rFonts w:ascii="Arial" w:cs="Arial" w:eastAsia="Arial" w:hAnsi="Arial"/>
                <w:sz w:val="14"/>
                <w:szCs w:val="14"/>
                <w:b w:val="1"/>
                <w:bCs w:val="1"/>
                <w:color w:val="auto"/>
                <w:w w:val="92"/>
              </w:rPr>
              <w:t>Six Months Ended December 31, 2013 compared to 2012</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Change Due to Volume</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Change Due to Rate</w:t>
            </w: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w w:val="92"/>
              </w:rPr>
              <w:t>Total Change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16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ind w:right="109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adequate to provide for losses inherent in the Company’s loan portfolios, with the provision for loan losses determined by the net change in the allowance for loan losses. For loans acquired with deteriorated credit quality, a provision for loan losses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2013 and 2012</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provision for loan losses for the quarter ended December 31, 2013 and 2012 was $151 thousand and $247 thousand, respectively. The decrease in the Company’s loan loss provision resulted principally from favorable charge-off trends in the originated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2013 and 2012</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 for loan losses for the six months ended December 31, 2013 and 2012 was $227 thousand and $475 thousand, respectively. The decrease in the Company’s loan loss provision resulted from favorable charge-off trends in the originated loan portfolio. Net charge-offs for the six months ended December 31, 2013 decreased by $404 thousand from the six months ended December 31, 2012, principally due to the partial charge-off of one commercial business loan relationship in the first quarter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Noninterest income decreased by $1.9 million for the current quarter, compared to the quarter ended December 31, 2012, principally due to the following:</w:t>
      </w:r>
    </w:p>
    <w:p>
      <w:pPr>
        <w:spacing w:after="0" w:line="248" w:lineRule="exact"/>
        <w:rPr>
          <w:sz w:val="20"/>
          <w:szCs w:val="20"/>
          <w:color w:val="auto"/>
        </w:rPr>
      </w:pPr>
    </w:p>
    <w:p>
      <w:pPr>
        <w:ind w:left="1300" w:right="240" w:hanging="320"/>
        <w:spacing w:after="0" w:line="258"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$573 thousand in gain on sales of residential loans (“held for sale” loans), a volume related difference principally due to the increased proportion of residential mortgages held in portfolio.</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$985 thousand in gains on sales of portfolio loans. In the quarter ended December 31, 2012, the Company recognized $817 thousand on the sale of a purchased loan.</w:t>
      </w:r>
    </w:p>
    <w:p>
      <w:pPr>
        <w:ind w:left="1300" w:right="240" w:hanging="320"/>
        <w:spacing w:after="0" w:line="261"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$242 thousand in bank-owned life insurance income. In the quarter ended December 31, 2012, the Company received $235 thousand in life insurance death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2013 and 2012</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Noninterest income decreased by $3.1 million for the six months ended December 31, 2013, compared to the six months ended December 31, 2012, principally due to the following:</w:t>
      </w:r>
    </w:p>
    <w:p>
      <w:pPr>
        <w:spacing w:after="0" w:line="170" w:lineRule="exact"/>
        <w:rPr>
          <w:sz w:val="20"/>
          <w:szCs w:val="20"/>
          <w:color w:val="auto"/>
        </w:rPr>
      </w:pPr>
    </w:p>
    <w:p>
      <w:pPr>
        <w:ind w:left="1300" w:right="60" w:hanging="314"/>
        <w:spacing w:after="0" w:line="256"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$792 thousand in security gains. In the first quarter of fiscal 2013, the Company sold a substantial portion of its available-for-sale investment portfolio and reinvested the sales proceeds in similar securities at lower market yields. There were no security sales in the six months ended December 31, 2013.</w:t>
      </w:r>
    </w:p>
    <w:p>
      <w:pPr>
        <w:ind w:left="1300" w:right="200" w:hanging="314"/>
        <w:spacing w:after="0" w:line="250"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$790 thousand on sales of held for sale loans, a volume related difference principally the result of an increased proportion of residential mortgages held in portfolio.</w:t>
      </w:r>
    </w:p>
    <w:p>
      <w:pPr>
        <w:ind w:left="1300" w:right="420" w:hanging="314"/>
        <w:spacing w:after="0" w:line="261"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$768 thousand in gains on sales of portfolio loans, principally due to lower volume of purchased loan sales during the six months ended December 31, 2013.</w:t>
      </w:r>
    </w:p>
    <w:p>
      <w:pPr>
        <w:sectPr>
          <w:pgSz w:w="11900" w:h="16838" w:orient="portrait"/>
          <w:cols w:equalWidth="0" w:num="1">
            <w:col w:w="11460"/>
          </w:cols>
          <w:pgMar w:left="240" w:top="125" w:right="199" w:bottom="0" w:gutter="0" w:footer="0" w:header="0"/>
        </w:sectPr>
      </w:pPr>
    </w:p>
    <w:bookmarkStart w:id="32" w:name="page33"/>
    <w:bookmarkEnd w:id="32"/>
    <w:p>
      <w:pPr>
        <w:ind w:left="1300" w:right="500" w:hanging="314"/>
        <w:spacing w:after="0" w:line="258"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$566 thousand in gains on real estate owned. In the first quarter of fiscal 2013, the Company recognized a gain of $473 thousand on the sale of real estate previously securing a purchased loan.</w:t>
      </w:r>
    </w:p>
    <w:p>
      <w:pPr>
        <w:spacing w:after="0" w:line="1" w:lineRule="exact"/>
        <w:rPr>
          <w:rFonts w:ascii="Arial" w:cs="Arial" w:eastAsia="Arial" w:hAnsi="Arial"/>
          <w:sz w:val="18"/>
          <w:szCs w:val="18"/>
          <w:color w:val="auto"/>
        </w:rPr>
      </w:pPr>
    </w:p>
    <w:p>
      <w:pPr>
        <w:ind w:left="1300" w:right="520" w:hanging="314"/>
        <w:spacing w:after="0" w:line="261"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$247 thousand in bank-owned life insurance income. In the second quarter of fiscal 2013, the Company received $235 thousand in life insurance death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2013 and 2012</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Noninterest expense increased by $197 thousand for the current quarter, compared to the quarter ended December 31, 2012, principally due to the following: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60" w:hanging="320"/>
        <w:spacing w:after="0" w:line="258"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$410 thousand in salaries and employee benefits, principally due to increased incentive compensation and increases in the cost of employee medical insurance benefits.</w:t>
      </w:r>
    </w:p>
    <w:p>
      <w:pPr>
        <w:spacing w:after="0" w:line="1" w:lineRule="exact"/>
        <w:rPr>
          <w:rFonts w:ascii="Arial" w:cs="Arial" w:eastAsia="Arial" w:hAnsi="Arial"/>
          <w:sz w:val="18"/>
          <w:szCs w:val="18"/>
          <w:color w:val="auto"/>
        </w:rPr>
      </w:pPr>
    </w:p>
    <w:p>
      <w:pPr>
        <w:ind w:left="1300" w:right="60" w:hanging="320"/>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$207 thousand in occupancy and equipment expense, principally due to the relocation of the Company’s Boston office in the second quarter of fiscal 2013.</w:t>
      </w: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$144 thousand in marketing expense, primarily due to a reduction in deposit marketing in fiscal 2014.</w:t>
      </w:r>
    </w:p>
    <w:p>
      <w:pPr>
        <w:spacing w:after="0" w:line="9" w:lineRule="exact"/>
        <w:rPr>
          <w:rFonts w:ascii="Arial" w:cs="Arial" w:eastAsia="Arial" w:hAnsi="Arial"/>
          <w:sz w:val="18"/>
          <w:szCs w:val="18"/>
          <w:color w:val="auto"/>
        </w:rPr>
      </w:pPr>
    </w:p>
    <w:p>
      <w:pPr>
        <w:ind w:left="1300" w:right="520" w:hanging="320"/>
        <w:spacing w:after="0" w:line="261"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$189 thousand in loan acquisition and collection expenses, principally due to a decreased level of loan purchases in the current quarter when compared to the quarter ended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Noninterest expense increased by $1.1 million for the current quarter, compared to the quarter ended December 31, 2012, principally due to the following:</w:t>
      </w:r>
    </w:p>
    <w:p>
      <w:pPr>
        <w:spacing w:after="0" w:line="248" w:lineRule="exact"/>
        <w:rPr>
          <w:sz w:val="20"/>
          <w:szCs w:val="20"/>
          <w:color w:val="auto"/>
        </w:rPr>
      </w:pPr>
    </w:p>
    <w:p>
      <w:pPr>
        <w:ind w:left="1300" w:right="100" w:hanging="320"/>
        <w:spacing w:after="0" w:line="258"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$1.4 million in salaries and employee benefits, principally due to an increase in average headcount and base salaries, as well as higher employee benefits and stock-based compensation.</w:t>
      </w:r>
    </w:p>
    <w:p>
      <w:pPr>
        <w:spacing w:after="0" w:line="1" w:lineRule="exact"/>
        <w:rPr>
          <w:rFonts w:ascii="Arial" w:cs="Arial" w:eastAsia="Arial" w:hAnsi="Arial"/>
          <w:sz w:val="18"/>
          <w:szCs w:val="18"/>
          <w:color w:val="auto"/>
        </w:rPr>
      </w:pPr>
    </w:p>
    <w:p>
      <w:pPr>
        <w:ind w:left="1300" w:right="6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$502 thousand in occupancy and equipment expense, principally due to the relocation of the Company’s Boston office in the second quarter of fiscal 2013.</w:t>
      </w: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$290 thousand in marketing expense, primarily due to a reduction in deposit marketing in fiscal 2014.</w:t>
      </w:r>
    </w:p>
    <w:p>
      <w:pPr>
        <w:spacing w:after="0" w:line="9" w:lineRule="exact"/>
        <w:rPr>
          <w:rFonts w:ascii="Arial" w:cs="Arial" w:eastAsia="Arial" w:hAnsi="Arial"/>
          <w:sz w:val="18"/>
          <w:szCs w:val="18"/>
          <w:color w:val="auto"/>
        </w:rPr>
      </w:pPr>
    </w:p>
    <w:p>
      <w:pPr>
        <w:ind w:left="1300" w:right="26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$170 thousand in loan acquisition and collection expenses, principally due to a decreased level of loan purchases in the six months ended December 31, 2013 when compared to the six months ended December 31, 2012.</w:t>
      </w:r>
    </w:p>
    <w:p>
      <w:pPr>
        <w:ind w:left="1260" w:hanging="280"/>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$110 thousand in intangible asset amortization. The Company’s core deposit intangible amortizes on an accelerated basis.</w:t>
      </w:r>
    </w:p>
    <w:p>
      <w:pPr>
        <w:spacing w:after="0" w:line="32" w:lineRule="exact"/>
        <w:rPr>
          <w:rFonts w:ascii="Arial" w:cs="Arial" w:eastAsia="Arial" w:hAnsi="Arial"/>
          <w:sz w:val="16"/>
          <w:szCs w:val="16"/>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legal settlement recovery of $250 thousand recognized in the six months ended 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2013 and 2012</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income tax expense was $676 thousand, or an effective rate of 32.4%, for the quarter ended December 31, 2013. The Company’s income tax expense was $676 thousand, or an effective rate of 31.6%, for the quarter ended December 31, 2012. The increased effective rate in current quarter principally resulted from a lower proportion of non-taxable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2013 and 2012</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Company’s income tax expense was $832 thousand, or an effective rate of 32.6%, for the six months ended December 31, 2013, as compared to $1.1 million, or an effective rate of 31.7%, for the six months ended December 31, 2012. The increased effective rate in six months ended December 31, 2013 principally resulted from a lower proportion of non-taxable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reported a net loss from discontinued operations of $18 thousand for the current quarter, compared to net income of $55 thousand in the quarter ended December 31, 2012.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reported a net loss from discontinued operations of $8 thousand for the six months ended December 31, 2013, compared to net income of $130 thousand in the six months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net loss in both the quarter and six months ended December 31, 2013 was due to the discontinuance of brokerage activities in November 2013.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00"/>
          </w:cols>
          <w:pgMar w:left="240" w:top="125" w:right="259" w:bottom="0" w:gutter="0" w:footer="0" w:header="0"/>
        </w:sectPr>
      </w:pPr>
    </w:p>
    <w:bookmarkStart w:id="33" w:name="page34"/>
    <w:bookmarkEnd w:id="33"/>
    <w:p>
      <w:pPr>
        <w:ind w:right="6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 - 15(e) and 15d - 15(e) under the Exchange Act) as of the end of the period covered by this Quarterly Report on Form 10-Q.</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December 31, 2013.</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 - 15(f) of the Exchange Act) that occurred during the quarter ended December 31, 2013 that have materially affected, or is reasonably likely to materially affect, the Company’s internal controls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40" w:type="dxa"/>
            <w:vAlign w:val="bottom"/>
            <w:gridSpan w:val="2"/>
          </w:tcPr>
          <w:p>
            <w:pPr>
              <w:ind w:left="232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1.</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Legal Proceedings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None.</w:t>
            </w:r>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1A.</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Risk Factors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520" w:type="dxa"/>
            <w:vAlign w:val="bottom"/>
            <w:gridSpan w:val="5"/>
          </w:tcPr>
          <w:p>
            <w:pPr>
              <w:ind w:left="180"/>
              <w:spacing w:after="0"/>
              <w:rPr>
                <w:sz w:val="20"/>
                <w:szCs w:val="20"/>
                <w:color w:val="auto"/>
              </w:rPr>
            </w:pPr>
            <w:r>
              <w:rPr>
                <w:rFonts w:ascii="Arial" w:cs="Arial" w:eastAsia="Arial" w:hAnsi="Arial"/>
                <w:sz w:val="18"/>
                <w:szCs w:val="18"/>
                <w:color w:val="auto"/>
              </w:rPr>
              <w:t>Not required for smaller reporting companies.</w:t>
            </w: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2.</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None.</w:t>
            </w:r>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3.</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None.</w:t>
            </w:r>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4.</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Mine Safety Disclosures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520" w:type="dxa"/>
            <w:vAlign w:val="bottom"/>
            <w:gridSpan w:val="5"/>
          </w:tcPr>
          <w:p>
            <w:pPr>
              <w:ind w:left="1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32"/>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5.</w:t>
            </w:r>
          </w:p>
        </w:tc>
        <w:tc>
          <w:tcPr>
            <w:tcW w:w="10520" w:type="dxa"/>
            <w:vAlign w:val="bottom"/>
            <w:gridSpan w:val="5"/>
          </w:tcPr>
          <w:p>
            <w:pPr>
              <w:ind w:left="1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None.</w:t>
            </w:r>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tcPr>
          <w:p>
            <w:pPr>
              <w:ind w:left="370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gridSpan w:val="2"/>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9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9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9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920" w:type="dxa"/>
            <w:vAlign w:val="bottom"/>
            <w:gridSpan w:val="5"/>
          </w:tcPr>
          <w:p>
            <w:pPr>
              <w:ind w:left="660"/>
              <w:spacing w:after="0"/>
              <w:rPr>
                <w:sz w:val="20"/>
                <w:szCs w:val="20"/>
                <w:color w:val="auto"/>
              </w:rPr>
            </w:pPr>
            <w:r>
              <w:rPr>
                <w:rFonts w:ascii="Arial" w:cs="Arial" w:eastAsia="Arial" w:hAnsi="Arial"/>
                <w:sz w:val="14"/>
                <w:szCs w:val="14"/>
                <w:b w:val="1"/>
                <w:bCs w:val="1"/>
                <w:color w:val="auto"/>
              </w:rPr>
              <w:t>Exhibits</w:t>
            </w:r>
          </w:p>
        </w:tc>
        <w:tc>
          <w:tcPr>
            <w:tcW w:w="9540" w:type="dxa"/>
            <w:vAlign w:val="bottom"/>
            <w:gridSpan w:val="2"/>
            <w:vMerge w:val="restart"/>
          </w:tcPr>
          <w:p>
            <w:pPr>
              <w:ind w:left="4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40" w:type="dxa"/>
            <w:vAlign w:val="bottom"/>
            <w:gridSpan w:val="2"/>
          </w:tcPr>
          <w:p>
            <w:pPr>
              <w:ind w:left="66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9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Certification of the Chief Executive Officer pursuant to Section 302 of the Sarbanes-Oxley Act of 2002 (Rule 13a-14(a)).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w w:val="99"/>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w w:val="99"/>
              </w:rPr>
              <w:t>Certificate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Sarbanes-Oxley Act of 2002 (Rule 13a-14(b)).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w w:val="91"/>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-1819275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-1819275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20" w:right="280" w:hanging="886"/>
        <w:spacing w:after="0" w:line="290"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December 31, 2013 formatted in XBRL: (i) Consolidated Balance Sheets at December 31, 2013 and June 30, 2013; (ii) Consolidated Statements of Income for the three and six months ended December 31, 2013 and 2012; (iii) Consolidated Statements of Comprehensive Income for the three and six months ended December 31, 2013 and 2012; (iv) Consolidated Statements of Changes in Shareholders’ Equity for the six months ended December 31, 2013 and 2012; (v) Consolidated Statements of Cash Flows for the six months ended December 31, 2013 and 2012; and (v) Notes to Unaudited Consolidated Financial Statements. ***</w:t>
      </w:r>
    </w:p>
    <w:p>
      <w:pPr>
        <w:spacing w:after="0" w:line="39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231" w:gutter="0" w:footer="0" w:header="0"/>
        </w:sectPr>
      </w:pP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31"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spacing w:after="0"/>
              <w:rPr>
                <w:sz w:val="20"/>
                <w:szCs w:val="20"/>
                <w:color w:val="auto"/>
              </w:rPr>
            </w:pPr>
            <w:r>
              <w:rPr>
                <w:rFonts w:ascii="Arial" w:cs="Arial" w:eastAsia="Arial" w:hAnsi="Arial"/>
                <w:sz w:val="18"/>
                <w:szCs w:val="18"/>
                <w:color w:val="auto"/>
              </w:rPr>
              <w:t>Date: February 12, 2014</w:t>
            </w:r>
          </w:p>
        </w:tc>
        <w:tc>
          <w:tcPr>
            <w:tcW w:w="5180" w:type="dxa"/>
            <w:vAlign w:val="bottom"/>
          </w:tcPr>
          <w:p>
            <w:pPr>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19"/>
                <w:szCs w:val="19"/>
                <w:color w:val="auto"/>
              </w:rPr>
            </w:pPr>
          </w:p>
        </w:tc>
      </w:tr>
      <w:tr>
        <w:trPr>
          <w:trHeight w:val="230"/>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6240" w:type="dxa"/>
            <w:vAlign w:val="bottom"/>
          </w:tcPr>
          <w:p>
            <w:pPr>
              <w:spacing w:after="0"/>
              <w:rPr>
                <w:sz w:val="16"/>
                <w:szCs w:val="16"/>
                <w:color w:val="auto"/>
              </w:rPr>
            </w:pPr>
          </w:p>
        </w:tc>
        <w:tc>
          <w:tcPr>
            <w:tcW w:w="5180" w:type="dxa"/>
            <w:vAlign w:val="bottom"/>
          </w:tcPr>
          <w:p>
            <w:pPr>
              <w:ind w:left="20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4"/>
                <w:szCs w:val="24"/>
                <w:color w:val="auto"/>
              </w:rPr>
            </w:pPr>
          </w:p>
        </w:tc>
      </w:tr>
      <w:tr>
        <w:trPr>
          <w:trHeight w:val="195"/>
        </w:trPr>
        <w:tc>
          <w:tcPr>
            <w:tcW w:w="6240" w:type="dxa"/>
            <w:vAlign w:val="bottom"/>
          </w:tcPr>
          <w:p>
            <w:pPr>
              <w:spacing w:after="0"/>
              <w:rPr>
                <w:sz w:val="16"/>
                <w:szCs w:val="16"/>
                <w:color w:val="auto"/>
              </w:rPr>
            </w:pPr>
          </w:p>
        </w:tc>
        <w:tc>
          <w:tcPr>
            <w:tcW w:w="5180" w:type="dxa"/>
            <w:vAlign w:val="bottom"/>
          </w:tcPr>
          <w:p>
            <w:pPr>
              <w:ind w:left="20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24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4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b w:val="1"/>
                <w:bCs w:val="1"/>
                <w:color w:val="auto"/>
              </w:rPr>
              <w:t>Exhibits</w:t>
            </w:r>
          </w:p>
        </w:tc>
        <w:tc>
          <w:tcPr>
            <w:tcW w:w="3420" w:type="dxa"/>
            <w:vAlign w:val="bottom"/>
            <w:vMerge w:val="restart"/>
          </w:tcPr>
          <w:p>
            <w:pPr>
              <w:ind w:left="27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23"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200" w:right="120" w:hanging="879"/>
        <w:spacing w:after="0" w:line="250" w:lineRule="auto"/>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200" w:right="160" w:hanging="879"/>
        <w:spacing w:after="0" w:line="250" w:lineRule="auto"/>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200" w:right="60" w:hanging="861"/>
        <w:spacing w:after="0" w:line="252"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December 31, 2013 formatted in XBRL: (i) Consolidated Balance Sheets at December 31, 2013 and June 30, 2013; (ii) Consolidated Statements of Income for the three and six months ended December 31, 2013 and 2012; (iii) Consolidated Statements of Comprehensive Income for the three and six months ended December 31, 2013 and 2012; (iv) Consolidated Statements of Changes in Shareholders’ Equity for the six months ended December 31, 2013 and 2012; (v) Consolidated Statements of Cash Flows for the six months ended December 31, 2013 and 2012; and (v) Notes to Unaudited Consolidated Financial Statements. ***</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5" w:name="page36"/>
    <w:bookmarkEnd w:id="35"/>
    <w:p>
      <w:pPr>
        <w:jc w:val="right"/>
        <w:ind w:right="40"/>
        <w:spacing w:after="0"/>
        <w:tabs>
          <w:tab w:leader="none" w:pos="334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40" w:hanging="40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520" w:right="440" w:hanging="382"/>
        <w:spacing w:after="0" w:line="264" w:lineRule="auto"/>
        <w:tabs>
          <w:tab w:leader="none" w:pos="5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382"/>
        <w:spacing w:after="0" w:line="308" w:lineRule="auto"/>
        <w:tabs>
          <w:tab w:leader="none" w:pos="5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382"/>
        <w:spacing w:after="0" w:line="264" w:lineRule="auto"/>
        <w:tabs>
          <w:tab w:leader="none" w:pos="5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20" w:right="200" w:firstLine="7"/>
        <w:spacing w:after="0" w:line="264" w:lineRule="auto"/>
        <w:tabs>
          <w:tab w:leader="none" w:pos="8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420" w:firstLine="7"/>
        <w:spacing w:after="0" w:line="264" w:lineRule="auto"/>
        <w:tabs>
          <w:tab w:leader="none" w:pos="7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940" w:firstLine="7"/>
        <w:spacing w:after="0" w:line="342" w:lineRule="auto"/>
        <w:tabs>
          <w:tab w:leader="none" w:pos="8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420" w:firstLine="7"/>
        <w:spacing w:after="0" w:line="264"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382"/>
        <w:spacing w:after="0" w:line="308" w:lineRule="auto"/>
        <w:tabs>
          <w:tab w:leader="none" w:pos="5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340" w:firstLine="7"/>
        <w:spacing w:after="0" w:line="277" w:lineRule="auto"/>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300" w:firstLine="7"/>
        <w:spacing w:after="0" w:line="277" w:lineRule="auto"/>
        <w:tabs>
          <w:tab w:leader="none" w:pos="8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12,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0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ind w:right="40"/>
        <w:spacing w:after="0"/>
        <w:tabs>
          <w:tab w:leader="none" w:pos="330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540" w:hanging="40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520" w:right="440" w:hanging="382"/>
        <w:spacing w:after="0" w:line="264" w:lineRule="auto"/>
        <w:tabs>
          <w:tab w:leader="none" w:pos="5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382"/>
        <w:spacing w:after="0" w:line="308" w:lineRule="auto"/>
        <w:tabs>
          <w:tab w:leader="none" w:pos="5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382"/>
        <w:spacing w:after="0" w:line="264" w:lineRule="auto"/>
        <w:tabs>
          <w:tab w:leader="none" w:pos="5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20" w:right="200" w:firstLine="7"/>
        <w:spacing w:after="0" w:line="264" w:lineRule="auto"/>
        <w:tabs>
          <w:tab w:leader="none" w:pos="8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420" w:firstLine="7"/>
        <w:spacing w:after="0" w:line="264" w:lineRule="auto"/>
        <w:tabs>
          <w:tab w:leader="none" w:pos="7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940" w:firstLine="7"/>
        <w:spacing w:after="0" w:line="342" w:lineRule="auto"/>
        <w:tabs>
          <w:tab w:leader="none" w:pos="8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420" w:firstLine="7"/>
        <w:spacing w:after="0" w:line="264"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382"/>
        <w:spacing w:after="0" w:line="308" w:lineRule="auto"/>
        <w:tabs>
          <w:tab w:leader="none" w:pos="5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340" w:firstLine="7"/>
        <w:spacing w:after="0" w:line="277" w:lineRule="auto"/>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300" w:firstLine="7"/>
        <w:spacing w:after="0" w:line="277" w:lineRule="auto"/>
        <w:tabs>
          <w:tab w:leader="none" w:pos="8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12,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0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ind w:left="6940"/>
        <w:spacing w:after="0"/>
        <w:tabs>
          <w:tab w:leader="none" w:pos="824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2013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40" w:right="160" w:hanging="8"/>
        <w:spacing w:after="0" w:line="277" w:lineRule="auto"/>
        <w:tabs>
          <w:tab w:leader="none" w:pos="6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12,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0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ind w:left="6960"/>
        <w:spacing w:after="0"/>
        <w:tabs>
          <w:tab w:leader="none" w:pos="82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2013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40" w:right="160" w:hanging="8"/>
        <w:spacing w:after="0" w:line="277" w:lineRule="auto"/>
        <w:tabs>
          <w:tab w:leader="none" w:pos="6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12,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0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lvl w:ilvl="1">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lvl w:ilvl="1">
      <w:lvlJc w:val="left"/>
      <w:lvlText w:val="%2"/>
      <w:numFmt w:val="decimal"/>
      <w:start w:val="101"/>
    </w:lvl>
  </w:abstractNum>
  <w:abstractNum w:abstractNumId="25">
    <w:nsid w:val="8138641"/>
    <w:multiLevelType w:val="hybridMultilevel"/>
    <w:lvl w:ilvl="0">
      <w:lvlJc w:val="left"/>
      <w:lvlText w:val="**"/>
      <w:numFmt w:val="bullet"/>
      <w:start w:val="1"/>
    </w:lvl>
    <w:lvl w:ilvl="1">
      <w:lvlJc w:val="left"/>
      <w:lvlText w:val="%2"/>
      <w:numFmt w:val="decimal"/>
      <w:start w:val="1"/>
    </w:lvl>
  </w:abstractNum>
  <w:abstractNum w:abstractNumId="26">
    <w:nsid w:val="1E7FF521"/>
    <w:multiLevelType w:val="hybridMultilevel"/>
    <w:lvl w:ilvl="0">
      <w:lvlJc w:val="left"/>
      <w:lvlText w:val="***"/>
      <w:numFmt w:val="bullet"/>
      <w:start w:val="1"/>
    </w:lvl>
    <w:lvl w:ilvl="1">
      <w:lvlJc w:val="left"/>
      <w:lvlText w:val="%2"/>
      <w:numFmt w:val="decimal"/>
      <w:start w:val="1"/>
    </w:lvl>
  </w:abstractNum>
  <w:abstractNum w:abstractNumId="27">
    <w:nsid w:val="7C3DBD3D"/>
    <w:multiLevelType w:val="hybridMultilevel"/>
    <w:lvl w:ilvl="0">
      <w:lvlJc w:val="left"/>
      <w:lvlText w:val="*"/>
      <w:numFmt w:val="bullet"/>
      <w:start w:val="1"/>
    </w:lvl>
    <w:lvl w:ilvl="1">
      <w:lvlJc w:val="left"/>
      <w:lvlText w:val="%2"/>
      <w:numFmt w:val="decimal"/>
      <w:start w:val="101"/>
    </w:lvl>
  </w:abstractNum>
  <w:abstractNum w:abstractNumId="28">
    <w:nsid w:val="737B8DDC"/>
    <w:multiLevelType w:val="hybridMultilevel"/>
    <w:lvl w:ilvl="0">
      <w:lvlJc w:val="left"/>
      <w:lvlText w:val="**"/>
      <w:numFmt w:val="bullet"/>
      <w:start w:val="1"/>
    </w:lvl>
    <w:lvl w:ilvl="1">
      <w:lvlJc w:val="left"/>
      <w:lvlText w:val="%2"/>
      <w:numFmt w:val="decimal"/>
      <w:start w:val="1"/>
    </w:lvl>
  </w:abstractNum>
  <w:abstractNum w:abstractNumId="29">
    <w:nsid w:val="6CEAF087"/>
    <w:multiLevelType w:val="hybridMultilevel"/>
    <w:lvl w:ilvl="0">
      <w:lvlJc w:val="left"/>
      <w:lvlText w:val="***"/>
      <w:numFmt w:val="bullet"/>
      <w:start w:val="1"/>
    </w:lvl>
    <w:lvl w:ilvl="1">
      <w:lvlJc w:val="left"/>
      <w:lvlText w:val="%2"/>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2019-12-05T23:33:57Z</dcterms:created>
  <dcterms:modified xsi:type="dcterms:W3CDTF">2019-12-05T23:33:57Z</dcterms:modified>
</cp:coreProperties>
</file>